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40E6" w14:textId="4E082D81" w:rsidR="00F06290" w:rsidRDefault="00F06290" w:rsidP="00450B5A">
      <w:pPr>
        <w:jc w:val="left"/>
      </w:pPr>
      <w:r>
        <w:t>DRAFT 9-29-21</w:t>
      </w:r>
    </w:p>
    <w:p w14:paraId="1901E3B2" w14:textId="77777777" w:rsidR="00F06290" w:rsidRDefault="00F06290" w:rsidP="00450B5A">
      <w:pPr>
        <w:jc w:val="left"/>
      </w:pPr>
    </w:p>
    <w:p w14:paraId="5D9D7D4D" w14:textId="65EB900B" w:rsidR="00450B5A" w:rsidRPr="00450B5A" w:rsidRDefault="00450B5A" w:rsidP="00450B5A">
      <w:pPr>
        <w:jc w:val="left"/>
        <w:rPr>
          <w:b/>
          <w:bCs/>
          <w:sz w:val="24"/>
          <w:szCs w:val="24"/>
        </w:rPr>
      </w:pPr>
      <w:r w:rsidRPr="00450B5A">
        <w:rPr>
          <w:b/>
          <w:bCs/>
          <w:sz w:val="24"/>
          <w:szCs w:val="24"/>
        </w:rPr>
        <w:t xml:space="preserve">Rutledge v. Pharmaceutical Care Management Assoc., 141 </w:t>
      </w:r>
      <w:proofErr w:type="spellStart"/>
      <w:r w:rsidRPr="00450B5A">
        <w:rPr>
          <w:b/>
          <w:bCs/>
          <w:sz w:val="24"/>
          <w:szCs w:val="24"/>
        </w:rPr>
        <w:t>S.Ct</w:t>
      </w:r>
      <w:proofErr w:type="spellEnd"/>
      <w:r w:rsidRPr="00450B5A">
        <w:rPr>
          <w:b/>
          <w:bCs/>
          <w:sz w:val="24"/>
          <w:szCs w:val="24"/>
        </w:rPr>
        <w:t>. 474 (2020)</w:t>
      </w:r>
    </w:p>
    <w:p w14:paraId="71CDCE29" w14:textId="7F6AEECE" w:rsidR="00450B5A" w:rsidRPr="00450B5A" w:rsidRDefault="00450B5A" w:rsidP="00450B5A">
      <w:pPr>
        <w:jc w:val="left"/>
        <w:rPr>
          <w:b/>
          <w:bCs/>
          <w:sz w:val="24"/>
          <w:szCs w:val="24"/>
        </w:rPr>
      </w:pPr>
    </w:p>
    <w:p w14:paraId="1C1DE148" w14:textId="77777777" w:rsidR="00450B5A" w:rsidRDefault="00450B5A" w:rsidP="00450B5A">
      <w:pPr>
        <w:jc w:val="left"/>
      </w:pPr>
    </w:p>
    <w:p w14:paraId="6821C68C" w14:textId="4B88C6DC" w:rsidR="00450B5A" w:rsidRPr="00450B5A" w:rsidRDefault="00450B5A" w:rsidP="00450B5A">
      <w:pPr>
        <w:jc w:val="left"/>
      </w:pPr>
      <w:r w:rsidRPr="00D41FF3">
        <w:t xml:space="preserve">In </w:t>
      </w:r>
      <w:r w:rsidR="00D41FF3" w:rsidRPr="00D41FF3">
        <w:t>Rutledge v. Pharmaceutical Care Management Assoc</w:t>
      </w:r>
      <w:r w:rsidR="00DC6DBD">
        <w:t>.</w:t>
      </w:r>
      <w:r w:rsidRPr="00450B5A">
        <w:t xml:space="preserve">, </w:t>
      </w:r>
      <w:r w:rsidR="00581975">
        <w:t xml:space="preserve">the Supreme Court considered whether </w:t>
      </w:r>
      <w:r w:rsidR="00581975" w:rsidRPr="00581975">
        <w:t xml:space="preserve">ERISA </w:t>
      </w:r>
      <w:r w:rsidR="00581975">
        <w:t>p</w:t>
      </w:r>
      <w:r w:rsidR="00581975" w:rsidRPr="00581975">
        <w:t>reemp</w:t>
      </w:r>
      <w:r w:rsidR="00746CE3">
        <w:t>ted</w:t>
      </w:r>
      <w:r w:rsidR="00581975" w:rsidRPr="00581975">
        <w:t xml:space="preserve"> a state law that regulates the price at which pharmacy benefit managers reimburse for the cost of drugs covered by prescription drug plans?</w:t>
      </w:r>
      <w:r w:rsidR="00070A7A">
        <w:t xml:space="preserve"> The Court decided in D</w:t>
      </w:r>
      <w:r w:rsidRPr="00450B5A">
        <w:t>ecember 2020</w:t>
      </w:r>
      <w:r w:rsidR="00DC6DBD">
        <w:t xml:space="preserve"> that </w:t>
      </w:r>
      <w:r w:rsidRPr="00450B5A">
        <w:t>an Arkansas law regulating pharmaceutical costs was not preempted by ERISA.</w:t>
      </w:r>
    </w:p>
    <w:p w14:paraId="72CAD1C2" w14:textId="77777777" w:rsidR="00450B5A" w:rsidRPr="00450B5A" w:rsidRDefault="00450B5A" w:rsidP="00450B5A">
      <w:pPr>
        <w:jc w:val="left"/>
      </w:pPr>
    </w:p>
    <w:p w14:paraId="70B5B9B8" w14:textId="5EF155A4" w:rsidR="00450B5A" w:rsidRPr="00450B5A" w:rsidRDefault="00450B5A" w:rsidP="00450B5A">
      <w:pPr>
        <w:jc w:val="left"/>
      </w:pPr>
      <w:r w:rsidRPr="00450B5A">
        <w:t xml:space="preserve">The Arkansas law regulated Pharmacy Benefit Managers </w:t>
      </w:r>
      <w:r w:rsidR="00746CE3">
        <w:t>(</w:t>
      </w:r>
      <w:r w:rsidRPr="00450B5A">
        <w:t>PBMs</w:t>
      </w:r>
      <w:r w:rsidR="00746CE3">
        <w:t>). PBMs</w:t>
      </w:r>
      <w:r w:rsidRPr="00450B5A">
        <w:t xml:space="preserve"> </w:t>
      </w:r>
      <w:r w:rsidR="00826B4E">
        <w:t>function as</w:t>
      </w:r>
      <w:r w:rsidRPr="00450B5A">
        <w:t xml:space="preserve"> intermediaries between prescription-drug plans and pharmacies</w:t>
      </w:r>
      <w:r w:rsidR="00826B4E">
        <w:t xml:space="preserve">. </w:t>
      </w:r>
      <w:r w:rsidRPr="00450B5A">
        <w:t xml:space="preserve">When someone goes to fill a prescription, the pharmacy checks with the PBM to determine the person’s coverage and copayment information. The PBM then reimburses the pharmacy for the prescription, minus the amount of the copayment. The prescription drug plan then reimburses the PBM. </w:t>
      </w:r>
    </w:p>
    <w:p w14:paraId="06A2CAE6" w14:textId="77777777" w:rsidR="00450B5A" w:rsidRPr="00450B5A" w:rsidRDefault="00450B5A" w:rsidP="00450B5A">
      <w:pPr>
        <w:jc w:val="left"/>
      </w:pPr>
    </w:p>
    <w:p w14:paraId="2E4E8CBB" w14:textId="09E77A6D" w:rsidR="00450B5A" w:rsidRPr="00450B5A" w:rsidRDefault="00450B5A" w:rsidP="00450B5A">
      <w:pPr>
        <w:jc w:val="left"/>
      </w:pPr>
      <w:r w:rsidRPr="00450B5A">
        <w:t xml:space="preserve">The </w:t>
      </w:r>
      <w:r w:rsidR="00746CE3">
        <w:t>issue</w:t>
      </w:r>
      <w:r w:rsidRPr="00450B5A">
        <w:t xml:space="preserve"> is that the amount a PBM “reimburses” a pharmacy is not tied to how much the pharmacy paid the wholesaler. Instead, the PBM </w:t>
      </w:r>
      <w:r w:rsidR="00826B4E">
        <w:t>sets</w:t>
      </w:r>
      <w:r w:rsidRPr="00450B5A">
        <w:t xml:space="preserve"> the reimbursement rates they pay according to a list specifying the maximum allowable cost</w:t>
      </w:r>
      <w:r w:rsidR="00746CE3">
        <w:t xml:space="preserve"> (MAC)</w:t>
      </w:r>
      <w:r w:rsidRPr="00450B5A">
        <w:t xml:space="preserve"> for each drug – </w:t>
      </w:r>
      <w:r w:rsidR="00746CE3">
        <w:t xml:space="preserve">called a </w:t>
      </w:r>
      <w:r w:rsidRPr="00450B5A">
        <w:t>MAC list.</w:t>
      </w:r>
    </w:p>
    <w:p w14:paraId="1679BE19" w14:textId="77777777" w:rsidR="00450B5A" w:rsidRPr="00450B5A" w:rsidRDefault="00450B5A" w:rsidP="00450B5A">
      <w:pPr>
        <w:jc w:val="left"/>
      </w:pPr>
    </w:p>
    <w:p w14:paraId="577E8897" w14:textId="02869070" w:rsidR="00450B5A" w:rsidRPr="00450B5A" w:rsidRDefault="00450B5A" w:rsidP="00450B5A">
      <w:pPr>
        <w:jc w:val="left"/>
      </w:pPr>
      <w:r w:rsidRPr="00450B5A">
        <w:t xml:space="preserve">Then, the PBM has another contract with the prescription-drug plan, where the </w:t>
      </w:r>
      <w:r w:rsidRPr="00746CE3">
        <w:t xml:space="preserve">plan </w:t>
      </w:r>
      <w:r w:rsidRPr="00450B5A">
        <w:t xml:space="preserve">reimburses the PBM. PBMs coordinate their MAC lists with these contracts so they make a profit. PBMs </w:t>
      </w:r>
      <w:r w:rsidR="00746CE3">
        <w:t>profits come</w:t>
      </w:r>
      <w:r w:rsidRPr="00450B5A">
        <w:t xml:space="preserve"> from drug sales and often to the detriment of smaller pharmacies.</w:t>
      </w:r>
    </w:p>
    <w:p w14:paraId="2C4AFBF2" w14:textId="77777777" w:rsidR="00450B5A" w:rsidRPr="00450B5A" w:rsidRDefault="00450B5A" w:rsidP="00450B5A">
      <w:pPr>
        <w:jc w:val="left"/>
      </w:pPr>
    </w:p>
    <w:p w14:paraId="53B04CC1" w14:textId="2A59CEC5" w:rsidR="00450B5A" w:rsidRPr="00450B5A" w:rsidRDefault="00450B5A" w:rsidP="00450B5A">
      <w:pPr>
        <w:jc w:val="left"/>
      </w:pPr>
      <w:r w:rsidRPr="00450B5A">
        <w:t>The Arkansas law help</w:t>
      </w:r>
      <w:r w:rsidR="00A85D67">
        <w:t>ed</w:t>
      </w:r>
      <w:r w:rsidRPr="00450B5A">
        <w:t xml:space="preserve"> some of the smaller, rural pharmacies</w:t>
      </w:r>
      <w:r w:rsidR="00A85D67">
        <w:t xml:space="preserve"> increase their reimbursement levels</w:t>
      </w:r>
      <w:r w:rsidRPr="00450B5A">
        <w:t xml:space="preserve">. The law required that the MAC lists created by PBMs reflected </w:t>
      </w:r>
      <w:r w:rsidRPr="00450B5A">
        <w:rPr>
          <w:u w:val="single"/>
        </w:rPr>
        <w:t>actual costs</w:t>
      </w:r>
      <w:r w:rsidRPr="00450B5A">
        <w:t xml:space="preserve"> pharmacies were paying the wholesaler to buy the drugs. It also allowed pharmacies to appeal MAC reimbursement prices below the pharmacies’ reimbursement costs and allowed pharmacies to refuse to fill prescriptions with inadequate reimbursement rates.  </w:t>
      </w:r>
    </w:p>
    <w:p w14:paraId="2D7D59C9" w14:textId="77777777" w:rsidR="00450B5A" w:rsidRPr="00450B5A" w:rsidRDefault="00450B5A" w:rsidP="00450B5A">
      <w:pPr>
        <w:jc w:val="left"/>
      </w:pPr>
    </w:p>
    <w:p w14:paraId="72C49F43" w14:textId="71A97C45" w:rsidR="00450B5A" w:rsidRPr="00450B5A" w:rsidRDefault="00450B5A" w:rsidP="00450B5A">
      <w:pPr>
        <w:jc w:val="left"/>
      </w:pPr>
      <w:r w:rsidRPr="00450B5A">
        <w:t xml:space="preserve">The Court </w:t>
      </w:r>
      <w:r w:rsidR="007E1EDA">
        <w:t xml:space="preserve">referred to its opinions in </w:t>
      </w:r>
      <w:r w:rsidRPr="00450B5A">
        <w:rPr>
          <w:i/>
          <w:iCs/>
        </w:rPr>
        <w:t>Travelers, De Buono</w:t>
      </w:r>
      <w:r w:rsidRPr="00450B5A">
        <w:t xml:space="preserve"> and </w:t>
      </w:r>
      <w:r w:rsidRPr="00450B5A">
        <w:rPr>
          <w:i/>
          <w:iCs/>
        </w:rPr>
        <w:t>Dillingham</w:t>
      </w:r>
      <w:r w:rsidRPr="00450B5A">
        <w:t xml:space="preserve">, holding that there was no impermissible “connection with” ERISA. ERISA does not preempt state rate regulations that merely increase costs or alter incentives for ERISA plans without forcing plans to adopt any </w:t>
      </w:r>
      <w:proofErr w:type="gramStart"/>
      <w:r w:rsidRPr="00450B5A">
        <w:t>particular scheme</w:t>
      </w:r>
      <w:proofErr w:type="gramEnd"/>
      <w:r w:rsidRPr="00450B5A">
        <w:t xml:space="preserve"> of substantive coverage. </w:t>
      </w:r>
      <w:r w:rsidR="007E1EDA">
        <w:t xml:space="preserve">In addition, the Court said </w:t>
      </w:r>
      <w:r w:rsidRPr="00450B5A">
        <w:t xml:space="preserve">there was no “reference to” ERISA because the law didn’t act immediately or exclusively on ERISA plans and ERISA plans are not essential to </w:t>
      </w:r>
      <w:r w:rsidR="007E1EDA">
        <w:t xml:space="preserve">the law’s </w:t>
      </w:r>
      <w:r w:rsidRPr="00450B5A">
        <w:t xml:space="preserve">operation. </w:t>
      </w:r>
    </w:p>
    <w:p w14:paraId="0FABBBA6" w14:textId="77777777" w:rsidR="00204A30" w:rsidRDefault="00204A30" w:rsidP="00450B5A">
      <w:pPr>
        <w:jc w:val="left"/>
      </w:pPr>
    </w:p>
    <w:sectPr w:rsidR="00204A30" w:rsidSect="00133FC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A2D8B" w14:textId="77777777" w:rsidR="003E021E" w:rsidRDefault="003E021E" w:rsidP="00D40D94">
      <w:r>
        <w:separator/>
      </w:r>
    </w:p>
  </w:endnote>
  <w:endnote w:type="continuationSeparator" w:id="0">
    <w:p w14:paraId="4C0892FC" w14:textId="77777777" w:rsidR="003E021E" w:rsidRDefault="003E021E" w:rsidP="00D4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6A3C" w14:textId="77777777" w:rsidR="00D40D94" w:rsidRDefault="00D40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491D" w14:textId="77777777" w:rsidR="00D40D94" w:rsidRDefault="00D40D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6990" w14:textId="77777777" w:rsidR="00D40D94" w:rsidRDefault="00D40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04C7" w14:textId="77777777" w:rsidR="003E021E" w:rsidRDefault="003E021E" w:rsidP="00D40D94">
      <w:r>
        <w:separator/>
      </w:r>
    </w:p>
  </w:footnote>
  <w:footnote w:type="continuationSeparator" w:id="0">
    <w:p w14:paraId="352F8824" w14:textId="77777777" w:rsidR="003E021E" w:rsidRDefault="003E021E" w:rsidP="00D40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9B1F" w14:textId="77777777" w:rsidR="00D40D94" w:rsidRDefault="00D40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622469"/>
      <w:docPartObj>
        <w:docPartGallery w:val="Watermarks"/>
        <w:docPartUnique/>
      </w:docPartObj>
    </w:sdtPr>
    <w:sdtEndPr/>
    <w:sdtContent>
      <w:p w14:paraId="5B41EFB4" w14:textId="479843F4" w:rsidR="00D40D94" w:rsidRDefault="00A61E95">
        <w:pPr>
          <w:pStyle w:val="Header"/>
        </w:pPr>
        <w:r>
          <w:rPr>
            <w:noProof/>
          </w:rPr>
          <w:pict w14:anchorId="6B958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DE2A" w14:textId="77777777" w:rsidR="00D40D94" w:rsidRDefault="00D40D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5A"/>
    <w:rsid w:val="00070A7A"/>
    <w:rsid w:val="00133FC8"/>
    <w:rsid w:val="00204A30"/>
    <w:rsid w:val="00390EE7"/>
    <w:rsid w:val="003E021E"/>
    <w:rsid w:val="00450B5A"/>
    <w:rsid w:val="00581975"/>
    <w:rsid w:val="00746CE3"/>
    <w:rsid w:val="007562E5"/>
    <w:rsid w:val="007E1EDA"/>
    <w:rsid w:val="00813156"/>
    <w:rsid w:val="00826B4E"/>
    <w:rsid w:val="00A61E95"/>
    <w:rsid w:val="00A85D67"/>
    <w:rsid w:val="00D40D94"/>
    <w:rsid w:val="00D41FF3"/>
    <w:rsid w:val="00DC6DBD"/>
    <w:rsid w:val="00E6484E"/>
    <w:rsid w:val="00F0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A4C309"/>
  <w15:chartTrackingRefBased/>
  <w15:docId w15:val="{81EAFF27-8D69-4D0C-B4D4-345FA1B4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D94"/>
    <w:pPr>
      <w:tabs>
        <w:tab w:val="center" w:pos="4680"/>
        <w:tab w:val="right" w:pos="9360"/>
      </w:tabs>
    </w:pPr>
  </w:style>
  <w:style w:type="character" w:customStyle="1" w:styleId="HeaderChar">
    <w:name w:val="Header Char"/>
    <w:basedOn w:val="DefaultParagraphFont"/>
    <w:link w:val="Header"/>
    <w:uiPriority w:val="99"/>
    <w:rsid w:val="00D40D94"/>
  </w:style>
  <w:style w:type="paragraph" w:styleId="Footer">
    <w:name w:val="footer"/>
    <w:basedOn w:val="Normal"/>
    <w:link w:val="FooterChar"/>
    <w:uiPriority w:val="99"/>
    <w:unhideWhenUsed/>
    <w:rsid w:val="00D40D94"/>
    <w:pPr>
      <w:tabs>
        <w:tab w:val="center" w:pos="4680"/>
        <w:tab w:val="right" w:pos="9360"/>
      </w:tabs>
    </w:pPr>
  </w:style>
  <w:style w:type="character" w:customStyle="1" w:styleId="FooterChar">
    <w:name w:val="Footer Char"/>
    <w:basedOn w:val="DefaultParagraphFont"/>
    <w:link w:val="Footer"/>
    <w:uiPriority w:val="99"/>
    <w:rsid w:val="00D40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1FFE666137624DBD990529B435E7FE" ma:contentTypeVersion="8" ma:contentTypeDescription="Create a new document." ma:contentTypeScope="" ma:versionID="2e3397899b3a4df576d3a512a1dd1acb">
  <xsd:schema xmlns:xsd="http://www.w3.org/2001/XMLSchema" xmlns:xs="http://www.w3.org/2001/XMLSchema" xmlns:p="http://schemas.microsoft.com/office/2006/metadata/properties" xmlns:ns2="5624f10e-bf46-4f43-954e-97bc22b3a42d" xmlns:ns3="3b6417ec-de13-4da0-b4ae-6498de0ae170" targetNamespace="http://schemas.microsoft.com/office/2006/metadata/properties" ma:root="true" ma:fieldsID="606364db19360467db90791bf860e24d" ns2:_="" ns3:_="">
    <xsd:import namespace="5624f10e-bf46-4f43-954e-97bc22b3a42d"/>
    <xsd:import namespace="3b6417ec-de13-4da0-b4ae-6498de0ae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4f10e-bf46-4f43-954e-97bc22b3a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417ec-de13-4da0-b4ae-6498de0ae1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E40EA-BD93-4318-95F6-7A2E6B60AAC9}">
  <ds:schemaRefs>
    <ds:schemaRef ds:uri="http://schemas.openxmlformats.org/officeDocument/2006/bibliography"/>
  </ds:schemaRefs>
</ds:datastoreItem>
</file>

<file path=customXml/itemProps2.xml><?xml version="1.0" encoding="utf-8"?>
<ds:datastoreItem xmlns:ds="http://schemas.openxmlformats.org/officeDocument/2006/customXml" ds:itemID="{6F9382CE-12D7-40E9-AD18-C4A9F71AA1A5}">
  <ds:schemaRefs>
    <ds:schemaRef ds:uri="http://schemas.microsoft.com/sharepoint/v3/contenttype/forms"/>
  </ds:schemaRefs>
</ds:datastoreItem>
</file>

<file path=customXml/itemProps3.xml><?xml version="1.0" encoding="utf-8"?>
<ds:datastoreItem xmlns:ds="http://schemas.openxmlformats.org/officeDocument/2006/customXml" ds:itemID="{29E6B054-7E1E-41B2-9CF9-03CD71431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4f10e-bf46-4f43-954e-97bc22b3a42d"/>
    <ds:schemaRef ds:uri="3b6417ec-de13-4da0-b4ae-6498de0ae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1DF4F-3F49-4932-92E4-BEF69485F2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dc:description/>
  <cp:lastModifiedBy>Cook, Jennifer R.</cp:lastModifiedBy>
  <cp:revision>2</cp:revision>
  <dcterms:created xsi:type="dcterms:W3CDTF">2021-10-07T19:41:00Z</dcterms:created>
  <dcterms:modified xsi:type="dcterms:W3CDTF">2021-10-07T19:41:00Z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0x0101000F1FFE666137624DBD990529B435E7FE</vt:lpwstr>
  </property>
</Properties>
</file>