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CBC08" w14:textId="77777777" w:rsidR="00AA6928" w:rsidRPr="00AA6928" w:rsidRDefault="00AA6928" w:rsidP="009C5270">
      <w:pPr>
        <w:spacing w:after="0" w:line="240" w:lineRule="auto"/>
        <w:rPr>
          <w:rFonts w:ascii="Arial" w:eastAsia="Times New Roman" w:hAnsi="Arial" w:cs="Arial"/>
          <w:b/>
          <w:bCs/>
          <w:color w:val="000000"/>
          <w:kern w:val="0"/>
          <w:sz w:val="24"/>
          <w:szCs w:val="24"/>
          <w14:ligatures w14:val="none"/>
        </w:rPr>
      </w:pPr>
      <w:r w:rsidRPr="00AA6928">
        <w:rPr>
          <w:rFonts w:ascii="Arial" w:eastAsia="Times New Roman" w:hAnsi="Arial" w:cs="Arial"/>
          <w:b/>
          <w:bCs/>
          <w:color w:val="000000"/>
          <w:kern w:val="0"/>
          <w:sz w:val="24"/>
          <w:szCs w:val="24"/>
          <w14:ligatures w14:val="none"/>
        </w:rPr>
        <w:t>NAIC Senior Issues Task Force</w:t>
      </w:r>
    </w:p>
    <w:p w14:paraId="6C93974E" w14:textId="57DB45FF" w:rsidR="009C5270" w:rsidRPr="00AA6928" w:rsidRDefault="00AA6928" w:rsidP="009C5270">
      <w:pPr>
        <w:spacing w:after="0" w:line="240" w:lineRule="auto"/>
        <w:rPr>
          <w:rFonts w:ascii="Arial" w:eastAsia="Times New Roman" w:hAnsi="Arial" w:cs="Arial"/>
          <w:b/>
          <w:bCs/>
          <w:color w:val="000000"/>
          <w:kern w:val="0"/>
          <w:sz w:val="24"/>
          <w:szCs w:val="24"/>
          <w14:ligatures w14:val="none"/>
        </w:rPr>
      </w:pPr>
      <w:r w:rsidRPr="00AA6928">
        <w:rPr>
          <w:rFonts w:ascii="Arial" w:eastAsia="Times New Roman" w:hAnsi="Arial" w:cs="Arial"/>
          <w:b/>
          <w:bCs/>
          <w:color w:val="000000"/>
          <w:kern w:val="0"/>
          <w:sz w:val="24"/>
          <w:szCs w:val="24"/>
          <w14:ligatures w14:val="none"/>
        </w:rPr>
        <w:t xml:space="preserve">February 29, </w:t>
      </w:r>
      <w:proofErr w:type="gramStart"/>
      <w:r w:rsidRPr="00AA6928">
        <w:rPr>
          <w:rFonts w:ascii="Arial" w:eastAsia="Times New Roman" w:hAnsi="Arial" w:cs="Arial"/>
          <w:b/>
          <w:bCs/>
          <w:color w:val="000000"/>
          <w:kern w:val="0"/>
          <w:sz w:val="24"/>
          <w:szCs w:val="24"/>
          <w14:ligatures w14:val="none"/>
        </w:rPr>
        <w:t>2024</w:t>
      </w:r>
      <w:proofErr w:type="gramEnd"/>
      <w:r w:rsidRPr="00AA6928">
        <w:rPr>
          <w:rFonts w:ascii="Arial" w:eastAsia="Times New Roman" w:hAnsi="Arial" w:cs="Arial"/>
          <w:b/>
          <w:bCs/>
          <w:color w:val="000000"/>
          <w:kern w:val="0"/>
          <w:sz w:val="24"/>
          <w:szCs w:val="24"/>
          <w14:ligatures w14:val="none"/>
        </w:rPr>
        <w:t xml:space="preserve"> Presentation on Medigap Eligibility</w:t>
      </w:r>
    </w:p>
    <w:p w14:paraId="12192BAB" w14:textId="1C6A4785" w:rsidR="00AA6928" w:rsidRPr="006B7D2F" w:rsidRDefault="00AA6928" w:rsidP="009C5270">
      <w:pPr>
        <w:spacing w:after="0" w:line="240" w:lineRule="auto"/>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Consumer Representatives: Bonnie Burns, Deborah Darcy, Kara Hinkley, Silvia Yee</w:t>
      </w:r>
    </w:p>
    <w:p w14:paraId="7B8D8AC6" w14:textId="77777777" w:rsidR="009C5270" w:rsidRPr="006B7D2F" w:rsidRDefault="009C5270" w:rsidP="00A76D2F">
      <w:pPr>
        <w:spacing w:after="0" w:line="240" w:lineRule="auto"/>
        <w:rPr>
          <w:rFonts w:ascii="Arial" w:eastAsia="Times New Roman" w:hAnsi="Arial" w:cs="Arial"/>
          <w:color w:val="000000"/>
          <w:kern w:val="0"/>
          <w:sz w:val="24"/>
          <w:szCs w:val="24"/>
          <w14:ligatures w14:val="none"/>
        </w:rPr>
      </w:pPr>
    </w:p>
    <w:p w14:paraId="2F212259" w14:textId="1918B451" w:rsidR="002536D6" w:rsidRPr="006B7D2F" w:rsidRDefault="00617BCD" w:rsidP="00A76D2F">
      <w:pPr>
        <w:spacing w:after="0" w:line="240" w:lineRule="auto"/>
        <w:rPr>
          <w:rFonts w:ascii="Arial" w:eastAsia="Times New Roman" w:hAnsi="Arial" w:cs="Arial"/>
          <w:color w:val="000000"/>
          <w:kern w:val="0"/>
          <w:sz w:val="24"/>
          <w:szCs w:val="24"/>
          <w14:ligatures w14:val="none"/>
        </w:rPr>
      </w:pPr>
      <w:r w:rsidRPr="006B7D2F">
        <w:rPr>
          <w:rFonts w:ascii="Arial" w:eastAsia="Times New Roman" w:hAnsi="Arial" w:cs="Arial"/>
          <w:color w:val="000000"/>
          <w:kern w:val="0"/>
          <w:sz w:val="24"/>
          <w:szCs w:val="24"/>
          <w14:ligatures w14:val="none"/>
        </w:rPr>
        <w:t xml:space="preserve">Bonnie and Deborah have highlighted the many negative impacts on Medicare beneficiaries under and over 65 when they lack access to Medigap policies and explained the unfairness of this being the case. States have the capacity to </w:t>
      </w:r>
      <w:r w:rsidR="00676029">
        <w:rPr>
          <w:rFonts w:ascii="Arial" w:eastAsia="Times New Roman" w:hAnsi="Arial" w:cs="Arial"/>
          <w:color w:val="000000"/>
          <w:kern w:val="0"/>
          <w:sz w:val="24"/>
          <w:szCs w:val="24"/>
          <w14:ligatures w14:val="none"/>
        </w:rPr>
        <w:t>help address</w:t>
      </w:r>
      <w:r w:rsidRPr="006B7D2F">
        <w:rPr>
          <w:rFonts w:ascii="Arial" w:eastAsia="Times New Roman" w:hAnsi="Arial" w:cs="Arial"/>
          <w:color w:val="000000"/>
          <w:kern w:val="0"/>
          <w:sz w:val="24"/>
          <w:szCs w:val="24"/>
          <w14:ligatures w14:val="none"/>
        </w:rPr>
        <w:t xml:space="preserve"> this issue for Medicare consumers, and some states have done so, </w:t>
      </w:r>
      <w:r w:rsidR="00676029">
        <w:rPr>
          <w:rFonts w:ascii="Arial" w:eastAsia="Times New Roman" w:hAnsi="Arial" w:cs="Arial"/>
          <w:color w:val="000000"/>
          <w:kern w:val="0"/>
          <w:sz w:val="24"/>
          <w:szCs w:val="24"/>
          <w14:ligatures w14:val="none"/>
        </w:rPr>
        <w:t>providing v</w:t>
      </w:r>
      <w:r w:rsidRPr="006B7D2F">
        <w:rPr>
          <w:rFonts w:ascii="Arial" w:eastAsia="Times New Roman" w:hAnsi="Arial" w:cs="Arial"/>
          <w:color w:val="000000"/>
          <w:kern w:val="0"/>
          <w:sz w:val="24"/>
          <w:szCs w:val="24"/>
          <w14:ligatures w14:val="none"/>
        </w:rPr>
        <w:t xml:space="preserve">arying degrees of access. </w:t>
      </w:r>
      <w:proofErr w:type="gramStart"/>
      <w:r w:rsidRPr="006B7D2F">
        <w:rPr>
          <w:rFonts w:ascii="Arial" w:eastAsia="Times New Roman" w:hAnsi="Arial" w:cs="Arial"/>
          <w:color w:val="000000"/>
          <w:kern w:val="0"/>
          <w:sz w:val="24"/>
          <w:szCs w:val="24"/>
          <w14:ligatures w14:val="none"/>
        </w:rPr>
        <w:t>Making a decision</w:t>
      </w:r>
      <w:proofErr w:type="gramEnd"/>
      <w:r w:rsidRPr="006B7D2F">
        <w:rPr>
          <w:rFonts w:ascii="Arial" w:eastAsia="Times New Roman" w:hAnsi="Arial" w:cs="Arial"/>
          <w:color w:val="000000"/>
          <w:kern w:val="0"/>
          <w:sz w:val="24"/>
          <w:szCs w:val="24"/>
          <w14:ligatures w14:val="none"/>
        </w:rPr>
        <w:t xml:space="preserve"> to try Medicare Advantage should not be a one-way street where younger individuals with disabilities and older persons who are more likely to acquire a health condition are stuck with health coverage that </w:t>
      </w:r>
      <w:r w:rsidR="00C4379C">
        <w:rPr>
          <w:rFonts w:ascii="Arial" w:eastAsia="Times New Roman" w:hAnsi="Arial" w:cs="Arial"/>
          <w:color w:val="000000"/>
          <w:kern w:val="0"/>
          <w:sz w:val="24"/>
          <w:szCs w:val="24"/>
          <w14:ligatures w14:val="none"/>
        </w:rPr>
        <w:t>many of them</w:t>
      </w:r>
      <w:r w:rsidRPr="006B7D2F">
        <w:rPr>
          <w:rFonts w:ascii="Arial" w:eastAsia="Times New Roman" w:hAnsi="Arial" w:cs="Arial"/>
          <w:color w:val="000000"/>
          <w:kern w:val="0"/>
          <w:sz w:val="24"/>
          <w:szCs w:val="24"/>
          <w14:ligatures w14:val="none"/>
        </w:rPr>
        <w:t xml:space="preserve"> have paid into already</w:t>
      </w:r>
      <w:r w:rsidR="00C4379C">
        <w:rPr>
          <w:rFonts w:ascii="Arial" w:eastAsia="Times New Roman" w:hAnsi="Arial" w:cs="Arial"/>
          <w:color w:val="000000"/>
          <w:kern w:val="0"/>
          <w:sz w:val="24"/>
          <w:szCs w:val="24"/>
          <w14:ligatures w14:val="none"/>
        </w:rPr>
        <w:t xml:space="preserve">, </w:t>
      </w:r>
      <w:r w:rsidRPr="006B7D2F">
        <w:rPr>
          <w:rFonts w:ascii="Arial" w:eastAsia="Times New Roman" w:hAnsi="Arial" w:cs="Arial"/>
          <w:color w:val="000000"/>
          <w:kern w:val="0"/>
          <w:sz w:val="24"/>
          <w:szCs w:val="24"/>
          <w14:ligatures w14:val="none"/>
        </w:rPr>
        <w:t xml:space="preserve">but </w:t>
      </w:r>
      <w:r w:rsidR="00C4379C">
        <w:rPr>
          <w:rFonts w:ascii="Arial" w:eastAsia="Times New Roman" w:hAnsi="Arial" w:cs="Arial"/>
          <w:color w:val="000000"/>
          <w:kern w:val="0"/>
          <w:sz w:val="24"/>
          <w:szCs w:val="24"/>
          <w14:ligatures w14:val="none"/>
        </w:rPr>
        <w:t xml:space="preserve">that </w:t>
      </w:r>
      <w:r w:rsidRPr="006B7D2F">
        <w:rPr>
          <w:rFonts w:ascii="Arial" w:eastAsia="Times New Roman" w:hAnsi="Arial" w:cs="Arial"/>
          <w:color w:val="000000"/>
          <w:kern w:val="0"/>
          <w:sz w:val="24"/>
          <w:szCs w:val="24"/>
          <w14:ligatures w14:val="none"/>
        </w:rPr>
        <w:t xml:space="preserve">doesn’t meet their health needs or where the 20% Medicare co-pay threatens their financial stability. I’m going to spend a few minutes illustrating </w:t>
      </w:r>
      <w:r w:rsidR="00846DA3" w:rsidRPr="006B7D2F">
        <w:rPr>
          <w:rFonts w:ascii="Arial" w:eastAsia="Times New Roman" w:hAnsi="Arial" w:cs="Arial"/>
          <w:color w:val="000000"/>
          <w:kern w:val="0"/>
          <w:sz w:val="24"/>
          <w:szCs w:val="24"/>
          <w14:ligatures w14:val="none"/>
        </w:rPr>
        <w:t xml:space="preserve">how </w:t>
      </w:r>
      <w:r w:rsidRPr="006B7D2F">
        <w:rPr>
          <w:rFonts w:ascii="Arial" w:eastAsia="Times New Roman" w:hAnsi="Arial" w:cs="Arial"/>
          <w:color w:val="000000"/>
          <w:kern w:val="0"/>
          <w:sz w:val="24"/>
          <w:szCs w:val="24"/>
          <w14:ligatures w14:val="none"/>
        </w:rPr>
        <w:t xml:space="preserve">Medicare beneficiaries </w:t>
      </w:r>
      <w:r w:rsidR="00846DA3" w:rsidRPr="006B7D2F">
        <w:rPr>
          <w:rFonts w:ascii="Arial" w:eastAsia="Times New Roman" w:hAnsi="Arial" w:cs="Arial"/>
          <w:color w:val="000000"/>
          <w:kern w:val="0"/>
          <w:sz w:val="24"/>
          <w:szCs w:val="24"/>
          <w14:ligatures w14:val="none"/>
        </w:rPr>
        <w:t xml:space="preserve">who are currently excluded from purchasing Medigap products can be </w:t>
      </w:r>
      <w:r w:rsidRPr="006B7D2F">
        <w:rPr>
          <w:rFonts w:ascii="Arial" w:eastAsia="Times New Roman" w:hAnsi="Arial" w:cs="Arial"/>
          <w:color w:val="000000"/>
          <w:kern w:val="0"/>
          <w:sz w:val="24"/>
          <w:szCs w:val="24"/>
          <w14:ligatures w14:val="none"/>
        </w:rPr>
        <w:t xml:space="preserve">particularly impacted when states </w:t>
      </w:r>
      <w:r w:rsidR="00CA0FA1" w:rsidRPr="006B7D2F">
        <w:rPr>
          <w:rFonts w:ascii="Arial" w:eastAsia="Times New Roman" w:hAnsi="Arial" w:cs="Arial"/>
          <w:color w:val="000000"/>
          <w:kern w:val="0"/>
          <w:sz w:val="24"/>
          <w:szCs w:val="24"/>
          <w14:ligatures w14:val="none"/>
        </w:rPr>
        <w:t>maintain</w:t>
      </w:r>
      <w:r w:rsidRPr="006B7D2F">
        <w:rPr>
          <w:rFonts w:ascii="Arial" w:eastAsia="Times New Roman" w:hAnsi="Arial" w:cs="Arial"/>
          <w:color w:val="000000"/>
          <w:kern w:val="0"/>
          <w:sz w:val="24"/>
          <w:szCs w:val="24"/>
          <w14:ligatures w14:val="none"/>
        </w:rPr>
        <w:t xml:space="preserve"> narrow Medigap eligibility policies.  </w:t>
      </w:r>
    </w:p>
    <w:p w14:paraId="5F797FD7" w14:textId="77777777" w:rsidR="009C5270" w:rsidRDefault="009C5270" w:rsidP="00A76D2F">
      <w:pPr>
        <w:spacing w:after="0" w:line="240" w:lineRule="auto"/>
        <w:rPr>
          <w:rFonts w:ascii="Arial" w:eastAsia="Times New Roman" w:hAnsi="Arial" w:cs="Arial"/>
          <w:color w:val="000000"/>
          <w:kern w:val="0"/>
          <w14:ligatures w14:val="none"/>
        </w:rPr>
      </w:pPr>
    </w:p>
    <w:p w14:paraId="67C82738" w14:textId="2468E48B" w:rsidR="00A76D2F" w:rsidRPr="00D5173B" w:rsidRDefault="00617BCD" w:rsidP="00617BCD">
      <w:pPr>
        <w:pStyle w:val="ListParagraph"/>
        <w:numPr>
          <w:ilvl w:val="0"/>
          <w:numId w:val="12"/>
        </w:numPr>
        <w:rPr>
          <w:rFonts w:ascii="Times New Roman" w:eastAsia="Times New Roman" w:hAnsi="Times New Roman" w:cs="Times New Roman"/>
          <w:kern w:val="0"/>
          <w:szCs w:val="24"/>
          <w14:ligatures w14:val="none"/>
        </w:rPr>
      </w:pPr>
      <w:r>
        <w:rPr>
          <w:rFonts w:eastAsia="Times New Roman" w:cs="Arial"/>
          <w:color w:val="000000"/>
          <w:kern w:val="0"/>
          <w14:ligatures w14:val="none"/>
        </w:rPr>
        <w:t xml:space="preserve">Deborah explained the problem of narrow provider networks. People under 65 who are on Medicare </w:t>
      </w:r>
      <w:r w:rsidR="00A76D2F" w:rsidRPr="00617BCD">
        <w:rPr>
          <w:rFonts w:eastAsia="Times New Roman" w:cs="Arial"/>
          <w:color w:val="000000"/>
          <w:kern w:val="0"/>
          <w14:ligatures w14:val="none"/>
        </w:rPr>
        <w:t xml:space="preserve">across a range of disabilities are particularly impacted by </w:t>
      </w:r>
      <w:r w:rsidR="00CA0FA1">
        <w:rPr>
          <w:rFonts w:eastAsia="Times New Roman" w:cs="Arial"/>
          <w:color w:val="000000"/>
          <w:kern w:val="0"/>
          <w14:ligatures w14:val="none"/>
        </w:rPr>
        <w:t xml:space="preserve">practices such as narrow provider networks. </w:t>
      </w:r>
      <w:r w:rsidR="00A76D2F" w:rsidRPr="00617BCD">
        <w:rPr>
          <w:rFonts w:eastAsia="Times New Roman" w:cs="Arial"/>
          <w:color w:val="000000"/>
          <w:kern w:val="0"/>
          <w14:ligatures w14:val="none"/>
        </w:rPr>
        <w:t xml:space="preserve">They are more likely to need specialty care and </w:t>
      </w:r>
      <w:proofErr w:type="gramStart"/>
      <w:r w:rsidR="00A76D2F" w:rsidRPr="00617BCD">
        <w:rPr>
          <w:rFonts w:eastAsia="Times New Roman" w:cs="Arial"/>
          <w:color w:val="000000"/>
          <w:kern w:val="0"/>
          <w14:ligatures w14:val="none"/>
        </w:rPr>
        <w:t>providers</w:t>
      </w:r>
      <w:r w:rsidR="00D5173B">
        <w:rPr>
          <w:rFonts w:eastAsia="Times New Roman" w:cs="Arial"/>
          <w:color w:val="000000"/>
          <w:kern w:val="0"/>
          <w14:ligatures w14:val="none"/>
        </w:rPr>
        <w:t>, and</w:t>
      </w:r>
      <w:proofErr w:type="gramEnd"/>
      <w:r w:rsidR="00D5173B">
        <w:rPr>
          <w:rFonts w:eastAsia="Times New Roman" w:cs="Arial"/>
          <w:color w:val="000000"/>
          <w:kern w:val="0"/>
          <w14:ligatures w14:val="none"/>
        </w:rPr>
        <w:t xml:space="preserve"> have medical conditions and unique drug interactions that are not familiar to an MA plan’s reviewing providers, even if the MA member knew to file for an exception or make a grievance. Pediatric psychologists or obstetric providers can seem unnecessary for a Medicare network when Medicare as viewed purely as healthcare for those over 65, but </w:t>
      </w:r>
      <w:proofErr w:type="gramStart"/>
      <w:r w:rsidR="00D5173B">
        <w:rPr>
          <w:rFonts w:eastAsia="Times New Roman" w:cs="Arial"/>
          <w:color w:val="000000"/>
          <w:kern w:val="0"/>
          <w14:ligatures w14:val="none"/>
        </w:rPr>
        <w:t>there</w:t>
      </w:r>
      <w:proofErr w:type="gramEnd"/>
      <w:r w:rsidR="00D5173B">
        <w:rPr>
          <w:rFonts w:eastAsia="Times New Roman" w:cs="Arial"/>
          <w:color w:val="000000"/>
          <w:kern w:val="0"/>
          <w14:ligatures w14:val="none"/>
        </w:rPr>
        <w:t xml:space="preserve"> children and young adults with disabilities on Medicare, just as there are people who can and need to receive reproductive care. </w:t>
      </w:r>
      <w:r w:rsidR="00A76D2F" w:rsidRPr="00617BCD">
        <w:rPr>
          <w:rFonts w:eastAsia="Times New Roman" w:cs="Arial"/>
          <w:color w:val="000000"/>
          <w:kern w:val="0"/>
          <w14:ligatures w14:val="none"/>
        </w:rPr>
        <w:t xml:space="preserve">It can be very difficult to figure out if </w:t>
      </w:r>
      <w:proofErr w:type="gramStart"/>
      <w:r w:rsidR="00A76D2F" w:rsidRPr="00617BCD">
        <w:rPr>
          <w:rFonts w:eastAsia="Times New Roman" w:cs="Arial"/>
          <w:color w:val="000000"/>
          <w:kern w:val="0"/>
          <w14:ligatures w14:val="none"/>
        </w:rPr>
        <w:t>particular needed</w:t>
      </w:r>
      <w:proofErr w:type="gramEnd"/>
      <w:r w:rsidR="00A76D2F" w:rsidRPr="00617BCD">
        <w:rPr>
          <w:rFonts w:eastAsia="Times New Roman" w:cs="Arial"/>
          <w:color w:val="000000"/>
          <w:kern w:val="0"/>
          <w14:ligatures w14:val="none"/>
        </w:rPr>
        <w:t xml:space="preserve"> providers</w:t>
      </w:r>
      <w:r w:rsidR="00D5173B">
        <w:rPr>
          <w:rFonts w:eastAsia="Times New Roman" w:cs="Arial"/>
          <w:color w:val="000000"/>
          <w:kern w:val="0"/>
          <w14:ligatures w14:val="none"/>
        </w:rPr>
        <w:t xml:space="preserve"> (&amp; how many of them) </w:t>
      </w:r>
      <w:r w:rsidR="00A76D2F" w:rsidRPr="00617BCD">
        <w:rPr>
          <w:rFonts w:eastAsia="Times New Roman" w:cs="Arial"/>
          <w:color w:val="000000"/>
          <w:kern w:val="0"/>
          <w14:ligatures w14:val="none"/>
        </w:rPr>
        <w:t>are within a network and hard to have any needed options if those providers leave and the MA doesn’t do anything about it or moves very slowly</w:t>
      </w:r>
      <w:r w:rsidR="00BE6306">
        <w:rPr>
          <w:rFonts w:eastAsia="Times New Roman" w:cs="Arial"/>
          <w:color w:val="000000"/>
          <w:kern w:val="0"/>
          <w14:ligatures w14:val="none"/>
        </w:rPr>
        <w:t>.</w:t>
      </w:r>
      <w:r w:rsidR="00BE6306">
        <w:rPr>
          <w:rFonts w:eastAsia="Times New Roman" w:cs="Arial"/>
          <w:color w:val="000000"/>
          <w:kern w:val="0"/>
          <w14:ligatures w14:val="none"/>
        </w:rPr>
        <w:tab/>
      </w:r>
    </w:p>
    <w:p w14:paraId="04957B05" w14:textId="5D55304D" w:rsidR="00A76D2F" w:rsidRPr="00BE6306" w:rsidRDefault="00D5173B" w:rsidP="00D5173B">
      <w:pPr>
        <w:pStyle w:val="ListParagraph"/>
        <w:numPr>
          <w:ilvl w:val="0"/>
          <w:numId w:val="12"/>
        </w:numPr>
        <w:rPr>
          <w:rFonts w:ascii="Times New Roman" w:eastAsia="Times New Roman" w:hAnsi="Times New Roman" w:cs="Times New Roman"/>
          <w:kern w:val="0"/>
          <w:szCs w:val="24"/>
          <w14:ligatures w14:val="none"/>
        </w:rPr>
      </w:pPr>
      <w:r>
        <w:rPr>
          <w:rFonts w:eastAsia="Times New Roman" w:cs="Arial"/>
          <w:color w:val="000000"/>
          <w:kern w:val="0"/>
          <w14:ligatures w14:val="none"/>
        </w:rPr>
        <w:t xml:space="preserve">In addition, Medicare beneficiaries with mobility disabilities are likely to encounter </w:t>
      </w:r>
      <w:r w:rsidR="00A76D2F" w:rsidRPr="00A76D2F">
        <w:rPr>
          <w:rFonts w:eastAsia="Times New Roman" w:cs="Arial"/>
          <w:color w:val="000000"/>
          <w:kern w:val="0"/>
          <w14:ligatures w14:val="none"/>
        </w:rPr>
        <w:t xml:space="preserve">providers in network </w:t>
      </w:r>
      <w:r>
        <w:rPr>
          <w:rFonts w:eastAsia="Times New Roman" w:cs="Arial"/>
          <w:color w:val="000000"/>
          <w:kern w:val="0"/>
          <w14:ligatures w14:val="none"/>
        </w:rPr>
        <w:t xml:space="preserve">that </w:t>
      </w:r>
      <w:r w:rsidR="00A76D2F" w:rsidRPr="00A76D2F">
        <w:rPr>
          <w:rFonts w:eastAsia="Times New Roman" w:cs="Arial"/>
          <w:color w:val="000000"/>
          <w:kern w:val="0"/>
          <w14:ligatures w14:val="none"/>
        </w:rPr>
        <w:t>don’t have accessible equipment</w:t>
      </w:r>
      <w:r>
        <w:rPr>
          <w:rFonts w:eastAsia="Times New Roman" w:cs="Arial"/>
          <w:color w:val="000000"/>
          <w:kern w:val="0"/>
          <w14:ligatures w14:val="none"/>
        </w:rPr>
        <w:t xml:space="preserve"> </w:t>
      </w:r>
      <w:r w:rsidR="00A76D2F" w:rsidRPr="00A76D2F">
        <w:rPr>
          <w:rFonts w:eastAsia="Times New Roman" w:cs="Arial"/>
          <w:color w:val="000000"/>
          <w:kern w:val="0"/>
          <w14:ligatures w14:val="none"/>
        </w:rPr>
        <w:t>or problematically refuse to provide needed accommodations such as ASL</w:t>
      </w:r>
      <w:r>
        <w:rPr>
          <w:rFonts w:eastAsia="Times New Roman" w:cs="Arial"/>
          <w:color w:val="000000"/>
          <w:kern w:val="0"/>
          <w14:ligatures w14:val="none"/>
        </w:rPr>
        <w:t xml:space="preserve">. While there has been some slow improvement over the past 15 years, the percentage of even basic accessible weight scales and height-adjustable tables remains in the mid-teens and if those providers are not taking new patients, how long should a Medicare beneficiary have to wait for an MA plan to fix the situation? </w:t>
      </w:r>
      <w:r w:rsidR="00A76D2F" w:rsidRPr="00A76D2F">
        <w:rPr>
          <w:rFonts w:eastAsia="Times New Roman" w:cs="Arial"/>
          <w:color w:val="000000"/>
          <w:kern w:val="0"/>
          <w14:ligatures w14:val="none"/>
        </w:rPr>
        <w:t xml:space="preserve">PWD can have serious reasons to want to return to FFS Medicare, but once </w:t>
      </w:r>
      <w:r>
        <w:rPr>
          <w:rFonts w:eastAsia="Times New Roman" w:cs="Arial"/>
          <w:color w:val="000000"/>
          <w:kern w:val="0"/>
          <w14:ligatures w14:val="none"/>
        </w:rPr>
        <w:t xml:space="preserve">they are there, they will find themselves </w:t>
      </w:r>
      <w:r w:rsidR="00A76D2F" w:rsidRPr="00A76D2F">
        <w:rPr>
          <w:rFonts w:eastAsia="Times New Roman" w:cs="Arial"/>
          <w:color w:val="000000"/>
          <w:kern w:val="0"/>
          <w14:ligatures w14:val="none"/>
        </w:rPr>
        <w:t>forced to take the full financial impact of Medicare</w:t>
      </w:r>
      <w:r w:rsidR="00BE6306">
        <w:rPr>
          <w:rFonts w:eastAsia="Times New Roman" w:cs="Arial"/>
          <w:color w:val="000000"/>
          <w:kern w:val="0"/>
          <w14:ligatures w14:val="none"/>
        </w:rPr>
        <w:t xml:space="preserve">’s 20% copay </w:t>
      </w:r>
      <w:r w:rsidR="00A76D2F" w:rsidRPr="00A76D2F">
        <w:rPr>
          <w:rFonts w:eastAsia="Times New Roman" w:cs="Arial"/>
          <w:color w:val="000000"/>
          <w:kern w:val="0"/>
          <w14:ligatures w14:val="none"/>
        </w:rPr>
        <w:t>without the option of Medi-Gap.</w:t>
      </w:r>
    </w:p>
    <w:p w14:paraId="7ED0DEF0" w14:textId="77777777" w:rsidR="00BE6306" w:rsidRPr="00BE6306" w:rsidRDefault="00BE6306" w:rsidP="00D5173B">
      <w:pPr>
        <w:pStyle w:val="ListParagraph"/>
        <w:numPr>
          <w:ilvl w:val="0"/>
          <w:numId w:val="12"/>
        </w:numPr>
        <w:rPr>
          <w:rFonts w:ascii="Times New Roman" w:eastAsia="Times New Roman" w:hAnsi="Times New Roman" w:cs="Times New Roman"/>
          <w:kern w:val="0"/>
          <w:szCs w:val="24"/>
          <w14:ligatures w14:val="none"/>
        </w:rPr>
      </w:pPr>
      <w:r>
        <w:rPr>
          <w:rFonts w:eastAsia="Times New Roman" w:cs="Arial"/>
          <w:color w:val="000000"/>
          <w:kern w:val="0"/>
          <w14:ligatures w14:val="none"/>
        </w:rPr>
        <w:t>Younger disabled people on Medicare may or may not be employed, but they are less likely to have employment insurance as a back-up to Medicare:</w:t>
      </w:r>
    </w:p>
    <w:p w14:paraId="7E0514F5" w14:textId="12032639" w:rsidR="00BE6306" w:rsidRPr="00BE6306" w:rsidRDefault="00BE6306" w:rsidP="00BE6306">
      <w:pPr>
        <w:pStyle w:val="ListParagraph"/>
        <w:numPr>
          <w:ilvl w:val="1"/>
          <w:numId w:val="12"/>
        </w:numPr>
        <w:rPr>
          <w:rFonts w:ascii="Times New Roman" w:eastAsia="Times New Roman" w:hAnsi="Times New Roman" w:cs="Times New Roman"/>
          <w:kern w:val="0"/>
          <w:szCs w:val="24"/>
          <w14:ligatures w14:val="none"/>
        </w:rPr>
      </w:pPr>
      <w:r>
        <w:rPr>
          <w:rFonts w:eastAsia="Times New Roman" w:cs="Arial"/>
          <w:kern w:val="0"/>
          <w:szCs w:val="24"/>
          <w14:ligatures w14:val="none"/>
        </w:rPr>
        <w:t xml:space="preserve">The U.S. Bureau of Labor Statistics reports that </w:t>
      </w:r>
      <w:r w:rsidRPr="00BE6306">
        <w:rPr>
          <w:rFonts w:eastAsia="Times New Roman" w:cs="Arial"/>
          <w:kern w:val="0"/>
          <w:szCs w:val="24"/>
          <w14:ligatures w14:val="none"/>
        </w:rPr>
        <w:t>“</w:t>
      </w:r>
      <w:r w:rsidRPr="00BE6306">
        <w:rPr>
          <w:rStyle w:val="hgkelc"/>
          <w:b/>
          <w:bCs/>
          <w:lang w:val="en"/>
        </w:rPr>
        <w:t>Workers with a disability were more likely to be employed part time than were those with no disability</w:t>
      </w:r>
      <w:r w:rsidRPr="00BE6306">
        <w:rPr>
          <w:rStyle w:val="hgkelc"/>
          <w:lang w:val="en"/>
        </w:rPr>
        <w:t xml:space="preserve">. About 29 percent of those with a disability usually worked part time compared with about 16 percent of workers without a disability. About 3 percent of workers with a disability worked part time for </w:t>
      </w:r>
      <w:r w:rsidRPr="00BE6306">
        <w:rPr>
          <w:rStyle w:val="hgkelc"/>
          <w:lang w:val="en"/>
        </w:rPr>
        <w:lastRenderedPageBreak/>
        <w:t>economic reasons.</w:t>
      </w:r>
      <w:r w:rsidRPr="00BE6306">
        <w:rPr>
          <w:rFonts w:eastAsia="Times New Roman" w:cs="Arial"/>
          <w:kern w:val="0"/>
          <w:szCs w:val="24"/>
          <w14:ligatures w14:val="none"/>
        </w:rPr>
        <w:t>” PWD – Labor Force Characteristics (</w:t>
      </w:r>
      <w:hyperlink r:id="rId5" w:history="1">
        <w:r w:rsidRPr="00BE6306">
          <w:rPr>
            <w:rStyle w:val="Hyperlink"/>
            <w:rFonts w:eastAsia="Times New Roman" w:cs="Arial"/>
            <w:kern w:val="0"/>
            <w:szCs w:val="24"/>
            <w14:ligatures w14:val="none"/>
          </w:rPr>
          <w:t>Bureau of Labor Statistics</w:t>
        </w:r>
      </w:hyperlink>
      <w:r w:rsidRPr="00BE6306">
        <w:rPr>
          <w:rFonts w:eastAsia="Times New Roman" w:cs="Arial"/>
          <w:kern w:val="0"/>
          <w:szCs w:val="24"/>
          <w14:ligatures w14:val="none"/>
        </w:rPr>
        <w:t>)</w:t>
      </w:r>
      <w:r>
        <w:rPr>
          <w:rFonts w:eastAsia="Times New Roman" w:cs="Arial"/>
          <w:kern w:val="0"/>
          <w:szCs w:val="24"/>
          <w14:ligatures w14:val="none"/>
        </w:rPr>
        <w:t>;</w:t>
      </w:r>
    </w:p>
    <w:p w14:paraId="76A326AA" w14:textId="54B73861" w:rsidR="00BE6306" w:rsidRDefault="00BE6306" w:rsidP="00D355FD">
      <w:pPr>
        <w:pStyle w:val="ListParagraph"/>
        <w:numPr>
          <w:ilvl w:val="1"/>
          <w:numId w:val="12"/>
        </w:numPr>
        <w:rPr>
          <w:rFonts w:eastAsia="Times New Roman" w:cs="Arial"/>
          <w:kern w:val="0"/>
          <w:szCs w:val="24"/>
          <w14:ligatures w14:val="none"/>
        </w:rPr>
      </w:pPr>
      <w:r w:rsidRPr="00BE6306">
        <w:rPr>
          <w:rFonts w:eastAsia="Times New Roman" w:cs="Arial"/>
          <w:kern w:val="0"/>
          <w:szCs w:val="24"/>
          <w14:ligatures w14:val="none"/>
        </w:rPr>
        <w:t xml:space="preserve">People with disabilities not only face reduced income but also higher out-of-pocket costs. The </w:t>
      </w:r>
      <w:hyperlink r:id="rId6" w:history="1">
        <w:r w:rsidRPr="00967242">
          <w:rPr>
            <w:rStyle w:val="Hyperlink"/>
            <w:rFonts w:eastAsia="Times New Roman" w:cs="Arial"/>
            <w:kern w:val="0"/>
            <w:szCs w:val="24"/>
            <w14:ligatures w14:val="none"/>
          </w:rPr>
          <w:t>National Disability Institute in 2020 published a study</w:t>
        </w:r>
      </w:hyperlink>
      <w:r w:rsidRPr="00BE6306">
        <w:rPr>
          <w:rFonts w:eastAsia="Times New Roman" w:cs="Arial"/>
          <w:kern w:val="0"/>
          <w:szCs w:val="24"/>
          <w14:ligatures w14:val="none"/>
        </w:rPr>
        <w:t xml:space="preserve"> by “Researchers at Stony Brook University, the University of Tennessee, </w:t>
      </w:r>
      <w:r>
        <w:rPr>
          <w:rFonts w:eastAsia="Times New Roman" w:cs="Arial"/>
          <w:kern w:val="0"/>
          <w:szCs w:val="24"/>
          <w14:ligatures w14:val="none"/>
        </w:rPr>
        <w:t xml:space="preserve">the </w:t>
      </w:r>
      <w:r w:rsidRPr="00BE6306">
        <w:rPr>
          <w:rFonts w:eastAsia="Times New Roman" w:cs="Arial"/>
          <w:kern w:val="0"/>
          <w:szCs w:val="24"/>
          <w14:ligatures w14:val="none"/>
        </w:rPr>
        <w:t>National Disability Institute,</w:t>
      </w:r>
      <w:r>
        <w:rPr>
          <w:rFonts w:eastAsia="Times New Roman" w:cs="Arial"/>
          <w:kern w:val="0"/>
          <w:szCs w:val="24"/>
          <w14:ligatures w14:val="none"/>
        </w:rPr>
        <w:t xml:space="preserve"> </w:t>
      </w:r>
      <w:r w:rsidRPr="00BE6306">
        <w:rPr>
          <w:rFonts w:eastAsia="Times New Roman" w:cs="Arial"/>
          <w:kern w:val="0"/>
          <w:szCs w:val="24"/>
          <w14:ligatures w14:val="none"/>
        </w:rPr>
        <w:t>and the Oxford Institute of Population Ageing which estimated that a household containing an adult with a disability that limits their ability to work requires, on average, 28 percent more income (or an additional $17,690 a year) to obtain the same standard of living as a similar household without a member with a disability.”</w:t>
      </w:r>
    </w:p>
    <w:p w14:paraId="6072B656" w14:textId="77777777" w:rsidR="00BE6306" w:rsidRPr="00BE6306" w:rsidRDefault="00BE6306" w:rsidP="00BE6306">
      <w:pPr>
        <w:rPr>
          <w:rFonts w:ascii="Arial" w:eastAsia="Times New Roman" w:hAnsi="Arial" w:cs="Arial"/>
          <w:kern w:val="0"/>
          <w:sz w:val="24"/>
          <w:szCs w:val="24"/>
          <w14:ligatures w14:val="none"/>
        </w:rPr>
      </w:pPr>
    </w:p>
    <w:p w14:paraId="5E930EB0" w14:textId="0BAA6B7F" w:rsidR="00A76D2F" w:rsidRDefault="00BE6306" w:rsidP="00BE6306">
      <w:pPr>
        <w:pStyle w:val="ListParagraph"/>
        <w:numPr>
          <w:ilvl w:val="0"/>
          <w:numId w:val="15"/>
        </w:numPr>
        <w:rPr>
          <w:rFonts w:eastAsia="Times New Roman" w:cs="Arial"/>
          <w:kern w:val="0"/>
          <w:szCs w:val="24"/>
          <w14:ligatures w14:val="none"/>
        </w:rPr>
      </w:pPr>
      <w:r w:rsidRPr="00BE6306">
        <w:rPr>
          <w:rFonts w:eastAsia="Times New Roman" w:cs="Arial"/>
          <w:kern w:val="0"/>
          <w:szCs w:val="24"/>
          <w14:ligatures w14:val="none"/>
        </w:rPr>
        <w:t xml:space="preserve">For those over 65, we are increasingly seeing low-income older individuals having to work into their 60s and 70s. </w:t>
      </w:r>
      <w:r w:rsidR="00A76D2F" w:rsidRPr="00BE6306">
        <w:rPr>
          <w:rFonts w:eastAsia="Times New Roman" w:cs="Arial"/>
          <w:color w:val="000000"/>
          <w:kern w:val="0"/>
          <w:szCs w:val="24"/>
          <w14:ligatures w14:val="none"/>
        </w:rPr>
        <w:t>According to the Pew Research Center, more and more people are working past age 65, from 11% in 1987 to 19% (1 in 5) in 2023 (</w:t>
      </w:r>
      <w:hyperlink r:id="rId7" w:tgtFrame="_blank" w:history="1">
        <w:r w:rsidR="00A76D2F" w:rsidRPr="00BE6306">
          <w:rPr>
            <w:rFonts w:eastAsia="Times New Roman" w:cs="Arial"/>
            <w:color w:val="0000FF"/>
            <w:kern w:val="0"/>
            <w:szCs w:val="24"/>
            <w:u w:val="single"/>
            <w14:ligatures w14:val="none"/>
          </w:rPr>
          <w:t>https://www.pewresearch.org/social-trends/2023/12/14/older-workers-are-growing-in-number-and-earning-higher-wages/</w:t>
        </w:r>
      </w:hyperlink>
    </w:p>
    <w:p w14:paraId="3E569409" w14:textId="77777777" w:rsidR="00176200" w:rsidRDefault="00A76D2F" w:rsidP="00176200">
      <w:pPr>
        <w:pStyle w:val="ListParagraph"/>
        <w:numPr>
          <w:ilvl w:val="0"/>
          <w:numId w:val="15"/>
        </w:numPr>
        <w:rPr>
          <w:rFonts w:eastAsia="Times New Roman" w:cs="Arial"/>
          <w:kern w:val="0"/>
          <w:szCs w:val="24"/>
          <w14:ligatures w14:val="none"/>
        </w:rPr>
      </w:pPr>
      <w:r w:rsidRPr="00BE6306">
        <w:rPr>
          <w:rFonts w:eastAsia="Times New Roman" w:cs="Arial"/>
          <w:kern w:val="0"/>
          <w:szCs w:val="24"/>
          <w14:ligatures w14:val="none"/>
        </w:rPr>
        <w:t>Pew Research looks at the rosy side of this</w:t>
      </w:r>
      <w:r w:rsidR="00BE6306">
        <w:rPr>
          <w:rFonts w:eastAsia="Times New Roman" w:cs="Arial"/>
          <w:kern w:val="0"/>
          <w:szCs w:val="24"/>
          <w14:ligatures w14:val="none"/>
        </w:rPr>
        <w:t xml:space="preserve">, highlighting the fact that there are </w:t>
      </w:r>
      <w:r w:rsidR="006C1B92" w:rsidRPr="00BE6306">
        <w:rPr>
          <w:rFonts w:eastAsia="Times New Roman" w:cs="Arial"/>
          <w:kern w:val="0"/>
          <w:szCs w:val="24"/>
          <w14:ligatures w14:val="none"/>
        </w:rPr>
        <w:t>more older women in the workforce and more of those women have college degrees</w:t>
      </w:r>
      <w:r w:rsidR="00BE6306">
        <w:rPr>
          <w:rFonts w:eastAsia="Times New Roman" w:cs="Arial"/>
          <w:kern w:val="0"/>
          <w:szCs w:val="24"/>
          <w14:ligatures w14:val="none"/>
        </w:rPr>
        <w:t xml:space="preserve">. This fails to </w:t>
      </w:r>
      <w:proofErr w:type="gramStart"/>
      <w:r w:rsidR="00BE6306">
        <w:rPr>
          <w:rFonts w:eastAsia="Times New Roman" w:cs="Arial"/>
          <w:kern w:val="0"/>
          <w:szCs w:val="24"/>
          <w14:ligatures w14:val="none"/>
        </w:rPr>
        <w:t>take into account</w:t>
      </w:r>
      <w:proofErr w:type="gramEnd"/>
      <w:r w:rsidR="00BE6306">
        <w:rPr>
          <w:rFonts w:eastAsia="Times New Roman" w:cs="Arial"/>
          <w:kern w:val="0"/>
          <w:szCs w:val="24"/>
          <w14:ligatures w14:val="none"/>
        </w:rPr>
        <w:t xml:space="preserve"> ongoing </w:t>
      </w:r>
      <w:r w:rsidR="006C1B92" w:rsidRPr="00BE6306">
        <w:rPr>
          <w:rFonts w:eastAsia="Times New Roman" w:cs="Arial"/>
          <w:kern w:val="0"/>
          <w:szCs w:val="24"/>
          <w14:ligatures w14:val="none"/>
        </w:rPr>
        <w:t xml:space="preserve">wage GAPS between men and women or </w:t>
      </w:r>
      <w:r w:rsidR="00BE6306">
        <w:rPr>
          <w:rFonts w:eastAsia="Times New Roman" w:cs="Arial"/>
          <w:kern w:val="0"/>
          <w:szCs w:val="24"/>
          <w14:ligatures w14:val="none"/>
        </w:rPr>
        <w:t xml:space="preserve">the fact that </w:t>
      </w:r>
      <w:r w:rsidR="00176200">
        <w:rPr>
          <w:rFonts w:eastAsia="Times New Roman" w:cs="Arial"/>
          <w:kern w:val="0"/>
          <w:szCs w:val="24"/>
          <w14:ligatures w14:val="none"/>
        </w:rPr>
        <w:t xml:space="preserve">for </w:t>
      </w:r>
      <w:r w:rsidR="006C1B92" w:rsidRPr="00BE6306">
        <w:rPr>
          <w:rFonts w:eastAsia="Times New Roman" w:cs="Arial"/>
          <w:kern w:val="0"/>
          <w:szCs w:val="24"/>
          <w14:ligatures w14:val="none"/>
        </w:rPr>
        <w:t xml:space="preserve">older workers who are earning far below average, </w:t>
      </w:r>
      <w:r w:rsidR="00176200">
        <w:rPr>
          <w:rFonts w:eastAsia="Times New Roman" w:cs="Arial"/>
          <w:kern w:val="0"/>
          <w:szCs w:val="24"/>
          <w14:ligatures w14:val="none"/>
        </w:rPr>
        <w:t xml:space="preserve">working well into typical retirement age is not a real choice. </w:t>
      </w:r>
      <w:r w:rsidR="006C1B92" w:rsidRPr="00BE6306">
        <w:rPr>
          <w:rFonts w:eastAsia="Times New Roman" w:cs="Arial"/>
          <w:kern w:val="0"/>
          <w:szCs w:val="24"/>
          <w14:ligatures w14:val="none"/>
        </w:rPr>
        <w:t xml:space="preserve">or how many there are of these low-income older workers. </w:t>
      </w:r>
      <w:r w:rsidR="00176200">
        <w:rPr>
          <w:rFonts w:eastAsia="Times New Roman" w:cs="Arial"/>
          <w:kern w:val="0"/>
          <w:szCs w:val="24"/>
          <w14:ligatures w14:val="none"/>
        </w:rPr>
        <w:t xml:space="preserve">The </w:t>
      </w:r>
      <w:hyperlink r:id="rId8" w:history="1">
        <w:r w:rsidR="006C1B92" w:rsidRPr="00176200">
          <w:rPr>
            <w:rStyle w:val="Hyperlink"/>
            <w:rFonts w:eastAsia="Times New Roman" w:cs="Arial"/>
            <w:kern w:val="0"/>
            <w:szCs w:val="24"/>
            <w14:ligatures w14:val="none"/>
          </w:rPr>
          <w:t xml:space="preserve">National Council </w:t>
        </w:r>
        <w:proofErr w:type="gramStart"/>
        <w:r w:rsidR="006C1B92" w:rsidRPr="00176200">
          <w:rPr>
            <w:rStyle w:val="Hyperlink"/>
            <w:rFonts w:eastAsia="Times New Roman" w:cs="Arial"/>
            <w:kern w:val="0"/>
            <w:szCs w:val="24"/>
            <w14:ligatures w14:val="none"/>
          </w:rPr>
          <w:t>On</w:t>
        </w:r>
        <w:proofErr w:type="gramEnd"/>
        <w:r w:rsidR="006C1B92" w:rsidRPr="00176200">
          <w:rPr>
            <w:rStyle w:val="Hyperlink"/>
            <w:rFonts w:eastAsia="Times New Roman" w:cs="Arial"/>
            <w:kern w:val="0"/>
            <w:szCs w:val="24"/>
            <w14:ligatures w14:val="none"/>
          </w:rPr>
          <w:t xml:space="preserve"> Aging</w:t>
        </w:r>
      </w:hyperlink>
      <w:r w:rsidR="006C1B92" w:rsidRPr="00176200">
        <w:rPr>
          <w:rFonts w:eastAsia="Times New Roman" w:cs="Arial"/>
          <w:kern w:val="0"/>
          <w:szCs w:val="24"/>
          <w14:ligatures w14:val="none"/>
        </w:rPr>
        <w:t xml:space="preserve"> </w:t>
      </w:r>
      <w:r w:rsidR="00176200">
        <w:rPr>
          <w:rFonts w:eastAsia="Times New Roman" w:cs="Arial"/>
          <w:kern w:val="0"/>
          <w:szCs w:val="24"/>
          <w14:ligatures w14:val="none"/>
        </w:rPr>
        <w:t>provides us with important context:</w:t>
      </w:r>
    </w:p>
    <w:p w14:paraId="15A67569" w14:textId="29A90457" w:rsidR="006C1B92" w:rsidRDefault="00176200" w:rsidP="00176200">
      <w:pPr>
        <w:pStyle w:val="ListParagraph"/>
        <w:numPr>
          <w:ilvl w:val="1"/>
          <w:numId w:val="16"/>
        </w:numPr>
        <w:rPr>
          <w:rFonts w:eastAsia="Times New Roman" w:cs="Arial"/>
          <w:kern w:val="0"/>
          <w:szCs w:val="24"/>
          <w14:ligatures w14:val="none"/>
        </w:rPr>
      </w:pPr>
      <w:r w:rsidRPr="00176200">
        <w:rPr>
          <w:rFonts w:eastAsia="Times New Roman" w:cs="Arial"/>
          <w:kern w:val="0"/>
          <w:szCs w:val="24"/>
          <w14:ligatures w14:val="none"/>
        </w:rPr>
        <w:t>M</w:t>
      </w:r>
      <w:r w:rsidR="006C1B92" w:rsidRPr="00176200">
        <w:rPr>
          <w:rFonts w:eastAsia="Times New Roman" w:cs="Arial"/>
          <w:kern w:val="0"/>
          <w:szCs w:val="24"/>
          <w14:ligatures w14:val="none"/>
        </w:rPr>
        <w:t xml:space="preserve">ore than 17 million Americans age 65+ are economically </w:t>
      </w:r>
      <w:proofErr w:type="gramStart"/>
      <w:r w:rsidR="006C1B92" w:rsidRPr="00176200">
        <w:rPr>
          <w:rFonts w:eastAsia="Times New Roman" w:cs="Arial"/>
          <w:kern w:val="0"/>
          <w:szCs w:val="24"/>
          <w14:ligatures w14:val="none"/>
        </w:rPr>
        <w:t>insecure—living</w:t>
      </w:r>
      <w:proofErr w:type="gramEnd"/>
      <w:r w:rsidR="006C1B92" w:rsidRPr="00176200">
        <w:rPr>
          <w:rFonts w:eastAsia="Times New Roman" w:cs="Arial"/>
          <w:kern w:val="0"/>
          <w:szCs w:val="24"/>
          <w14:ligatures w14:val="none"/>
        </w:rPr>
        <w:t xml:space="preserve"> at or below 200% of the federal poverty level (FPL) ($29,160 per year for a single person in 2023).</w:t>
      </w:r>
      <w:r w:rsidR="006C1B92" w:rsidRPr="00176200">
        <w:rPr>
          <w:rFonts w:eastAsia="Times New Roman" w:cs="Arial"/>
          <w:b/>
          <w:bCs/>
          <w:kern w:val="0"/>
          <w:szCs w:val="24"/>
          <w:vertAlign w:val="superscript"/>
          <w14:ligatures w14:val="none"/>
        </w:rPr>
        <w:t>1</w:t>
      </w:r>
      <w:r w:rsidR="006C1B92" w:rsidRPr="00176200">
        <w:rPr>
          <w:rFonts w:eastAsia="Times New Roman" w:cs="Arial"/>
          <w:kern w:val="0"/>
          <w:szCs w:val="24"/>
          <w14:ligatures w14:val="none"/>
        </w:rPr>
        <w:t xml:space="preserve"> These older adults struggle with rising housing and health care bills, inadequate nutrition, lack of access to transportation, diminished savings, and job loss</w:t>
      </w:r>
      <w:r>
        <w:rPr>
          <w:rFonts w:eastAsia="Times New Roman" w:cs="Arial"/>
          <w:kern w:val="0"/>
          <w:szCs w:val="24"/>
          <w14:ligatures w14:val="none"/>
        </w:rPr>
        <w:t>. The burden of having to cover 20% of the costs of a single significant health event or condition can be catastrophic.</w:t>
      </w:r>
    </w:p>
    <w:p w14:paraId="708A9621" w14:textId="77777777" w:rsidR="00176200" w:rsidRPr="00176200" w:rsidRDefault="006C1B92" w:rsidP="00663F94">
      <w:pPr>
        <w:numPr>
          <w:ilvl w:val="1"/>
          <w:numId w:val="16"/>
        </w:numPr>
        <w:spacing w:before="100" w:beforeAutospacing="1" w:after="100" w:afterAutospacing="1" w:line="240" w:lineRule="auto"/>
        <w:rPr>
          <w:rFonts w:eastAsia="Times New Roman" w:cs="Arial"/>
          <w:kern w:val="0"/>
          <w:szCs w:val="24"/>
          <w14:ligatures w14:val="none"/>
        </w:rPr>
      </w:pPr>
      <w:r w:rsidRPr="00176200">
        <w:rPr>
          <w:rFonts w:ascii="Arial" w:eastAsia="Times New Roman" w:hAnsi="Arial" w:cs="Arial"/>
          <w:kern w:val="0"/>
          <w:sz w:val="24"/>
          <w:szCs w:val="24"/>
          <w14:ligatures w14:val="none"/>
        </w:rPr>
        <w:t>Older women are more likely to live in poverty than men as a result of wage discrimination and having to take time out of the workforce for caregiving.</w:t>
      </w:r>
      <w:r w:rsidRPr="00176200">
        <w:rPr>
          <w:rFonts w:ascii="Arial" w:eastAsia="Times New Roman" w:hAnsi="Arial" w:cs="Arial"/>
          <w:b/>
          <w:bCs/>
          <w:kern w:val="0"/>
          <w:sz w:val="24"/>
          <w:szCs w:val="24"/>
          <w:vertAlign w:val="superscript"/>
          <w14:ligatures w14:val="none"/>
        </w:rPr>
        <w:t>3</w:t>
      </w:r>
      <w:r w:rsidR="00176200" w:rsidRPr="00176200">
        <w:rPr>
          <w:rFonts w:eastAsia="Times New Roman" w:cs="Arial"/>
          <w:kern w:val="0"/>
          <w:szCs w:val="24"/>
          <w14:ligatures w14:val="none"/>
        </w:rPr>
        <w:t xml:space="preserve"> </w:t>
      </w:r>
      <w:r w:rsidR="00176200" w:rsidRPr="006C1B92">
        <w:rPr>
          <w:rFonts w:ascii="Arial" w:eastAsia="Times New Roman" w:hAnsi="Arial" w:cs="Arial"/>
          <w:kern w:val="0"/>
          <w:sz w:val="24"/>
          <w:szCs w:val="24"/>
          <w14:ligatures w14:val="none"/>
        </w:rPr>
        <w:t xml:space="preserve">On average, older women received about $9,900 less annually in retirement income in 2016 than older men due to lower lifetime </w:t>
      </w:r>
      <w:proofErr w:type="gramStart"/>
      <w:r w:rsidR="00176200" w:rsidRPr="006C1B92">
        <w:rPr>
          <w:rFonts w:ascii="Arial" w:eastAsia="Times New Roman" w:hAnsi="Arial" w:cs="Arial"/>
          <w:kern w:val="0"/>
          <w:sz w:val="24"/>
          <w:szCs w:val="24"/>
          <w14:ligatures w14:val="none"/>
        </w:rPr>
        <w:t>earnings,  time</w:t>
      </w:r>
      <w:proofErr w:type="gramEnd"/>
      <w:r w:rsidR="00176200" w:rsidRPr="006C1B92">
        <w:rPr>
          <w:rFonts w:ascii="Arial" w:eastAsia="Times New Roman" w:hAnsi="Arial" w:cs="Arial"/>
          <w:kern w:val="0"/>
          <w:sz w:val="24"/>
          <w:szCs w:val="24"/>
          <w14:ligatures w14:val="none"/>
        </w:rPr>
        <w:t xml:space="preserve"> taken off for caregiving, occupational segregation into lower wage work, and other issues. Older women of color fare even worse.</w:t>
      </w:r>
    </w:p>
    <w:p w14:paraId="2A827BD0" w14:textId="4AFD3FEF" w:rsidR="006C1B92" w:rsidRPr="00176200" w:rsidRDefault="006C1B92" w:rsidP="00663F94">
      <w:pPr>
        <w:numPr>
          <w:ilvl w:val="1"/>
          <w:numId w:val="16"/>
        </w:numPr>
        <w:spacing w:before="100" w:beforeAutospacing="1" w:after="100" w:afterAutospacing="1" w:line="240" w:lineRule="auto"/>
        <w:rPr>
          <w:rFonts w:eastAsia="Times New Roman" w:cs="Arial"/>
          <w:kern w:val="0"/>
          <w:szCs w:val="24"/>
          <w14:ligatures w14:val="none"/>
        </w:rPr>
      </w:pPr>
      <w:r w:rsidRPr="00176200">
        <w:rPr>
          <w:rFonts w:ascii="Arial" w:eastAsia="Times New Roman" w:hAnsi="Arial" w:cs="Arial"/>
          <w:kern w:val="0"/>
          <w:sz w:val="24"/>
          <w:szCs w:val="24"/>
          <w14:ligatures w14:val="none"/>
        </w:rPr>
        <w:t>Over half of Black and Hispanic adults age 65+ have incomes below 200% of FPL.</w:t>
      </w:r>
      <w:r w:rsidRPr="00176200">
        <w:rPr>
          <w:rFonts w:ascii="Arial" w:eastAsia="Times New Roman" w:hAnsi="Arial" w:cs="Arial"/>
          <w:b/>
          <w:bCs/>
          <w:kern w:val="0"/>
          <w:sz w:val="24"/>
          <w:szCs w:val="24"/>
          <w:vertAlign w:val="superscript"/>
          <w14:ligatures w14:val="none"/>
        </w:rPr>
        <w:t>2</w:t>
      </w:r>
    </w:p>
    <w:p w14:paraId="7C255014" w14:textId="5D43F234" w:rsidR="006C1B92" w:rsidRDefault="00176200" w:rsidP="00176200">
      <w:pPr>
        <w:pStyle w:val="ListParagraph"/>
        <w:numPr>
          <w:ilvl w:val="1"/>
          <w:numId w:val="16"/>
        </w:numPr>
        <w:rPr>
          <w:rFonts w:eastAsia="Times New Roman" w:cs="Arial"/>
          <w:kern w:val="0"/>
          <w:szCs w:val="24"/>
          <w14:ligatures w14:val="none"/>
        </w:rPr>
      </w:pPr>
      <w:r w:rsidRPr="00176200">
        <w:rPr>
          <w:rFonts w:eastAsia="Times New Roman" w:cs="Arial"/>
          <w:kern w:val="0"/>
          <w:szCs w:val="24"/>
          <w14:ligatures w14:val="none"/>
        </w:rPr>
        <w:t xml:space="preserve">According to more accurate measures of elder poverty, </w:t>
      </w:r>
      <w:r w:rsidR="006C1B92" w:rsidRPr="00176200">
        <w:rPr>
          <w:rFonts w:eastAsia="Times New Roman" w:cs="Arial"/>
          <w:kern w:val="0"/>
          <w:szCs w:val="24"/>
          <w14:ligatures w14:val="none"/>
        </w:rPr>
        <w:t xml:space="preserve">millions of older adults struggling to meet their monthly expenses, even though </w:t>
      </w:r>
      <w:proofErr w:type="gramStart"/>
      <w:r w:rsidR="006C1B92" w:rsidRPr="00176200">
        <w:rPr>
          <w:rFonts w:eastAsia="Times New Roman" w:cs="Arial"/>
          <w:kern w:val="0"/>
          <w:szCs w:val="24"/>
          <w14:ligatures w14:val="none"/>
        </w:rPr>
        <w:t>they’re</w:t>
      </w:r>
      <w:proofErr w:type="gramEnd"/>
      <w:r w:rsidR="006C1B92" w:rsidRPr="00176200">
        <w:rPr>
          <w:rFonts w:eastAsia="Times New Roman" w:cs="Arial"/>
          <w:kern w:val="0"/>
          <w:szCs w:val="24"/>
          <w14:ligatures w14:val="none"/>
        </w:rPr>
        <w:t xml:space="preserve"> not considered “poor” because they live above the FPL.</w:t>
      </w:r>
    </w:p>
    <w:p w14:paraId="4E9E6D7D" w14:textId="77777777" w:rsidR="006C1B92" w:rsidRPr="002453AA" w:rsidRDefault="006C1B92" w:rsidP="00176200">
      <w:pPr>
        <w:pStyle w:val="ListParagraph"/>
        <w:numPr>
          <w:ilvl w:val="1"/>
          <w:numId w:val="16"/>
        </w:numPr>
        <w:rPr>
          <w:rFonts w:eastAsia="Times New Roman" w:cs="Arial"/>
          <w:kern w:val="0"/>
          <w:szCs w:val="24"/>
          <w14:ligatures w14:val="none"/>
        </w:rPr>
      </w:pPr>
      <w:r w:rsidRPr="00176200">
        <w:rPr>
          <w:rFonts w:eastAsia="Times New Roman" w:cs="Arial"/>
          <w:kern w:val="0"/>
          <w:szCs w:val="24"/>
          <w14:ligatures w14:val="none"/>
        </w:rPr>
        <w:t xml:space="preserve">In 2017, nearly half of adults </w:t>
      </w:r>
      <w:proofErr w:type="gramStart"/>
      <w:r w:rsidRPr="00176200">
        <w:rPr>
          <w:rFonts w:eastAsia="Times New Roman" w:cs="Arial"/>
          <w:kern w:val="0"/>
          <w:szCs w:val="24"/>
          <w14:ligatures w14:val="none"/>
        </w:rPr>
        <w:t>age</w:t>
      </w:r>
      <w:proofErr w:type="gramEnd"/>
      <w:r w:rsidRPr="00176200">
        <w:rPr>
          <w:rFonts w:eastAsia="Times New Roman" w:cs="Arial"/>
          <w:kern w:val="0"/>
          <w:szCs w:val="24"/>
          <w14:ligatures w14:val="none"/>
        </w:rPr>
        <w:t xml:space="preserve"> 55-66 had no personal retirement savings. About 50% of women </w:t>
      </w:r>
      <w:proofErr w:type="gramStart"/>
      <w:r w:rsidRPr="00176200">
        <w:rPr>
          <w:rFonts w:eastAsia="Times New Roman" w:cs="Arial"/>
          <w:kern w:val="0"/>
          <w:szCs w:val="24"/>
          <w14:ligatures w14:val="none"/>
        </w:rPr>
        <w:t>age</w:t>
      </w:r>
      <w:proofErr w:type="gramEnd"/>
      <w:r w:rsidRPr="00176200">
        <w:rPr>
          <w:rFonts w:eastAsia="Times New Roman" w:cs="Arial"/>
          <w:kern w:val="0"/>
          <w:szCs w:val="24"/>
          <w14:ligatures w14:val="none"/>
        </w:rPr>
        <w:t xml:space="preserve"> 55-66 had no personal retirement savings, compared to 47% of men in that age group.</w:t>
      </w:r>
      <w:r w:rsidRPr="00176200">
        <w:rPr>
          <w:rFonts w:eastAsia="Times New Roman" w:cs="Arial"/>
          <w:b/>
          <w:bCs/>
          <w:kern w:val="0"/>
          <w:szCs w:val="24"/>
          <w:vertAlign w:val="superscript"/>
          <w14:ligatures w14:val="none"/>
        </w:rPr>
        <w:t>13</w:t>
      </w:r>
    </w:p>
    <w:p w14:paraId="696E7664" w14:textId="09BACAE1" w:rsidR="006C1B92" w:rsidRPr="002453AA" w:rsidRDefault="006C1B92" w:rsidP="002453AA">
      <w:pPr>
        <w:pStyle w:val="ListParagraph"/>
        <w:numPr>
          <w:ilvl w:val="1"/>
          <w:numId w:val="16"/>
        </w:numPr>
        <w:rPr>
          <w:rFonts w:eastAsia="Times New Roman" w:cs="Arial"/>
          <w:kern w:val="0"/>
          <w:szCs w:val="24"/>
          <w14:ligatures w14:val="none"/>
        </w:rPr>
      </w:pPr>
      <w:r w:rsidRPr="002453AA">
        <w:rPr>
          <w:rFonts w:eastAsia="Times New Roman" w:cs="Arial"/>
          <w:kern w:val="0"/>
          <w:szCs w:val="24"/>
          <w14:ligatures w14:val="none"/>
        </w:rPr>
        <w:lastRenderedPageBreak/>
        <w:t xml:space="preserve">About one in four older adults </w:t>
      </w:r>
      <w:r w:rsidR="002453AA">
        <w:rPr>
          <w:rFonts w:eastAsia="Times New Roman" w:cs="Arial"/>
          <w:kern w:val="0"/>
          <w:szCs w:val="24"/>
          <w14:ligatures w14:val="none"/>
        </w:rPr>
        <w:t xml:space="preserve">over </w:t>
      </w:r>
      <w:r w:rsidRPr="002453AA">
        <w:rPr>
          <w:rFonts w:eastAsia="Times New Roman" w:cs="Arial"/>
          <w:kern w:val="0"/>
          <w:szCs w:val="24"/>
          <w14:ligatures w14:val="none"/>
        </w:rPr>
        <w:t>65 scrimp on food, utilities, clothing, or medication due to health care costs. And in 2022, 37% of older adults were worried about affording health care in the coming year.</w:t>
      </w:r>
      <w:r w:rsidRPr="002453AA">
        <w:rPr>
          <w:rFonts w:eastAsia="Times New Roman" w:cs="Arial"/>
          <w:b/>
          <w:bCs/>
          <w:kern w:val="0"/>
          <w:szCs w:val="24"/>
          <w:vertAlign w:val="superscript"/>
          <w14:ligatures w14:val="none"/>
        </w:rPr>
        <w:t>19</w:t>
      </w:r>
    </w:p>
    <w:p w14:paraId="4DC0C972" w14:textId="1DE17B84" w:rsidR="006C1B92" w:rsidRPr="002453AA" w:rsidRDefault="002453AA" w:rsidP="002453AA">
      <w:pPr>
        <w:pStyle w:val="ListParagraph"/>
        <w:numPr>
          <w:ilvl w:val="1"/>
          <w:numId w:val="16"/>
        </w:numPr>
        <w:rPr>
          <w:rFonts w:eastAsia="Times New Roman" w:cs="Arial"/>
          <w:kern w:val="0"/>
          <w:szCs w:val="24"/>
          <w14:ligatures w14:val="none"/>
        </w:rPr>
      </w:pPr>
      <w:r>
        <w:rPr>
          <w:rFonts w:eastAsia="Times New Roman" w:cs="Arial"/>
          <w:kern w:val="0"/>
          <w:szCs w:val="24"/>
          <w14:ligatures w14:val="none"/>
        </w:rPr>
        <w:t>T</w:t>
      </w:r>
      <w:r w:rsidR="006C1B92" w:rsidRPr="002453AA">
        <w:rPr>
          <w:rFonts w:eastAsia="Times New Roman" w:cs="Arial"/>
          <w:kern w:val="0"/>
          <w:szCs w:val="24"/>
          <w14:ligatures w14:val="none"/>
        </w:rPr>
        <w:t>o cover health expenses in retirement, the average couple 65+ would need $315,000 in after-tax savings.</w:t>
      </w:r>
      <w:r w:rsidR="006C1B92" w:rsidRPr="002453AA">
        <w:rPr>
          <w:rFonts w:eastAsia="Times New Roman" w:cs="Arial"/>
          <w:b/>
          <w:bCs/>
          <w:kern w:val="0"/>
          <w:szCs w:val="24"/>
          <w:vertAlign w:val="superscript"/>
          <w14:ligatures w14:val="none"/>
        </w:rPr>
        <w:t>20</w:t>
      </w:r>
    </w:p>
    <w:p w14:paraId="7E5D2917" w14:textId="77777777" w:rsidR="002453AA" w:rsidRDefault="002453AA" w:rsidP="00A76D2F">
      <w:pPr>
        <w:spacing w:after="0" w:line="240" w:lineRule="auto"/>
        <w:rPr>
          <w:rFonts w:ascii="Arial" w:eastAsia="Times New Roman" w:hAnsi="Arial" w:cs="Arial"/>
          <w:kern w:val="0"/>
          <w:sz w:val="24"/>
          <w:szCs w:val="24"/>
          <w14:ligatures w14:val="none"/>
        </w:rPr>
      </w:pPr>
    </w:p>
    <w:p w14:paraId="0D5B3B8B" w14:textId="77777777" w:rsidR="002453AA" w:rsidRDefault="002453AA" w:rsidP="002453AA">
      <w:pPr>
        <w:pStyle w:val="ListParagraph"/>
        <w:numPr>
          <w:ilvl w:val="0"/>
          <w:numId w:val="17"/>
        </w:numPr>
        <w:rPr>
          <w:rFonts w:eastAsia="Times New Roman" w:cs="Arial"/>
          <w:kern w:val="0"/>
          <w:szCs w:val="24"/>
          <w14:ligatures w14:val="none"/>
        </w:rPr>
      </w:pPr>
      <w:r w:rsidRPr="002453AA">
        <w:rPr>
          <w:rFonts w:eastAsia="Times New Roman" w:cs="Arial"/>
          <w:kern w:val="0"/>
          <w:szCs w:val="24"/>
          <w14:ligatures w14:val="none"/>
        </w:rPr>
        <w:t xml:space="preserve">In sum, </w:t>
      </w:r>
      <w:r w:rsidR="009B3330" w:rsidRPr="002453AA">
        <w:rPr>
          <w:rFonts w:eastAsia="Times New Roman" w:cs="Arial"/>
          <w:kern w:val="0"/>
          <w:szCs w:val="24"/>
          <w14:ligatures w14:val="none"/>
        </w:rPr>
        <w:t xml:space="preserve">Medicare beneficiaries, both those under and over 65, who </w:t>
      </w:r>
      <w:r w:rsidR="00D6259F" w:rsidRPr="002453AA">
        <w:rPr>
          <w:rFonts w:eastAsia="Times New Roman" w:cs="Arial"/>
          <w:kern w:val="0"/>
          <w:szCs w:val="24"/>
          <w14:ligatures w14:val="none"/>
        </w:rPr>
        <w:t xml:space="preserve">are left without the option of obtaining a Medigap policy are </w:t>
      </w:r>
      <w:r w:rsidRPr="002453AA">
        <w:rPr>
          <w:rFonts w:eastAsia="Times New Roman" w:cs="Arial"/>
          <w:kern w:val="0"/>
          <w:szCs w:val="24"/>
          <w14:ligatures w14:val="none"/>
        </w:rPr>
        <w:t xml:space="preserve">the very </w:t>
      </w:r>
      <w:r w:rsidR="00D6259F" w:rsidRPr="002453AA">
        <w:rPr>
          <w:rFonts w:eastAsia="Times New Roman" w:cs="Arial"/>
          <w:kern w:val="0"/>
          <w:szCs w:val="24"/>
          <w14:ligatures w14:val="none"/>
        </w:rPr>
        <w:t xml:space="preserve">individuals &amp; families who are </w:t>
      </w:r>
      <w:r w:rsidR="00D6259F" w:rsidRPr="002453AA">
        <w:rPr>
          <w:rFonts w:eastAsia="Times New Roman" w:cs="Arial"/>
          <w:b/>
          <w:bCs/>
          <w:kern w:val="0"/>
          <w:szCs w:val="24"/>
          <w14:ligatures w14:val="none"/>
        </w:rPr>
        <w:t>least</w:t>
      </w:r>
      <w:r w:rsidR="00D6259F" w:rsidRPr="002453AA">
        <w:rPr>
          <w:rFonts w:eastAsia="Times New Roman" w:cs="Arial"/>
          <w:kern w:val="0"/>
          <w:szCs w:val="24"/>
          <w14:ligatures w14:val="none"/>
        </w:rPr>
        <w:t xml:space="preserve"> able to get by without those policies.</w:t>
      </w:r>
      <w:r w:rsidRPr="002453AA">
        <w:rPr>
          <w:rFonts w:eastAsia="Times New Roman" w:cs="Arial"/>
          <w:kern w:val="0"/>
          <w:szCs w:val="24"/>
          <w14:ligatures w14:val="none"/>
        </w:rPr>
        <w:t xml:space="preserve"> Medicare’s 20% co-pay can be sizeable for this group, and lead to healthcare that is delayed or entirely avoided, leading to worse health outcomes and expenses </w:t>
      </w:r>
      <w:proofErr w:type="gramStart"/>
      <w:r w:rsidRPr="002453AA">
        <w:rPr>
          <w:rFonts w:eastAsia="Times New Roman" w:cs="Arial"/>
          <w:kern w:val="0"/>
          <w:szCs w:val="24"/>
          <w14:ligatures w14:val="none"/>
        </w:rPr>
        <w:t>later on</w:t>
      </w:r>
      <w:proofErr w:type="gramEnd"/>
      <w:r w:rsidRPr="002453AA">
        <w:rPr>
          <w:rFonts w:eastAsia="Times New Roman" w:cs="Arial"/>
          <w:kern w:val="0"/>
          <w:szCs w:val="24"/>
          <w14:ligatures w14:val="none"/>
        </w:rPr>
        <w:t xml:space="preserve">. This is a group that obviously needs affordable healthcare </w:t>
      </w:r>
      <w:proofErr w:type="gramStart"/>
      <w:r w:rsidRPr="002453AA">
        <w:rPr>
          <w:rFonts w:eastAsia="Times New Roman" w:cs="Arial"/>
          <w:kern w:val="0"/>
          <w:szCs w:val="24"/>
          <w14:ligatures w14:val="none"/>
        </w:rPr>
        <w:t>and also</w:t>
      </w:r>
      <w:proofErr w:type="gramEnd"/>
      <w:r w:rsidRPr="002453AA">
        <w:rPr>
          <w:rFonts w:eastAsia="Times New Roman" w:cs="Arial"/>
          <w:kern w:val="0"/>
          <w:szCs w:val="24"/>
          <w14:ligatures w14:val="none"/>
        </w:rPr>
        <w:t xml:space="preserve"> needs reasonable premiums.</w:t>
      </w:r>
    </w:p>
    <w:p w14:paraId="73A1ADDB" w14:textId="4446CDF6" w:rsidR="002453AA" w:rsidRDefault="002453AA" w:rsidP="00A76D2F">
      <w:pPr>
        <w:pStyle w:val="ListParagraph"/>
        <w:numPr>
          <w:ilvl w:val="0"/>
          <w:numId w:val="17"/>
        </w:numPr>
        <w:rPr>
          <w:rFonts w:eastAsia="Times New Roman" w:cs="Arial"/>
          <w:kern w:val="0"/>
          <w:szCs w:val="24"/>
          <w14:ligatures w14:val="none"/>
        </w:rPr>
      </w:pPr>
      <w:r w:rsidRPr="002453AA">
        <w:rPr>
          <w:rFonts w:eastAsia="Times New Roman" w:cs="Arial"/>
          <w:kern w:val="0"/>
          <w:szCs w:val="24"/>
          <w14:ligatures w14:val="none"/>
        </w:rPr>
        <w:t xml:space="preserve"> But we should not just automatically assume that allowing people over 65 and Medicare recipients under 65 to obtain a Medigap will make premiums unaffordable. Would $1 more PMPM make premiums unaffordable? Would $10 PMPM more make a policy that reduces Medicare’s copay burden make Medigap unaffordable? As Bonnie and Deb have shown, there are some states that make Medigap policies more readily </w:t>
      </w:r>
      <w:proofErr w:type="gramStart"/>
      <w:r w:rsidRPr="002453AA">
        <w:rPr>
          <w:rFonts w:eastAsia="Times New Roman" w:cs="Arial"/>
          <w:kern w:val="0"/>
          <w:szCs w:val="24"/>
          <w14:ligatures w14:val="none"/>
        </w:rPr>
        <w:t>available</w:t>
      </w:r>
      <w:proofErr w:type="gramEnd"/>
      <w:r w:rsidRPr="002453AA">
        <w:rPr>
          <w:rFonts w:eastAsia="Times New Roman" w:cs="Arial"/>
          <w:kern w:val="0"/>
          <w:szCs w:val="24"/>
          <w14:ligatures w14:val="none"/>
        </w:rPr>
        <w:t xml:space="preserve"> and the sky has not fallen. </w:t>
      </w:r>
    </w:p>
    <w:p w14:paraId="175B1028" w14:textId="3EFE026A" w:rsidR="006C1B92" w:rsidRPr="002453AA" w:rsidRDefault="002453AA" w:rsidP="00A76D2F">
      <w:pPr>
        <w:pStyle w:val="ListParagraph"/>
        <w:numPr>
          <w:ilvl w:val="0"/>
          <w:numId w:val="17"/>
        </w:numPr>
        <w:rPr>
          <w:rFonts w:eastAsia="Times New Roman" w:cs="Arial"/>
          <w:kern w:val="0"/>
          <w:szCs w:val="24"/>
          <w14:ligatures w14:val="none"/>
        </w:rPr>
      </w:pPr>
      <w:r w:rsidRPr="002453AA">
        <w:rPr>
          <w:rFonts w:eastAsia="Times New Roman" w:cs="Arial"/>
          <w:kern w:val="0"/>
          <w:szCs w:val="24"/>
          <w14:ligatures w14:val="none"/>
        </w:rPr>
        <w:t xml:space="preserve">Moreover, </w:t>
      </w:r>
      <w:r w:rsidR="00D6259F" w:rsidRPr="002453AA">
        <w:rPr>
          <w:rFonts w:eastAsia="Times New Roman" w:cs="Arial"/>
          <w:kern w:val="0"/>
          <w:szCs w:val="24"/>
          <w14:ligatures w14:val="none"/>
        </w:rPr>
        <w:t>giving people the healthcare they need, ensuring they aren’t skipping meds and not getting check-ups, will lead to better health outcomes and delay or prevent the onset of heavier health expenses</w:t>
      </w:r>
      <w:r>
        <w:rPr>
          <w:rFonts w:eastAsia="Times New Roman" w:cs="Arial"/>
          <w:kern w:val="0"/>
          <w:szCs w:val="24"/>
          <w14:ligatures w14:val="none"/>
        </w:rPr>
        <w:t xml:space="preserve">. There is no reason for </w:t>
      </w:r>
      <w:r w:rsidR="00E80D89" w:rsidRPr="002453AA">
        <w:rPr>
          <w:rFonts w:eastAsia="Times New Roman" w:cs="Arial"/>
          <w:kern w:val="0"/>
          <w:szCs w:val="24"/>
          <w14:ligatures w14:val="none"/>
        </w:rPr>
        <w:t xml:space="preserve">regulators and policymakers </w:t>
      </w:r>
      <w:r>
        <w:rPr>
          <w:rFonts w:eastAsia="Times New Roman" w:cs="Arial"/>
          <w:kern w:val="0"/>
          <w:szCs w:val="24"/>
          <w14:ligatures w14:val="none"/>
        </w:rPr>
        <w:t xml:space="preserve">to </w:t>
      </w:r>
      <w:r w:rsidR="00E80D89" w:rsidRPr="002453AA">
        <w:rPr>
          <w:rFonts w:eastAsia="Times New Roman" w:cs="Arial"/>
          <w:kern w:val="0"/>
          <w:szCs w:val="24"/>
          <w14:ligatures w14:val="none"/>
        </w:rPr>
        <w:t xml:space="preserve">just take the word of insurers that </w:t>
      </w:r>
      <w:r w:rsidR="006B7D2F">
        <w:rPr>
          <w:rFonts w:eastAsia="Times New Roman" w:cs="Arial"/>
          <w:kern w:val="0"/>
          <w:szCs w:val="24"/>
          <w14:ligatures w14:val="none"/>
        </w:rPr>
        <w:t xml:space="preserve">Medigap will be priced out of existence if the policies </w:t>
      </w:r>
      <w:r w:rsidR="00E80D89" w:rsidRPr="002453AA">
        <w:rPr>
          <w:rFonts w:eastAsia="Times New Roman" w:cs="Arial"/>
          <w:kern w:val="0"/>
          <w:szCs w:val="24"/>
          <w14:ligatures w14:val="none"/>
        </w:rPr>
        <w:t xml:space="preserve">were </w:t>
      </w:r>
      <w:r w:rsidR="006B7D2F">
        <w:rPr>
          <w:rFonts w:eastAsia="Times New Roman" w:cs="Arial"/>
          <w:kern w:val="0"/>
          <w:szCs w:val="24"/>
          <w14:ligatures w14:val="none"/>
        </w:rPr>
        <w:t xml:space="preserve">more broadly </w:t>
      </w:r>
      <w:r w:rsidR="00E80D89" w:rsidRPr="002453AA">
        <w:rPr>
          <w:rFonts w:eastAsia="Times New Roman" w:cs="Arial"/>
          <w:kern w:val="0"/>
          <w:szCs w:val="24"/>
          <w14:ligatures w14:val="none"/>
        </w:rPr>
        <w:t xml:space="preserve">subject to guarantee issue or if Medigap eligibility were expanded. </w:t>
      </w:r>
      <w:r w:rsidR="006B7D2F">
        <w:rPr>
          <w:rFonts w:eastAsia="Times New Roman" w:cs="Arial"/>
          <w:kern w:val="0"/>
          <w:szCs w:val="24"/>
          <w14:ligatures w14:val="none"/>
        </w:rPr>
        <w:t xml:space="preserve">If we don’t ask questions, </w:t>
      </w:r>
      <w:r w:rsidR="00E80D89" w:rsidRPr="002453AA">
        <w:rPr>
          <w:rFonts w:eastAsia="Times New Roman" w:cs="Arial"/>
          <w:kern w:val="0"/>
          <w:szCs w:val="24"/>
          <w14:ligatures w14:val="none"/>
        </w:rPr>
        <w:t xml:space="preserve">the </w:t>
      </w:r>
      <w:r w:rsidR="006B7D2F">
        <w:rPr>
          <w:rFonts w:eastAsia="Times New Roman" w:cs="Arial"/>
          <w:kern w:val="0"/>
          <w:szCs w:val="24"/>
          <w14:ligatures w14:val="none"/>
        </w:rPr>
        <w:t xml:space="preserve">current unfair </w:t>
      </w:r>
      <w:r w:rsidR="00E80D89" w:rsidRPr="002453AA">
        <w:rPr>
          <w:rFonts w:eastAsia="Times New Roman" w:cs="Arial"/>
          <w:kern w:val="0"/>
          <w:szCs w:val="24"/>
          <w14:ligatures w14:val="none"/>
        </w:rPr>
        <w:t xml:space="preserve">status quo will always prevail because </w:t>
      </w:r>
      <w:r w:rsidR="006B7D2F">
        <w:rPr>
          <w:rFonts w:eastAsia="Times New Roman" w:cs="Arial"/>
          <w:kern w:val="0"/>
          <w:szCs w:val="24"/>
          <w14:ligatures w14:val="none"/>
        </w:rPr>
        <w:t xml:space="preserve">consumers and advocates just don’t </w:t>
      </w:r>
      <w:r w:rsidR="00E80D89" w:rsidRPr="002453AA">
        <w:rPr>
          <w:rFonts w:eastAsia="Times New Roman" w:cs="Arial"/>
          <w:kern w:val="0"/>
          <w:szCs w:val="24"/>
          <w14:ligatures w14:val="none"/>
        </w:rPr>
        <w:t>have access to th</w:t>
      </w:r>
      <w:r w:rsidR="006B7D2F">
        <w:rPr>
          <w:rFonts w:eastAsia="Times New Roman" w:cs="Arial"/>
          <w:kern w:val="0"/>
          <w:szCs w:val="24"/>
          <w14:ligatures w14:val="none"/>
        </w:rPr>
        <w:t>e financial and actuarial information for</w:t>
      </w:r>
      <w:r w:rsidR="00E80D89" w:rsidRPr="002453AA">
        <w:rPr>
          <w:rFonts w:eastAsia="Times New Roman" w:cs="Arial"/>
          <w:kern w:val="0"/>
          <w:szCs w:val="24"/>
          <w14:ligatures w14:val="none"/>
        </w:rPr>
        <w:t xml:space="preserve"> ourselves.</w:t>
      </w:r>
    </w:p>
    <w:p w14:paraId="18F827D1" w14:textId="77777777" w:rsidR="009B3330" w:rsidRDefault="009B3330" w:rsidP="00A76D2F">
      <w:pPr>
        <w:spacing w:after="0" w:line="240" w:lineRule="auto"/>
        <w:rPr>
          <w:rFonts w:ascii="Arial" w:eastAsia="Times New Roman" w:hAnsi="Arial" w:cs="Arial"/>
          <w:kern w:val="0"/>
          <w:sz w:val="24"/>
          <w:szCs w:val="24"/>
          <w14:ligatures w14:val="none"/>
        </w:rPr>
      </w:pPr>
    </w:p>
    <w:p w14:paraId="6115D768" w14:textId="79411574" w:rsidR="00AA6928" w:rsidRPr="00AA6928" w:rsidRDefault="00AA6928" w:rsidP="00AA6928">
      <w:pPr>
        <w:spacing w:after="0" w:line="240" w:lineRule="auto"/>
        <w:rPr>
          <w:rFonts w:ascii="Arial" w:eastAsia="Times New Roman" w:hAnsi="Arial" w:cs="Arial"/>
          <w:color w:val="0000FF"/>
          <w:kern w:val="0"/>
          <w:sz w:val="24"/>
          <w:szCs w:val="24"/>
          <w:u w:val="single"/>
          <w14:ligatures w14:val="none"/>
        </w:rPr>
      </w:pPr>
      <w:r>
        <w:rPr>
          <w:rFonts w:ascii="Arial" w:eastAsia="Times New Roman" w:hAnsi="Arial" w:cs="Arial"/>
          <w:kern w:val="0"/>
          <w:sz w:val="24"/>
          <w:szCs w:val="24"/>
          <w14:ligatures w14:val="none"/>
        </w:rPr>
        <w:t xml:space="preserve">** One additional fact that was not in my presentation above, but is a relevant and related point (source: </w:t>
      </w:r>
      <w:hyperlink r:id="rId9" w:tgtFrame="_blank" w:history="1">
        <w:r w:rsidR="00A76D2F" w:rsidRPr="00A76D2F">
          <w:rPr>
            <w:rFonts w:ascii="Arial" w:eastAsia="Times New Roman" w:hAnsi="Arial" w:cs="Arial"/>
            <w:color w:val="0000FF"/>
            <w:kern w:val="0"/>
            <w:sz w:val="24"/>
            <w:szCs w:val="24"/>
            <w:u w:val="single"/>
            <w14:ligatures w14:val="none"/>
          </w:rPr>
          <w:t>https://www.kff.org/medicare/issue-brief/a</w:t>
        </w:r>
        <w:r w:rsidR="00A76D2F" w:rsidRPr="00A76D2F">
          <w:rPr>
            <w:rFonts w:ascii="Arial" w:eastAsia="Times New Roman" w:hAnsi="Arial" w:cs="Arial"/>
            <w:color w:val="0000FF"/>
            <w:kern w:val="0"/>
            <w:sz w:val="24"/>
            <w:szCs w:val="24"/>
            <w:u w:val="single"/>
            <w14:ligatures w14:val="none"/>
          </w:rPr>
          <w:t>-</w:t>
        </w:r>
        <w:r w:rsidR="00A76D2F" w:rsidRPr="00A76D2F">
          <w:rPr>
            <w:rFonts w:ascii="Arial" w:eastAsia="Times New Roman" w:hAnsi="Arial" w:cs="Arial"/>
            <w:color w:val="0000FF"/>
            <w:kern w:val="0"/>
            <w:sz w:val="24"/>
            <w:szCs w:val="24"/>
            <w:u w:val="single"/>
            <w14:ligatures w14:val="none"/>
          </w:rPr>
          <w:t>snapshot-of-sources-of-coverage-among-medicare-beneficiaries/</w:t>
        </w:r>
      </w:hyperlink>
      <w:r>
        <w:rPr>
          <w:rFonts w:ascii="Arial" w:eastAsia="Times New Roman" w:hAnsi="Arial" w:cs="Arial"/>
          <w:color w:val="0000FF"/>
          <w:kern w:val="0"/>
          <w:sz w:val="24"/>
          <w:szCs w:val="24"/>
          <w:u w:val="single"/>
          <w14:ligatures w14:val="none"/>
        </w:rPr>
        <w:t>)</w:t>
      </w:r>
    </w:p>
    <w:p w14:paraId="5AF427E8" w14:textId="77777777" w:rsidR="00AA6928" w:rsidRDefault="00AA6928" w:rsidP="00A76D2F">
      <w:pPr>
        <w:spacing w:after="0" w:line="240" w:lineRule="auto"/>
        <w:rPr>
          <w:rFonts w:ascii="Times New Roman" w:eastAsia="Times New Roman" w:hAnsi="Times New Roman" w:cs="Times New Roman"/>
          <w:kern w:val="0"/>
          <w:sz w:val="24"/>
          <w:szCs w:val="24"/>
          <w14:ligatures w14:val="none"/>
        </w:rPr>
      </w:pPr>
    </w:p>
    <w:p w14:paraId="4F978436" w14:textId="1A185922" w:rsidR="00AA6928" w:rsidRPr="00AA6928" w:rsidRDefault="00AA6928" w:rsidP="00AA6928">
      <w:pPr>
        <w:pStyle w:val="ListParagraph"/>
        <w:numPr>
          <w:ilvl w:val="0"/>
          <w:numId w:val="20"/>
        </w:numPr>
        <w:rPr>
          <w:rFonts w:ascii="Times New Roman" w:eastAsia="Times New Roman" w:hAnsi="Times New Roman" w:cs="Times New Roman"/>
          <w:kern w:val="0"/>
          <w:szCs w:val="24"/>
          <w14:ligatures w14:val="none"/>
        </w:rPr>
      </w:pPr>
      <w:r>
        <w:t>Compared to traditional Medicare beneficiaries in 2021, Medicare Advantage enrollees were more likely to be Black or Hispanic, have incomes below $20,000 per person, live in urban areas, and have lower levels of education (Figure 3, Appendix Table 1). In addition, dual-eligible individuals account for a larger share of Medicare Advantage enrollees (22%) than traditional Medicare beneficiaries (16%).</w:t>
      </w:r>
    </w:p>
    <w:p w14:paraId="6321543A" w14:textId="33203236" w:rsidR="00AA6928" w:rsidRDefault="00AA6928" w:rsidP="00A76D2F">
      <w:pPr>
        <w:spacing w:after="0" w:line="240" w:lineRule="auto"/>
        <w:rPr>
          <w:rFonts w:ascii="Times New Roman" w:eastAsia="Times New Roman" w:hAnsi="Times New Roman" w:cs="Times New Roman"/>
          <w:kern w:val="0"/>
          <w:sz w:val="24"/>
          <w:szCs w:val="24"/>
          <w14:ligatures w14:val="none"/>
        </w:rPr>
      </w:pPr>
    </w:p>
    <w:p w14:paraId="753318AE" w14:textId="77777777" w:rsidR="00AA6928" w:rsidRDefault="00AA6928" w:rsidP="00A76D2F">
      <w:pPr>
        <w:spacing w:after="0" w:line="240" w:lineRule="auto"/>
        <w:rPr>
          <w:rFonts w:ascii="Times New Roman" w:eastAsia="Times New Roman" w:hAnsi="Times New Roman" w:cs="Times New Roman"/>
          <w:kern w:val="0"/>
          <w:sz w:val="24"/>
          <w:szCs w:val="24"/>
          <w14:ligatures w14:val="none"/>
        </w:rPr>
      </w:pPr>
    </w:p>
    <w:p w14:paraId="439947B2" w14:textId="77777777" w:rsidR="00AA6928" w:rsidRDefault="00AA6928" w:rsidP="00A76D2F">
      <w:pPr>
        <w:spacing w:after="0" w:line="240" w:lineRule="auto"/>
        <w:rPr>
          <w:rFonts w:ascii="Times New Roman" w:eastAsia="Times New Roman" w:hAnsi="Times New Roman" w:cs="Times New Roman"/>
          <w:kern w:val="0"/>
          <w:sz w:val="24"/>
          <w:szCs w:val="24"/>
          <w14:ligatures w14:val="none"/>
        </w:rPr>
      </w:pPr>
    </w:p>
    <w:sectPr w:rsidR="00AA6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altName w:val="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hybridMultilevel"/>
    <w:tmpl w:val="930A86DE"/>
    <w:lvl w:ilvl="0" w:tplc="81809A2E">
      <w:start w:val="1"/>
      <w:numFmt w:val="decimal"/>
      <w:pStyle w:val="ListNumber"/>
      <w:lvlText w:val="%1."/>
      <w:lvlJc w:val="left"/>
      <w:pPr>
        <w:tabs>
          <w:tab w:val="num" w:pos="360"/>
        </w:tabs>
        <w:ind w:left="360" w:hanging="360"/>
      </w:pPr>
    </w:lvl>
    <w:lvl w:ilvl="1" w:tplc="6C1CFB46">
      <w:numFmt w:val="decimal"/>
      <w:lvlText w:val=""/>
      <w:lvlJc w:val="left"/>
    </w:lvl>
    <w:lvl w:ilvl="2" w:tplc="5C7ECBA2">
      <w:numFmt w:val="decimal"/>
      <w:lvlText w:val=""/>
      <w:lvlJc w:val="left"/>
    </w:lvl>
    <w:lvl w:ilvl="3" w:tplc="7DFA7E4C">
      <w:numFmt w:val="decimal"/>
      <w:lvlText w:val=""/>
      <w:lvlJc w:val="left"/>
    </w:lvl>
    <w:lvl w:ilvl="4" w:tplc="ACB05200">
      <w:numFmt w:val="decimal"/>
      <w:lvlText w:val=""/>
      <w:lvlJc w:val="left"/>
    </w:lvl>
    <w:lvl w:ilvl="5" w:tplc="3ECA263A">
      <w:numFmt w:val="decimal"/>
      <w:lvlText w:val=""/>
      <w:lvlJc w:val="left"/>
    </w:lvl>
    <w:lvl w:ilvl="6" w:tplc="03CCF17A">
      <w:numFmt w:val="decimal"/>
      <w:lvlText w:val=""/>
      <w:lvlJc w:val="left"/>
    </w:lvl>
    <w:lvl w:ilvl="7" w:tplc="646AA4E8">
      <w:numFmt w:val="decimal"/>
      <w:lvlText w:val=""/>
      <w:lvlJc w:val="left"/>
    </w:lvl>
    <w:lvl w:ilvl="8" w:tplc="C7D4BCE4">
      <w:numFmt w:val="decimal"/>
      <w:lvlText w:val=""/>
      <w:lvlJc w:val="left"/>
    </w:lvl>
  </w:abstractNum>
  <w:abstractNum w:abstractNumId="1" w15:restartNumberingAfterBreak="0">
    <w:nsid w:val="FFFFFF89"/>
    <w:multiLevelType w:val="hybridMultilevel"/>
    <w:tmpl w:val="1682D62C"/>
    <w:lvl w:ilvl="0" w:tplc="05E6C80C">
      <w:start w:val="1"/>
      <w:numFmt w:val="bullet"/>
      <w:pStyle w:val="ListBullet"/>
      <w:lvlText w:val=""/>
      <w:lvlJc w:val="left"/>
      <w:pPr>
        <w:tabs>
          <w:tab w:val="num" w:pos="360"/>
        </w:tabs>
        <w:ind w:left="360" w:hanging="360"/>
      </w:pPr>
      <w:rPr>
        <w:rFonts w:ascii="Symbol" w:hAnsi="Symbol" w:hint="default"/>
      </w:rPr>
    </w:lvl>
    <w:lvl w:ilvl="1" w:tplc="29D4363E">
      <w:numFmt w:val="decimal"/>
      <w:lvlText w:val=""/>
      <w:lvlJc w:val="left"/>
    </w:lvl>
    <w:lvl w:ilvl="2" w:tplc="3A86789E">
      <w:numFmt w:val="decimal"/>
      <w:lvlText w:val=""/>
      <w:lvlJc w:val="left"/>
    </w:lvl>
    <w:lvl w:ilvl="3" w:tplc="BB5AEB10">
      <w:numFmt w:val="decimal"/>
      <w:lvlText w:val=""/>
      <w:lvlJc w:val="left"/>
    </w:lvl>
    <w:lvl w:ilvl="4" w:tplc="7048F094">
      <w:numFmt w:val="decimal"/>
      <w:lvlText w:val=""/>
      <w:lvlJc w:val="left"/>
    </w:lvl>
    <w:lvl w:ilvl="5" w:tplc="004A5128">
      <w:numFmt w:val="decimal"/>
      <w:lvlText w:val=""/>
      <w:lvlJc w:val="left"/>
    </w:lvl>
    <w:lvl w:ilvl="6" w:tplc="DD964CA6">
      <w:numFmt w:val="decimal"/>
      <w:lvlText w:val=""/>
      <w:lvlJc w:val="left"/>
    </w:lvl>
    <w:lvl w:ilvl="7" w:tplc="E3502D18">
      <w:numFmt w:val="decimal"/>
      <w:lvlText w:val=""/>
      <w:lvlJc w:val="left"/>
    </w:lvl>
    <w:lvl w:ilvl="8" w:tplc="5C825E50">
      <w:numFmt w:val="decimal"/>
      <w:lvlText w:val=""/>
      <w:lvlJc w:val="left"/>
    </w:lvl>
  </w:abstractNum>
  <w:abstractNum w:abstractNumId="2" w15:restartNumberingAfterBreak="0">
    <w:nsid w:val="01426556"/>
    <w:multiLevelType w:val="hybridMultilevel"/>
    <w:tmpl w:val="4024EF1C"/>
    <w:lvl w:ilvl="0" w:tplc="04090001">
      <w:start w:val="1"/>
      <w:numFmt w:val="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536CA"/>
    <w:multiLevelType w:val="multilevel"/>
    <w:tmpl w:val="290C3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4B3628"/>
    <w:multiLevelType w:val="hybridMultilevel"/>
    <w:tmpl w:val="D564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A433A"/>
    <w:multiLevelType w:val="hybridMultilevel"/>
    <w:tmpl w:val="A23C4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2563B"/>
    <w:multiLevelType w:val="multilevel"/>
    <w:tmpl w:val="B0A42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E637A9"/>
    <w:multiLevelType w:val="multilevel"/>
    <w:tmpl w:val="07F2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1C7487"/>
    <w:multiLevelType w:val="hybridMultilevel"/>
    <w:tmpl w:val="503C9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D459D"/>
    <w:multiLevelType w:val="multilevel"/>
    <w:tmpl w:val="AB84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1A5333"/>
    <w:multiLevelType w:val="hybridMultilevel"/>
    <w:tmpl w:val="FE6E769A"/>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1675521"/>
    <w:multiLevelType w:val="multilevel"/>
    <w:tmpl w:val="2C9CB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F37225"/>
    <w:multiLevelType w:val="hybridMultilevel"/>
    <w:tmpl w:val="71FA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5E2A54"/>
    <w:multiLevelType w:val="hybridMultilevel"/>
    <w:tmpl w:val="5AEC7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075FC6"/>
    <w:multiLevelType w:val="hybridMultilevel"/>
    <w:tmpl w:val="094ACE38"/>
    <w:lvl w:ilvl="0" w:tplc="E66681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5F0B1D"/>
    <w:multiLevelType w:val="hybridMultilevel"/>
    <w:tmpl w:val="31AE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3E0A0E"/>
    <w:multiLevelType w:val="hybridMultilevel"/>
    <w:tmpl w:val="FCF0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5C5DA0"/>
    <w:multiLevelType w:val="hybridMultilevel"/>
    <w:tmpl w:val="1F928888"/>
    <w:lvl w:ilvl="0" w:tplc="E666815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3"/>
  </w:num>
  <w:num w:numId="6">
    <w:abstractNumId w:val="9"/>
  </w:num>
  <w:num w:numId="7">
    <w:abstractNumId w:val="6"/>
  </w:num>
  <w:num w:numId="8">
    <w:abstractNumId w:val="7"/>
  </w:num>
  <w:num w:numId="9">
    <w:abstractNumId w:val="16"/>
  </w:num>
  <w:num w:numId="10">
    <w:abstractNumId w:val="14"/>
  </w:num>
  <w:num w:numId="11">
    <w:abstractNumId w:val="17"/>
  </w:num>
  <w:num w:numId="12">
    <w:abstractNumId w:val="2"/>
  </w:num>
  <w:num w:numId="13">
    <w:abstractNumId w:val="11"/>
  </w:num>
  <w:num w:numId="14">
    <w:abstractNumId w:val="8"/>
  </w:num>
  <w:num w:numId="15">
    <w:abstractNumId w:val="13"/>
  </w:num>
  <w:num w:numId="16">
    <w:abstractNumId w:val="10"/>
  </w:num>
  <w:num w:numId="17">
    <w:abstractNumId w:val="4"/>
  </w:num>
  <w:num w:numId="18">
    <w:abstractNumId w:val="12"/>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D2F"/>
    <w:rsid w:val="00176200"/>
    <w:rsid w:val="002453AA"/>
    <w:rsid w:val="002536D6"/>
    <w:rsid w:val="002F698F"/>
    <w:rsid w:val="00572B8A"/>
    <w:rsid w:val="00617BCD"/>
    <w:rsid w:val="006207F2"/>
    <w:rsid w:val="00676029"/>
    <w:rsid w:val="006B7D2F"/>
    <w:rsid w:val="006C1B92"/>
    <w:rsid w:val="007A192E"/>
    <w:rsid w:val="007C5C98"/>
    <w:rsid w:val="00846DA3"/>
    <w:rsid w:val="008D3534"/>
    <w:rsid w:val="009326F5"/>
    <w:rsid w:val="00967242"/>
    <w:rsid w:val="009B3330"/>
    <w:rsid w:val="009C5270"/>
    <w:rsid w:val="00A11613"/>
    <w:rsid w:val="00A76D2F"/>
    <w:rsid w:val="00AA6928"/>
    <w:rsid w:val="00B05BDF"/>
    <w:rsid w:val="00BE6306"/>
    <w:rsid w:val="00C4379C"/>
    <w:rsid w:val="00CA0FA1"/>
    <w:rsid w:val="00D5173B"/>
    <w:rsid w:val="00D6259F"/>
    <w:rsid w:val="00E80D89"/>
    <w:rsid w:val="00EA7E27"/>
    <w:rsid w:val="00FB2D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5C5F"/>
  <w15:chartTrackingRefBased/>
  <w15:docId w15:val="{0B1397D2-7C97-4DDC-9182-8A58CD68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98"/>
  </w:style>
  <w:style w:type="paragraph" w:styleId="Heading1">
    <w:name w:val="heading 1"/>
    <w:basedOn w:val="Normal"/>
    <w:next w:val="Normal"/>
    <w:link w:val="Heading1Char"/>
    <w:uiPriority w:val="9"/>
    <w:qFormat/>
    <w:rsid w:val="007C5C98"/>
    <w:pPr>
      <w:spacing w:after="0" w:line="240" w:lineRule="auto"/>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7C5C98"/>
    <w:pPr>
      <w:keepNext/>
      <w:keepLines/>
      <w:spacing w:before="40" w:after="0"/>
      <w:outlineLvl w:val="1"/>
    </w:pPr>
    <w:rPr>
      <w:rFonts w:asciiTheme="majorHAnsi" w:eastAsiaTheme="majorEastAsia" w:hAnsiTheme="majorHAnsi" w:cstheme="majorBidi"/>
      <w:color w:val="0F4761" w:themeColor="accent1" w:themeShade="BF"/>
      <w:sz w:val="26"/>
      <w:szCs w:val="26"/>
    </w:rPr>
  </w:style>
  <w:style w:type="paragraph" w:styleId="Heading3">
    <w:name w:val="heading 3"/>
    <w:basedOn w:val="Normal"/>
    <w:next w:val="Normal"/>
    <w:link w:val="Heading3Char"/>
    <w:uiPriority w:val="9"/>
    <w:semiHidden/>
    <w:unhideWhenUsed/>
    <w:qFormat/>
    <w:rsid w:val="007C5C98"/>
    <w:pPr>
      <w:keepNext/>
      <w:keepLines/>
      <w:spacing w:before="40" w:after="0"/>
      <w:outlineLvl w:val="2"/>
    </w:pPr>
    <w:rPr>
      <w:rFonts w:asciiTheme="majorHAnsi" w:eastAsiaTheme="majorEastAsia" w:hAnsiTheme="majorHAnsi" w:cstheme="majorBidi"/>
      <w:color w:val="0A2F40" w:themeColor="accent1" w:themeShade="7F"/>
      <w:sz w:val="24"/>
      <w:szCs w:val="24"/>
    </w:rPr>
  </w:style>
  <w:style w:type="paragraph" w:styleId="Heading4">
    <w:name w:val="heading 4"/>
    <w:basedOn w:val="Normal"/>
    <w:next w:val="Normal"/>
    <w:link w:val="Heading4Char"/>
    <w:uiPriority w:val="9"/>
    <w:semiHidden/>
    <w:unhideWhenUsed/>
    <w:qFormat/>
    <w:rsid w:val="007C5C98"/>
    <w:pPr>
      <w:keepNext/>
      <w:keepLines/>
      <w:spacing w:before="40" w:after="0"/>
      <w:outlineLvl w:val="3"/>
    </w:pPr>
    <w:rPr>
      <w:rFonts w:asciiTheme="majorHAnsi" w:eastAsiaTheme="majorEastAsia" w:hAnsiTheme="maj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7C5C98"/>
    <w:pPr>
      <w:keepNext/>
      <w:keepLines/>
      <w:spacing w:before="40" w:after="0"/>
      <w:outlineLvl w:val="4"/>
    </w:pPr>
    <w:rPr>
      <w:rFonts w:asciiTheme="majorHAnsi" w:eastAsiaTheme="majorEastAsia" w:hAnsiTheme="majorHAnsi" w:cstheme="majorBidi"/>
      <w:color w:val="0F4761" w:themeColor="accent1" w:themeShade="BF"/>
    </w:rPr>
  </w:style>
  <w:style w:type="paragraph" w:styleId="Heading6">
    <w:name w:val="heading 6"/>
    <w:basedOn w:val="Normal"/>
    <w:next w:val="Normal"/>
    <w:link w:val="Heading6Char"/>
    <w:uiPriority w:val="9"/>
    <w:semiHidden/>
    <w:unhideWhenUsed/>
    <w:qFormat/>
    <w:rsid w:val="007C5C98"/>
    <w:pPr>
      <w:keepNext/>
      <w:keepLines/>
      <w:spacing w:before="40" w:after="0"/>
      <w:outlineLvl w:val="5"/>
    </w:pPr>
    <w:rPr>
      <w:rFonts w:asciiTheme="majorHAnsi" w:eastAsiaTheme="majorEastAsia" w:hAnsiTheme="majorHAnsi" w:cstheme="majorBidi"/>
      <w:color w:val="0A2F40" w:themeColor="accent1" w:themeShade="7F"/>
    </w:rPr>
  </w:style>
  <w:style w:type="paragraph" w:styleId="Heading7">
    <w:name w:val="heading 7"/>
    <w:basedOn w:val="Normal"/>
    <w:next w:val="Normal"/>
    <w:link w:val="Heading7Char"/>
    <w:uiPriority w:val="9"/>
    <w:semiHidden/>
    <w:unhideWhenUsed/>
    <w:qFormat/>
    <w:rsid w:val="007C5C98"/>
    <w:pPr>
      <w:keepNext/>
      <w:keepLines/>
      <w:spacing w:before="40" w:after="0"/>
      <w:outlineLvl w:val="6"/>
    </w:pPr>
    <w:rPr>
      <w:rFonts w:asciiTheme="majorHAnsi" w:eastAsiaTheme="majorEastAsia" w:hAnsiTheme="majorHAnsi" w:cstheme="majorBidi"/>
      <w:i/>
      <w:iCs/>
      <w:color w:val="0A2F40" w:themeColor="accent1" w:themeShade="7F"/>
    </w:rPr>
  </w:style>
  <w:style w:type="paragraph" w:styleId="Heading8">
    <w:name w:val="heading 8"/>
    <w:basedOn w:val="Normal"/>
    <w:next w:val="Normal"/>
    <w:link w:val="Heading8Char"/>
    <w:uiPriority w:val="9"/>
    <w:semiHidden/>
    <w:unhideWhenUsed/>
    <w:qFormat/>
    <w:rsid w:val="007C5C9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5C9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C98"/>
    <w:rPr>
      <w:rFonts w:ascii="Arial" w:hAnsi="Arial" w:cs="Arial"/>
      <w:b/>
      <w:bCs/>
      <w:sz w:val="24"/>
      <w:szCs w:val="24"/>
    </w:rPr>
  </w:style>
  <w:style w:type="character" w:customStyle="1" w:styleId="Heading2Char">
    <w:name w:val="Heading 2 Char"/>
    <w:basedOn w:val="DefaultParagraphFont"/>
    <w:link w:val="Heading2"/>
    <w:uiPriority w:val="9"/>
    <w:rsid w:val="007C5C98"/>
    <w:rPr>
      <w:rFonts w:asciiTheme="majorHAnsi" w:eastAsiaTheme="majorEastAsia" w:hAnsiTheme="majorHAnsi" w:cstheme="majorBidi"/>
      <w:color w:val="0F4761" w:themeColor="accent1" w:themeShade="BF"/>
      <w:sz w:val="26"/>
      <w:szCs w:val="26"/>
    </w:rPr>
  </w:style>
  <w:style w:type="character" w:customStyle="1" w:styleId="Heading3Char">
    <w:name w:val="Heading 3 Char"/>
    <w:basedOn w:val="DefaultParagraphFont"/>
    <w:link w:val="Heading3"/>
    <w:uiPriority w:val="9"/>
    <w:semiHidden/>
    <w:rsid w:val="007C5C98"/>
    <w:rPr>
      <w:rFonts w:asciiTheme="majorHAnsi" w:eastAsiaTheme="majorEastAsia" w:hAnsiTheme="majorHAnsi" w:cstheme="majorBidi"/>
      <w:color w:val="0A2F40" w:themeColor="accent1" w:themeShade="7F"/>
      <w:sz w:val="24"/>
      <w:szCs w:val="24"/>
    </w:rPr>
  </w:style>
  <w:style w:type="character" w:customStyle="1" w:styleId="Heading4Char">
    <w:name w:val="Heading 4 Char"/>
    <w:basedOn w:val="DefaultParagraphFont"/>
    <w:link w:val="Heading4"/>
    <w:uiPriority w:val="9"/>
    <w:semiHidden/>
    <w:rsid w:val="007C5C98"/>
    <w:rPr>
      <w:rFonts w:asciiTheme="majorHAnsi" w:eastAsiaTheme="majorEastAsia" w:hAnsiTheme="majorHAnsi" w:cstheme="majorBidi"/>
      <w:i/>
      <w:iCs/>
      <w:color w:val="0F4761" w:themeColor="accent1" w:themeShade="BF"/>
    </w:rPr>
  </w:style>
  <w:style w:type="character" w:customStyle="1" w:styleId="Heading5Char">
    <w:name w:val="Heading 5 Char"/>
    <w:basedOn w:val="DefaultParagraphFont"/>
    <w:link w:val="Heading5"/>
    <w:uiPriority w:val="9"/>
    <w:semiHidden/>
    <w:rsid w:val="007C5C98"/>
    <w:rPr>
      <w:rFonts w:asciiTheme="majorHAnsi" w:eastAsiaTheme="majorEastAsia" w:hAnsiTheme="majorHAnsi" w:cstheme="majorBidi"/>
      <w:color w:val="0F4761" w:themeColor="accent1" w:themeShade="BF"/>
    </w:rPr>
  </w:style>
  <w:style w:type="character" w:customStyle="1" w:styleId="Heading6Char">
    <w:name w:val="Heading 6 Char"/>
    <w:basedOn w:val="DefaultParagraphFont"/>
    <w:link w:val="Heading6"/>
    <w:uiPriority w:val="9"/>
    <w:semiHidden/>
    <w:rsid w:val="007C5C98"/>
    <w:rPr>
      <w:rFonts w:asciiTheme="majorHAnsi" w:eastAsiaTheme="majorEastAsia" w:hAnsiTheme="majorHAnsi" w:cstheme="majorBidi"/>
      <w:color w:val="0A2F40" w:themeColor="accent1" w:themeShade="7F"/>
    </w:rPr>
  </w:style>
  <w:style w:type="character" w:customStyle="1" w:styleId="Heading7Char">
    <w:name w:val="Heading 7 Char"/>
    <w:basedOn w:val="DefaultParagraphFont"/>
    <w:link w:val="Heading7"/>
    <w:uiPriority w:val="9"/>
    <w:semiHidden/>
    <w:rsid w:val="007C5C98"/>
    <w:rPr>
      <w:rFonts w:asciiTheme="majorHAnsi" w:eastAsiaTheme="majorEastAsia" w:hAnsiTheme="majorHAnsi" w:cstheme="majorBidi"/>
      <w:i/>
      <w:iCs/>
      <w:color w:val="0A2F40" w:themeColor="accent1" w:themeShade="7F"/>
    </w:rPr>
  </w:style>
  <w:style w:type="character" w:customStyle="1" w:styleId="Heading8Char">
    <w:name w:val="Heading 8 Char"/>
    <w:basedOn w:val="DefaultParagraphFont"/>
    <w:link w:val="Heading8"/>
    <w:uiPriority w:val="9"/>
    <w:semiHidden/>
    <w:rsid w:val="007C5C9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5C98"/>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7C5C98"/>
    <w:pPr>
      <w:spacing w:after="0" w:line="240" w:lineRule="auto"/>
    </w:pPr>
  </w:style>
  <w:style w:type="character" w:customStyle="1" w:styleId="HeaderChar">
    <w:name w:val="Header Char"/>
    <w:basedOn w:val="DefaultParagraphFont"/>
    <w:link w:val="Header"/>
    <w:uiPriority w:val="99"/>
    <w:rsid w:val="007C5C98"/>
  </w:style>
  <w:style w:type="paragraph" w:styleId="Footer">
    <w:name w:val="footer"/>
    <w:basedOn w:val="Normal"/>
    <w:link w:val="FooterChar"/>
    <w:uiPriority w:val="99"/>
    <w:unhideWhenUsed/>
    <w:rsid w:val="007C5C98"/>
    <w:pPr>
      <w:spacing w:after="0" w:line="240" w:lineRule="auto"/>
    </w:pPr>
  </w:style>
  <w:style w:type="character" w:customStyle="1" w:styleId="FooterChar">
    <w:name w:val="Footer Char"/>
    <w:basedOn w:val="DefaultParagraphFont"/>
    <w:link w:val="Footer"/>
    <w:uiPriority w:val="99"/>
    <w:rsid w:val="007C5C98"/>
  </w:style>
  <w:style w:type="paragraph" w:styleId="Caption">
    <w:name w:val="caption"/>
    <w:basedOn w:val="Normal"/>
    <w:next w:val="Normal"/>
    <w:uiPriority w:val="35"/>
    <w:semiHidden/>
    <w:unhideWhenUsed/>
    <w:qFormat/>
    <w:rsid w:val="007C5C98"/>
    <w:pPr>
      <w:spacing w:after="200" w:line="240" w:lineRule="auto"/>
    </w:pPr>
    <w:rPr>
      <w:i/>
      <w:iCs/>
      <w:color w:val="0E2841" w:themeColor="text2"/>
      <w:sz w:val="18"/>
      <w:szCs w:val="18"/>
    </w:rPr>
  </w:style>
  <w:style w:type="paragraph" w:styleId="ListBullet">
    <w:name w:val="List Bullet"/>
    <w:basedOn w:val="Normal"/>
    <w:uiPriority w:val="9"/>
    <w:rsid w:val="007C5C98"/>
    <w:pPr>
      <w:numPr>
        <w:numId w:val="2"/>
      </w:numPr>
    </w:pPr>
  </w:style>
  <w:style w:type="paragraph" w:styleId="ListNumber">
    <w:name w:val="List Number"/>
    <w:basedOn w:val="Normal"/>
    <w:uiPriority w:val="9"/>
    <w:rsid w:val="007C5C98"/>
    <w:pPr>
      <w:numPr>
        <w:numId w:val="4"/>
      </w:numPr>
    </w:pPr>
  </w:style>
  <w:style w:type="paragraph" w:styleId="Title">
    <w:name w:val="Title"/>
    <w:basedOn w:val="Heading1"/>
    <w:next w:val="Normal"/>
    <w:link w:val="TitleChar"/>
    <w:uiPriority w:val="10"/>
    <w:qFormat/>
    <w:rsid w:val="007C5C98"/>
    <w:pPr>
      <w:jc w:val="center"/>
    </w:pPr>
    <w:rPr>
      <w:sz w:val="28"/>
      <w:szCs w:val="28"/>
    </w:rPr>
  </w:style>
  <w:style w:type="character" w:customStyle="1" w:styleId="TitleChar">
    <w:name w:val="Title Char"/>
    <w:basedOn w:val="DefaultParagraphFont"/>
    <w:link w:val="Title"/>
    <w:uiPriority w:val="10"/>
    <w:rsid w:val="007C5C98"/>
    <w:rPr>
      <w:rFonts w:ascii="Arial" w:hAnsi="Arial" w:cs="Arial"/>
      <w:b/>
      <w:bCs/>
      <w:sz w:val="28"/>
      <w:szCs w:val="28"/>
    </w:rPr>
  </w:style>
  <w:style w:type="paragraph" w:styleId="Subtitle">
    <w:name w:val="Subtitle"/>
    <w:basedOn w:val="Normal"/>
    <w:link w:val="SubtitleChar"/>
    <w:uiPriority w:val="11"/>
    <w:qFormat/>
    <w:rsid w:val="007C5C9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7C5C98"/>
    <w:rPr>
      <w:rFonts w:eastAsiaTheme="minorEastAsia"/>
      <w:color w:val="5A5A5A" w:themeColor="text1" w:themeTint="A5"/>
      <w:spacing w:val="15"/>
    </w:rPr>
  </w:style>
  <w:style w:type="character" w:styleId="Strong">
    <w:name w:val="Strong"/>
    <w:basedOn w:val="DefaultParagraphFont"/>
    <w:uiPriority w:val="22"/>
    <w:qFormat/>
    <w:rsid w:val="007C5C98"/>
    <w:rPr>
      <w:b/>
      <w:bCs/>
    </w:rPr>
  </w:style>
  <w:style w:type="character" w:styleId="Emphasis">
    <w:name w:val="Emphasis"/>
    <w:basedOn w:val="DefaultParagraphFont"/>
    <w:uiPriority w:val="20"/>
    <w:qFormat/>
    <w:rsid w:val="007C5C98"/>
    <w:rPr>
      <w:i/>
      <w:iCs/>
    </w:rPr>
  </w:style>
  <w:style w:type="paragraph" w:styleId="NoSpacing">
    <w:name w:val="No Spacing"/>
    <w:uiPriority w:val="1"/>
    <w:qFormat/>
    <w:rsid w:val="007C5C98"/>
    <w:pPr>
      <w:spacing w:after="0" w:line="240" w:lineRule="auto"/>
    </w:pPr>
  </w:style>
  <w:style w:type="paragraph" w:styleId="ListParagraph">
    <w:name w:val="List Paragraph"/>
    <w:basedOn w:val="Normal"/>
    <w:uiPriority w:val="34"/>
    <w:unhideWhenUsed/>
    <w:qFormat/>
    <w:rsid w:val="00A11613"/>
    <w:pPr>
      <w:spacing w:after="0" w:line="240" w:lineRule="auto"/>
      <w:ind w:left="720"/>
      <w:contextualSpacing/>
    </w:pPr>
    <w:rPr>
      <w:rFonts w:ascii="Arial" w:hAnsi="Arial"/>
      <w:color w:val="000000" w:themeColor="text1"/>
      <w:sz w:val="24"/>
      <w:szCs w:val="30"/>
    </w:rPr>
  </w:style>
  <w:style w:type="paragraph" w:styleId="Quote">
    <w:name w:val="Quote"/>
    <w:basedOn w:val="Normal"/>
    <w:next w:val="Normal"/>
    <w:link w:val="QuoteChar"/>
    <w:uiPriority w:val="29"/>
    <w:qFormat/>
    <w:rsid w:val="007C5C9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C5C98"/>
    <w:rPr>
      <w:i/>
      <w:iCs/>
      <w:color w:val="404040" w:themeColor="text1" w:themeTint="BF"/>
    </w:rPr>
  </w:style>
  <w:style w:type="paragraph" w:styleId="IntenseQuote">
    <w:name w:val="Intense Quote"/>
    <w:basedOn w:val="Normal"/>
    <w:next w:val="Normal"/>
    <w:link w:val="IntenseQuoteChar"/>
    <w:uiPriority w:val="30"/>
    <w:qFormat/>
    <w:rsid w:val="007C5C98"/>
    <w:pPr>
      <w:pBdr>
        <w:top w:val="single" w:sz="4" w:space="10" w:color="156082" w:themeColor="accent1"/>
        <w:bottom w:val="single" w:sz="4" w:space="10" w:color="156082" w:themeColor="accent1"/>
      </w:pBdr>
      <w:spacing w:before="360" w:after="360"/>
      <w:ind w:left="864" w:right="864"/>
      <w:jc w:val="center"/>
    </w:pPr>
    <w:rPr>
      <w:i/>
      <w:iCs/>
      <w:color w:val="156082" w:themeColor="accent1"/>
    </w:rPr>
  </w:style>
  <w:style w:type="character" w:customStyle="1" w:styleId="IntenseQuoteChar">
    <w:name w:val="Intense Quote Char"/>
    <w:basedOn w:val="DefaultParagraphFont"/>
    <w:link w:val="IntenseQuote"/>
    <w:uiPriority w:val="30"/>
    <w:rsid w:val="007C5C98"/>
    <w:rPr>
      <w:i/>
      <w:iCs/>
      <w:color w:val="156082" w:themeColor="accent1"/>
    </w:rPr>
  </w:style>
  <w:style w:type="character" w:styleId="SubtleEmphasis">
    <w:name w:val="Subtle Emphasis"/>
    <w:basedOn w:val="DefaultParagraphFont"/>
    <w:uiPriority w:val="19"/>
    <w:qFormat/>
    <w:rsid w:val="007C5C98"/>
    <w:rPr>
      <w:i/>
      <w:iCs/>
      <w:color w:val="404040" w:themeColor="text1" w:themeTint="BF"/>
    </w:rPr>
  </w:style>
  <w:style w:type="character" w:styleId="IntenseEmphasis">
    <w:name w:val="Intense Emphasis"/>
    <w:basedOn w:val="DefaultParagraphFont"/>
    <w:uiPriority w:val="21"/>
    <w:qFormat/>
    <w:rsid w:val="007C5C98"/>
    <w:rPr>
      <w:i/>
      <w:iCs/>
      <w:color w:val="156082" w:themeColor="accent1"/>
    </w:rPr>
  </w:style>
  <w:style w:type="character" w:styleId="SubtleReference">
    <w:name w:val="Subtle Reference"/>
    <w:basedOn w:val="DefaultParagraphFont"/>
    <w:uiPriority w:val="31"/>
    <w:qFormat/>
    <w:rsid w:val="007C5C98"/>
    <w:rPr>
      <w:smallCaps/>
      <w:color w:val="5A5A5A" w:themeColor="text1" w:themeTint="A5"/>
    </w:rPr>
  </w:style>
  <w:style w:type="character" w:styleId="IntenseReference">
    <w:name w:val="Intense Reference"/>
    <w:basedOn w:val="DefaultParagraphFont"/>
    <w:uiPriority w:val="32"/>
    <w:qFormat/>
    <w:rsid w:val="007C5C98"/>
    <w:rPr>
      <w:b/>
      <w:bCs/>
      <w:smallCaps/>
      <w:color w:val="156082" w:themeColor="accent1"/>
      <w:spacing w:val="5"/>
    </w:rPr>
  </w:style>
  <w:style w:type="paragraph" w:styleId="TOCHeading">
    <w:name w:val="TOC Heading"/>
    <w:basedOn w:val="Heading1"/>
    <w:next w:val="Normal"/>
    <w:uiPriority w:val="39"/>
    <w:semiHidden/>
    <w:unhideWhenUsed/>
    <w:qFormat/>
    <w:rsid w:val="007C5C98"/>
    <w:pPr>
      <w:keepNext/>
      <w:keepLines/>
      <w:spacing w:before="240" w:line="259" w:lineRule="auto"/>
      <w:outlineLvl w:val="9"/>
    </w:pPr>
    <w:rPr>
      <w:rFonts w:asciiTheme="majorHAnsi" w:eastAsiaTheme="majorEastAsia" w:hAnsiTheme="majorHAnsi" w:cstheme="majorBidi"/>
      <w:b w:val="0"/>
      <w:bCs w:val="0"/>
      <w:color w:val="0F4761" w:themeColor="accent1" w:themeShade="BF"/>
      <w:sz w:val="32"/>
      <w:szCs w:val="32"/>
    </w:rPr>
  </w:style>
  <w:style w:type="paragraph" w:customStyle="1" w:styleId="SYStyle">
    <w:name w:val="SY Style"/>
    <w:basedOn w:val="Title"/>
    <w:link w:val="SYStyleChar"/>
    <w:qFormat/>
    <w:rsid w:val="007C5C98"/>
    <w:rPr>
      <w:b w:val="0"/>
      <w:bCs w:val="0"/>
    </w:rPr>
  </w:style>
  <w:style w:type="character" w:customStyle="1" w:styleId="SYStyleChar">
    <w:name w:val="SY Style Char"/>
    <w:basedOn w:val="TitleChar"/>
    <w:link w:val="SYStyle"/>
    <w:rsid w:val="007C5C98"/>
    <w:rPr>
      <w:rFonts w:ascii="Arial" w:hAnsi="Arial" w:cs="Arial"/>
      <w:b w:val="0"/>
      <w:bCs w:val="0"/>
      <w:sz w:val="28"/>
      <w:szCs w:val="28"/>
    </w:rPr>
  </w:style>
  <w:style w:type="paragraph" w:styleId="NormalWeb">
    <w:name w:val="Normal (Web)"/>
    <w:basedOn w:val="Normal"/>
    <w:uiPriority w:val="99"/>
    <w:semiHidden/>
    <w:unhideWhenUsed/>
    <w:rsid w:val="00A76D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A76D2F"/>
    <w:rPr>
      <w:color w:val="0000FF"/>
      <w:u w:val="single"/>
    </w:rPr>
  </w:style>
  <w:style w:type="character" w:customStyle="1" w:styleId="hgkelc">
    <w:name w:val="hgkelc"/>
    <w:basedOn w:val="DefaultParagraphFont"/>
    <w:rsid w:val="009C5270"/>
  </w:style>
  <w:style w:type="character" w:styleId="UnresolvedMention">
    <w:name w:val="Unresolved Mention"/>
    <w:basedOn w:val="DefaultParagraphFont"/>
    <w:uiPriority w:val="99"/>
    <w:semiHidden/>
    <w:unhideWhenUsed/>
    <w:rsid w:val="009C5270"/>
    <w:rPr>
      <w:color w:val="605E5C"/>
      <w:shd w:val="clear" w:color="auto" w:fill="E1DFDD"/>
    </w:rPr>
  </w:style>
  <w:style w:type="character" w:customStyle="1" w:styleId="glossarylink">
    <w:name w:val="glossarylink"/>
    <w:basedOn w:val="DefaultParagraphFont"/>
    <w:rsid w:val="00CA0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878">
      <w:bodyDiv w:val="1"/>
      <w:marLeft w:val="0"/>
      <w:marRight w:val="0"/>
      <w:marTop w:val="0"/>
      <w:marBottom w:val="0"/>
      <w:divBdr>
        <w:top w:val="none" w:sz="0" w:space="0" w:color="auto"/>
        <w:left w:val="none" w:sz="0" w:space="0" w:color="auto"/>
        <w:bottom w:val="none" w:sz="0" w:space="0" w:color="auto"/>
        <w:right w:val="none" w:sz="0" w:space="0" w:color="auto"/>
      </w:divBdr>
    </w:div>
    <w:div w:id="469514782">
      <w:bodyDiv w:val="1"/>
      <w:marLeft w:val="0"/>
      <w:marRight w:val="0"/>
      <w:marTop w:val="0"/>
      <w:marBottom w:val="0"/>
      <w:divBdr>
        <w:top w:val="none" w:sz="0" w:space="0" w:color="auto"/>
        <w:left w:val="none" w:sz="0" w:space="0" w:color="auto"/>
        <w:bottom w:val="none" w:sz="0" w:space="0" w:color="auto"/>
        <w:right w:val="none" w:sz="0" w:space="0" w:color="auto"/>
      </w:divBdr>
      <w:divsChild>
        <w:div w:id="337464359">
          <w:marLeft w:val="274"/>
          <w:marRight w:val="0"/>
          <w:marTop w:val="0"/>
          <w:marBottom w:val="0"/>
          <w:divBdr>
            <w:top w:val="none" w:sz="0" w:space="0" w:color="auto"/>
            <w:left w:val="none" w:sz="0" w:space="0" w:color="auto"/>
            <w:bottom w:val="none" w:sz="0" w:space="0" w:color="auto"/>
            <w:right w:val="none" w:sz="0" w:space="0" w:color="auto"/>
          </w:divBdr>
        </w:div>
        <w:div w:id="140928554">
          <w:marLeft w:val="274"/>
          <w:marRight w:val="0"/>
          <w:marTop w:val="0"/>
          <w:marBottom w:val="0"/>
          <w:divBdr>
            <w:top w:val="none" w:sz="0" w:space="0" w:color="auto"/>
            <w:left w:val="none" w:sz="0" w:space="0" w:color="auto"/>
            <w:bottom w:val="none" w:sz="0" w:space="0" w:color="auto"/>
            <w:right w:val="none" w:sz="0" w:space="0" w:color="auto"/>
          </w:divBdr>
        </w:div>
        <w:div w:id="2130321533">
          <w:marLeft w:val="274"/>
          <w:marRight w:val="0"/>
          <w:marTop w:val="0"/>
          <w:marBottom w:val="0"/>
          <w:divBdr>
            <w:top w:val="none" w:sz="0" w:space="0" w:color="auto"/>
            <w:left w:val="none" w:sz="0" w:space="0" w:color="auto"/>
            <w:bottom w:val="none" w:sz="0" w:space="0" w:color="auto"/>
            <w:right w:val="none" w:sz="0" w:space="0" w:color="auto"/>
          </w:divBdr>
        </w:div>
        <w:div w:id="231890234">
          <w:marLeft w:val="274"/>
          <w:marRight w:val="0"/>
          <w:marTop w:val="0"/>
          <w:marBottom w:val="0"/>
          <w:divBdr>
            <w:top w:val="none" w:sz="0" w:space="0" w:color="auto"/>
            <w:left w:val="none" w:sz="0" w:space="0" w:color="auto"/>
            <w:bottom w:val="none" w:sz="0" w:space="0" w:color="auto"/>
            <w:right w:val="none" w:sz="0" w:space="0" w:color="auto"/>
          </w:divBdr>
          <w:divsChild>
            <w:div w:id="495193002">
              <w:marLeft w:val="0"/>
              <w:marRight w:val="0"/>
              <w:marTop w:val="0"/>
              <w:marBottom w:val="0"/>
              <w:divBdr>
                <w:top w:val="none" w:sz="0" w:space="0" w:color="auto"/>
                <w:left w:val="none" w:sz="0" w:space="0" w:color="auto"/>
                <w:bottom w:val="none" w:sz="0" w:space="0" w:color="auto"/>
                <w:right w:val="none" w:sz="0" w:space="0" w:color="auto"/>
              </w:divBdr>
              <w:divsChild>
                <w:div w:id="17637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57721">
      <w:bodyDiv w:val="1"/>
      <w:marLeft w:val="0"/>
      <w:marRight w:val="0"/>
      <w:marTop w:val="0"/>
      <w:marBottom w:val="0"/>
      <w:divBdr>
        <w:top w:val="none" w:sz="0" w:space="0" w:color="auto"/>
        <w:left w:val="none" w:sz="0" w:space="0" w:color="auto"/>
        <w:bottom w:val="none" w:sz="0" w:space="0" w:color="auto"/>
        <w:right w:val="none" w:sz="0" w:space="0" w:color="auto"/>
      </w:divBdr>
      <w:divsChild>
        <w:div w:id="751704558">
          <w:marLeft w:val="0"/>
          <w:marRight w:val="0"/>
          <w:marTop w:val="0"/>
          <w:marBottom w:val="0"/>
          <w:divBdr>
            <w:top w:val="none" w:sz="0" w:space="0" w:color="auto"/>
            <w:left w:val="none" w:sz="0" w:space="0" w:color="auto"/>
            <w:bottom w:val="none" w:sz="0" w:space="0" w:color="auto"/>
            <w:right w:val="none" w:sz="0" w:space="0" w:color="auto"/>
          </w:divBdr>
        </w:div>
        <w:div w:id="1368027608">
          <w:marLeft w:val="0"/>
          <w:marRight w:val="0"/>
          <w:marTop w:val="0"/>
          <w:marBottom w:val="0"/>
          <w:divBdr>
            <w:top w:val="none" w:sz="0" w:space="0" w:color="auto"/>
            <w:left w:val="none" w:sz="0" w:space="0" w:color="auto"/>
            <w:bottom w:val="none" w:sz="0" w:space="0" w:color="auto"/>
            <w:right w:val="none" w:sz="0" w:space="0" w:color="auto"/>
          </w:divBdr>
          <w:divsChild>
            <w:div w:id="62144492">
              <w:marLeft w:val="0"/>
              <w:marRight w:val="0"/>
              <w:marTop w:val="0"/>
              <w:marBottom w:val="0"/>
              <w:divBdr>
                <w:top w:val="none" w:sz="0" w:space="0" w:color="auto"/>
                <w:left w:val="none" w:sz="0" w:space="0" w:color="auto"/>
                <w:bottom w:val="none" w:sz="0" w:space="0" w:color="auto"/>
                <w:right w:val="none" w:sz="0" w:space="0" w:color="auto"/>
              </w:divBdr>
            </w:div>
          </w:divsChild>
        </w:div>
        <w:div w:id="2085909210">
          <w:marLeft w:val="0"/>
          <w:marRight w:val="0"/>
          <w:marTop w:val="0"/>
          <w:marBottom w:val="0"/>
          <w:divBdr>
            <w:top w:val="none" w:sz="0" w:space="0" w:color="auto"/>
            <w:left w:val="none" w:sz="0" w:space="0" w:color="auto"/>
            <w:bottom w:val="none" w:sz="0" w:space="0" w:color="auto"/>
            <w:right w:val="none" w:sz="0" w:space="0" w:color="auto"/>
          </w:divBdr>
          <w:divsChild>
            <w:div w:id="456145800">
              <w:marLeft w:val="0"/>
              <w:marRight w:val="0"/>
              <w:marTop w:val="0"/>
              <w:marBottom w:val="0"/>
              <w:divBdr>
                <w:top w:val="none" w:sz="0" w:space="0" w:color="auto"/>
                <w:left w:val="none" w:sz="0" w:space="0" w:color="auto"/>
                <w:bottom w:val="none" w:sz="0" w:space="0" w:color="auto"/>
                <w:right w:val="none" w:sz="0" w:space="0" w:color="auto"/>
              </w:divBdr>
            </w:div>
          </w:divsChild>
        </w:div>
        <w:div w:id="477116781">
          <w:marLeft w:val="0"/>
          <w:marRight w:val="0"/>
          <w:marTop w:val="0"/>
          <w:marBottom w:val="0"/>
          <w:divBdr>
            <w:top w:val="none" w:sz="0" w:space="0" w:color="auto"/>
            <w:left w:val="none" w:sz="0" w:space="0" w:color="auto"/>
            <w:bottom w:val="none" w:sz="0" w:space="0" w:color="auto"/>
            <w:right w:val="none" w:sz="0" w:space="0" w:color="auto"/>
          </w:divBdr>
          <w:divsChild>
            <w:div w:id="1897085189">
              <w:marLeft w:val="0"/>
              <w:marRight w:val="0"/>
              <w:marTop w:val="0"/>
              <w:marBottom w:val="0"/>
              <w:divBdr>
                <w:top w:val="none" w:sz="0" w:space="0" w:color="auto"/>
                <w:left w:val="none" w:sz="0" w:space="0" w:color="auto"/>
                <w:bottom w:val="none" w:sz="0" w:space="0" w:color="auto"/>
                <w:right w:val="none" w:sz="0" w:space="0" w:color="auto"/>
              </w:divBdr>
              <w:divsChild>
                <w:div w:id="182323457">
                  <w:marLeft w:val="0"/>
                  <w:marRight w:val="0"/>
                  <w:marTop w:val="0"/>
                  <w:marBottom w:val="0"/>
                  <w:divBdr>
                    <w:top w:val="none" w:sz="0" w:space="0" w:color="auto"/>
                    <w:left w:val="none" w:sz="0" w:space="0" w:color="auto"/>
                    <w:bottom w:val="none" w:sz="0" w:space="0" w:color="auto"/>
                    <w:right w:val="none" w:sz="0" w:space="0" w:color="auto"/>
                  </w:divBdr>
                  <w:divsChild>
                    <w:div w:id="293826942">
                      <w:marLeft w:val="0"/>
                      <w:marRight w:val="0"/>
                      <w:marTop w:val="0"/>
                      <w:marBottom w:val="0"/>
                      <w:divBdr>
                        <w:top w:val="none" w:sz="0" w:space="0" w:color="auto"/>
                        <w:left w:val="none" w:sz="0" w:space="0" w:color="auto"/>
                        <w:bottom w:val="none" w:sz="0" w:space="0" w:color="auto"/>
                        <w:right w:val="none" w:sz="0" w:space="0" w:color="auto"/>
                      </w:divBdr>
                      <w:divsChild>
                        <w:div w:id="111162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382864">
      <w:bodyDiv w:val="1"/>
      <w:marLeft w:val="0"/>
      <w:marRight w:val="0"/>
      <w:marTop w:val="0"/>
      <w:marBottom w:val="0"/>
      <w:divBdr>
        <w:top w:val="none" w:sz="0" w:space="0" w:color="auto"/>
        <w:left w:val="none" w:sz="0" w:space="0" w:color="auto"/>
        <w:bottom w:val="none" w:sz="0" w:space="0" w:color="auto"/>
        <w:right w:val="none" w:sz="0" w:space="0" w:color="auto"/>
      </w:divBdr>
    </w:div>
    <w:div w:id="182966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oa.org/article/get-the-facts-on-economic-security-for-seniors" TargetMode="External"/><Relationship Id="rId3" Type="http://schemas.openxmlformats.org/officeDocument/2006/relationships/settings" Target="settings.xml"/><Relationship Id="rId7" Type="http://schemas.openxmlformats.org/officeDocument/2006/relationships/hyperlink" Target="https://www.pewresearch.org/social-trends/2023/12/14/older-workers-are-growing-in-number-and-earning-higher-w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aldisabilityinstitute.org/wp-content/uploads/2020/10/extra-costs-living-with-disability-brief.pdf" TargetMode="External"/><Relationship Id="rId11" Type="http://schemas.openxmlformats.org/officeDocument/2006/relationships/theme" Target="theme/theme1.xml"/><Relationship Id="rId5" Type="http://schemas.openxmlformats.org/officeDocument/2006/relationships/hyperlink" Target="https://www.google.com/url?sa=t&amp;rct=j&amp;q=&amp;esrc=s&amp;source=web&amp;cd=&amp;cad=rja&amp;uact=8&amp;ved=2ahUKEwiQi8_wudCEAxV7OUQIHZXHCYUQFnoECA0QAw&amp;url=https%3A%2F%2Fwww.bls.gov%2Fnews.release%2Fpdf%2Fdisabl.pdf&amp;usg=AOvVaw3xxyqdGD6EPs7aGTE6Kx5t&amp;opi=8997844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ff.org/medicare/issue-brief/a-snapshot-of-sources-of-coverage-among-medicare-benefici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3</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Yee</dc:creator>
  <cp:keywords/>
  <dc:description/>
  <cp:lastModifiedBy>Silvia Yee</cp:lastModifiedBy>
  <cp:revision>6</cp:revision>
  <dcterms:created xsi:type="dcterms:W3CDTF">2024-02-29T10:41:00Z</dcterms:created>
  <dcterms:modified xsi:type="dcterms:W3CDTF">2024-02-29T21:09:00Z</dcterms:modified>
</cp:coreProperties>
</file>