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C57BFB" w14:textId="77777777" w:rsidR="00CB29A6" w:rsidRDefault="00CB29A6">
      <w:r>
        <w:rPr>
          <w:noProof/>
        </w:rPr>
        <w:drawing>
          <wp:inline distT="0" distB="0" distL="0" distR="0" wp14:anchorId="21FEDA9E" wp14:editId="4915AAB3">
            <wp:extent cx="1807034" cy="61595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824789" cy="622002"/>
                    </a:xfrm>
                    <a:prstGeom prst="rect">
                      <a:avLst/>
                    </a:prstGeom>
                  </pic:spPr>
                </pic:pic>
              </a:graphicData>
            </a:graphic>
          </wp:inline>
        </w:drawing>
      </w:r>
    </w:p>
    <w:p w14:paraId="74321277" w14:textId="77777777" w:rsidR="00D54344" w:rsidRPr="00726563" w:rsidRDefault="00D54344" w:rsidP="00726563">
      <w:pPr>
        <w:spacing w:line="200" w:lineRule="exact"/>
        <w:rPr>
          <w:b/>
          <w:i/>
          <w:sz w:val="18"/>
          <w:szCs w:val="18"/>
        </w:rPr>
      </w:pPr>
      <w:r>
        <w:rPr>
          <w:b/>
          <w:i/>
          <w:sz w:val="18"/>
          <w:szCs w:val="18"/>
        </w:rPr>
        <w:t xml:space="preserve"> </w:t>
      </w:r>
      <w:r w:rsidR="00CB29A6">
        <w:rPr>
          <w:b/>
          <w:i/>
          <w:sz w:val="18"/>
          <w:szCs w:val="18"/>
        </w:rPr>
        <w:t xml:space="preserve">John </w:t>
      </w:r>
      <w:proofErr w:type="spellStart"/>
      <w:r w:rsidR="00CB29A6">
        <w:rPr>
          <w:b/>
          <w:i/>
          <w:sz w:val="18"/>
          <w:szCs w:val="18"/>
        </w:rPr>
        <w:t>Petchler</w:t>
      </w:r>
      <w:proofErr w:type="spellEnd"/>
      <w:r w:rsidR="00CB29A6">
        <w:rPr>
          <w:b/>
          <w:i/>
          <w:sz w:val="18"/>
          <w:szCs w:val="18"/>
        </w:rPr>
        <w:t>,</w:t>
      </w:r>
      <w:r w:rsidR="00CB29A6">
        <w:rPr>
          <w:i/>
          <w:sz w:val="18"/>
          <w:szCs w:val="18"/>
        </w:rPr>
        <w:t xml:space="preserve"> President</w:t>
      </w:r>
      <w:r w:rsidR="007768F6">
        <w:rPr>
          <w:i/>
          <w:sz w:val="18"/>
          <w:szCs w:val="18"/>
        </w:rPr>
        <w:t xml:space="preserve">, </w:t>
      </w:r>
      <w:r w:rsidR="007768F6" w:rsidRPr="007768F6">
        <w:rPr>
          <w:b/>
          <w:i/>
          <w:sz w:val="18"/>
          <w:szCs w:val="18"/>
        </w:rPr>
        <w:t xml:space="preserve">on behalf of the </w:t>
      </w:r>
      <w:proofErr w:type="spellStart"/>
      <w:r w:rsidR="007768F6" w:rsidRPr="007768F6">
        <w:rPr>
          <w:b/>
          <w:i/>
          <w:sz w:val="18"/>
          <w:szCs w:val="18"/>
        </w:rPr>
        <w:t>PPiA</w:t>
      </w:r>
      <w:proofErr w:type="spellEnd"/>
      <w:r w:rsidR="007768F6" w:rsidRPr="007768F6">
        <w:rPr>
          <w:b/>
          <w:i/>
          <w:sz w:val="18"/>
          <w:szCs w:val="18"/>
        </w:rPr>
        <w:t xml:space="preserve"> Board</w:t>
      </w:r>
      <w:r w:rsidR="00D516BD">
        <w:rPr>
          <w:b/>
          <w:i/>
          <w:sz w:val="18"/>
          <w:szCs w:val="18"/>
        </w:rPr>
        <w:t xml:space="preserve"> of Directors</w:t>
      </w:r>
    </w:p>
    <w:p w14:paraId="3FFB479B" w14:textId="77777777" w:rsidR="00726563" w:rsidRDefault="00726563" w:rsidP="00726563">
      <w:pPr>
        <w:spacing w:line="240" w:lineRule="auto"/>
      </w:pPr>
    </w:p>
    <w:p w14:paraId="25F6E033" w14:textId="77777777" w:rsidR="00D54344" w:rsidRDefault="00D54344">
      <w:r>
        <w:t xml:space="preserve">December </w:t>
      </w:r>
      <w:r w:rsidRPr="004D6490">
        <w:t>1</w:t>
      </w:r>
      <w:r w:rsidR="004D6490" w:rsidRPr="004D6490">
        <w:t>5</w:t>
      </w:r>
      <w:r>
        <w:t>, 2020</w:t>
      </w:r>
    </w:p>
    <w:p w14:paraId="0B03C4AB" w14:textId="77777777" w:rsidR="00D54344" w:rsidRPr="00726563" w:rsidRDefault="00D54344" w:rsidP="00D54344">
      <w:pPr>
        <w:spacing w:after="0" w:line="240" w:lineRule="auto"/>
        <w:rPr>
          <w:iCs/>
        </w:rPr>
      </w:pPr>
      <w:r w:rsidRPr="00726563">
        <w:rPr>
          <w:iCs/>
        </w:rPr>
        <w:t>Mr. Dale Bruggeman, Chair</w:t>
      </w:r>
    </w:p>
    <w:p w14:paraId="2A9C9A2E" w14:textId="77777777" w:rsidR="00D54344" w:rsidRPr="00726563" w:rsidRDefault="00D54344" w:rsidP="00D54344">
      <w:pPr>
        <w:spacing w:after="0" w:line="240" w:lineRule="auto"/>
        <w:rPr>
          <w:iCs/>
        </w:rPr>
      </w:pPr>
      <w:r w:rsidRPr="00726563">
        <w:rPr>
          <w:iCs/>
        </w:rPr>
        <w:t>Ms. Carrie Mears, Vice-chair</w:t>
      </w:r>
    </w:p>
    <w:p w14:paraId="54D3AA2E" w14:textId="77777777" w:rsidR="00D54344" w:rsidRPr="00726563" w:rsidRDefault="00D54344" w:rsidP="00D54344">
      <w:pPr>
        <w:spacing w:after="0" w:line="240" w:lineRule="auto"/>
        <w:rPr>
          <w:iCs/>
        </w:rPr>
      </w:pPr>
      <w:r w:rsidRPr="00726563">
        <w:rPr>
          <w:iCs/>
        </w:rPr>
        <w:t>NAIC Statutory Accounting Principles (E) Working Group</w:t>
      </w:r>
      <w:r w:rsidR="00C143B0" w:rsidRPr="00726563">
        <w:rPr>
          <w:iCs/>
        </w:rPr>
        <w:t xml:space="preserve"> (“SAPWG”)</w:t>
      </w:r>
      <w:r w:rsidRPr="00726563">
        <w:rPr>
          <w:iCs/>
        </w:rPr>
        <w:t xml:space="preserve"> </w:t>
      </w:r>
    </w:p>
    <w:p w14:paraId="57348DE3" w14:textId="77777777" w:rsidR="00D54344" w:rsidRPr="002F79D8" w:rsidRDefault="00D54344" w:rsidP="00D54344">
      <w:pPr>
        <w:spacing w:after="0" w:line="240" w:lineRule="auto"/>
        <w:rPr>
          <w:iCs/>
        </w:rPr>
      </w:pPr>
      <w:r w:rsidRPr="002F79D8">
        <w:rPr>
          <w:iCs/>
        </w:rPr>
        <w:t>1100 Walnut Street</w:t>
      </w:r>
      <w:r w:rsidRPr="002F79D8">
        <w:rPr>
          <w:iCs/>
        </w:rPr>
        <w:tab/>
      </w:r>
      <w:r w:rsidRPr="002F79D8">
        <w:rPr>
          <w:iCs/>
        </w:rPr>
        <w:tab/>
      </w:r>
      <w:r w:rsidRPr="002F79D8">
        <w:rPr>
          <w:iCs/>
        </w:rPr>
        <w:tab/>
      </w:r>
      <w:r w:rsidRPr="002F79D8">
        <w:rPr>
          <w:iCs/>
        </w:rPr>
        <w:tab/>
      </w:r>
      <w:r w:rsidRPr="002F79D8">
        <w:rPr>
          <w:iCs/>
        </w:rPr>
        <w:tab/>
      </w:r>
    </w:p>
    <w:p w14:paraId="16341BE1" w14:textId="77777777" w:rsidR="00D54344" w:rsidRPr="002F79D8" w:rsidRDefault="00D54344" w:rsidP="00D54344">
      <w:pPr>
        <w:spacing w:after="0" w:line="240" w:lineRule="auto"/>
        <w:rPr>
          <w:iCs/>
        </w:rPr>
      </w:pPr>
      <w:r w:rsidRPr="002F79D8">
        <w:rPr>
          <w:iCs/>
        </w:rPr>
        <w:t>Suite 1500</w:t>
      </w:r>
      <w:r w:rsidRPr="002F79D8">
        <w:rPr>
          <w:iCs/>
        </w:rPr>
        <w:tab/>
      </w:r>
      <w:r w:rsidRPr="002F79D8">
        <w:rPr>
          <w:iCs/>
        </w:rPr>
        <w:tab/>
      </w:r>
      <w:r w:rsidRPr="002F79D8">
        <w:rPr>
          <w:iCs/>
        </w:rPr>
        <w:tab/>
      </w:r>
      <w:r w:rsidRPr="002F79D8">
        <w:rPr>
          <w:iCs/>
        </w:rPr>
        <w:tab/>
      </w:r>
      <w:r w:rsidRPr="002F79D8">
        <w:rPr>
          <w:iCs/>
        </w:rPr>
        <w:tab/>
      </w:r>
      <w:r w:rsidRPr="002F79D8">
        <w:rPr>
          <w:iCs/>
        </w:rPr>
        <w:tab/>
      </w:r>
    </w:p>
    <w:p w14:paraId="681E351E" w14:textId="77777777" w:rsidR="00D54344" w:rsidRPr="00726563" w:rsidRDefault="00D54344" w:rsidP="00D54344">
      <w:pPr>
        <w:spacing w:after="0" w:line="240" w:lineRule="auto"/>
      </w:pPr>
      <w:r w:rsidRPr="002F79D8">
        <w:rPr>
          <w:iCs/>
        </w:rPr>
        <w:t>Kansas City, MO 64106-2197</w:t>
      </w:r>
      <w:r w:rsidRPr="00726563">
        <w:tab/>
      </w:r>
      <w:r w:rsidRPr="00726563">
        <w:tab/>
      </w:r>
      <w:r w:rsidRPr="00726563">
        <w:tab/>
      </w:r>
      <w:r w:rsidRPr="00726563">
        <w:tab/>
      </w:r>
    </w:p>
    <w:p w14:paraId="69E8AA72" w14:textId="77777777" w:rsidR="00D54344" w:rsidRDefault="00D54344"/>
    <w:p w14:paraId="1DDFBC7F" w14:textId="77777777" w:rsidR="007143D5" w:rsidRDefault="007143D5">
      <w:r>
        <w:t>Dear Mr. Bruggeman and Ms. Mears:</w:t>
      </w:r>
    </w:p>
    <w:p w14:paraId="2B4F08E3" w14:textId="77777777" w:rsidR="00C143B0" w:rsidRDefault="007143D5" w:rsidP="00C143B0">
      <w:pPr>
        <w:spacing w:after="280"/>
      </w:pPr>
      <w:r>
        <w:t xml:space="preserve">The </w:t>
      </w:r>
      <w:r w:rsidR="00726563">
        <w:t xml:space="preserve">Board of Directors of the </w:t>
      </w:r>
      <w:r>
        <w:t xml:space="preserve">Private Placement Investors Association </w:t>
      </w:r>
      <w:r w:rsidR="00726563">
        <w:t>(“</w:t>
      </w:r>
      <w:proofErr w:type="spellStart"/>
      <w:r w:rsidR="00726563">
        <w:t>PPiA</w:t>
      </w:r>
      <w:proofErr w:type="spellEnd"/>
      <w:r w:rsidR="00726563">
        <w:t xml:space="preserve">”) </w:t>
      </w:r>
      <w:r>
        <w:t xml:space="preserve">appreciates the opportunity to provide </w:t>
      </w:r>
      <w:r w:rsidRPr="00C143B0">
        <w:t xml:space="preserve">comment on </w:t>
      </w:r>
      <w:r w:rsidR="00C143B0">
        <w:t>“</w:t>
      </w:r>
      <w:r w:rsidR="00C143B0" w:rsidRPr="00C143B0">
        <w:t>INT 20-10: Reporting Nonconforming Credit Tenant Loans</w:t>
      </w:r>
      <w:r w:rsidR="00C143B0">
        <w:t xml:space="preserve">.”  Such investments are held by </w:t>
      </w:r>
      <w:r w:rsidR="00726563">
        <w:t xml:space="preserve">many </w:t>
      </w:r>
      <w:r w:rsidR="00C143B0">
        <w:t>of our 55</w:t>
      </w:r>
      <w:r w:rsidR="004B6973">
        <w:t xml:space="preserve"> </w:t>
      </w:r>
      <w:r w:rsidR="00C143B0">
        <w:t xml:space="preserve">member companies, most of whom are US-domiciled insurance companies that invest </w:t>
      </w:r>
      <w:r w:rsidR="007D097F">
        <w:t>regularly</w:t>
      </w:r>
      <w:r w:rsidR="00C143B0">
        <w:t xml:space="preserve"> in the private placement debt market</w:t>
      </w:r>
      <w:r w:rsidR="0002704B">
        <w:t>, including in Credit Tenant Loans (“CTLs”)</w:t>
      </w:r>
      <w:r w:rsidR="00C143B0">
        <w:t xml:space="preserve">. </w:t>
      </w:r>
    </w:p>
    <w:p w14:paraId="1214C183" w14:textId="77777777" w:rsidR="004B6973" w:rsidRDefault="0002704B" w:rsidP="00C143B0">
      <w:pPr>
        <w:spacing w:after="280"/>
      </w:pPr>
      <w:r>
        <w:t xml:space="preserve">The </w:t>
      </w:r>
      <w:proofErr w:type="spellStart"/>
      <w:r>
        <w:t>PPiA</w:t>
      </w:r>
      <w:proofErr w:type="spellEnd"/>
      <w:r>
        <w:t xml:space="preserve"> understands that</w:t>
      </w:r>
      <w:r w:rsidR="00C143B0">
        <w:t xml:space="preserve"> </w:t>
      </w:r>
      <w:r>
        <w:t xml:space="preserve">this </w:t>
      </w:r>
      <w:r w:rsidR="007D097F">
        <w:t xml:space="preserve">exposure is an </w:t>
      </w:r>
      <w:r>
        <w:t>interpretation of</w:t>
      </w:r>
      <w:r w:rsidR="00C143B0">
        <w:t xml:space="preserve"> discussion from</w:t>
      </w:r>
      <w:r w:rsidR="00726563">
        <w:t xml:space="preserve"> a mid-November</w:t>
      </w:r>
      <w:r w:rsidR="00C143B0">
        <w:t xml:space="preserve"> SAPWG </w:t>
      </w:r>
      <w:r w:rsidR="00726563">
        <w:t>meeting</w:t>
      </w:r>
      <w:r w:rsidR="007D097F">
        <w:t xml:space="preserve"> and</w:t>
      </w:r>
      <w:r w:rsidR="00726563">
        <w:t xml:space="preserve"> resulted</w:t>
      </w:r>
      <w:r w:rsidR="00C143B0">
        <w:t xml:space="preserve"> from </w:t>
      </w:r>
      <w:r>
        <w:t xml:space="preserve">NAIC Staff’s and </w:t>
      </w:r>
      <w:r w:rsidR="00C143B0">
        <w:t>Regulators</w:t>
      </w:r>
      <w:r>
        <w:t xml:space="preserve">’ desire </w:t>
      </w:r>
      <w:r w:rsidR="00C143B0">
        <w:t xml:space="preserve">to work with insurers </w:t>
      </w:r>
      <w:r w:rsidR="007D097F">
        <w:t>to</w:t>
      </w:r>
      <w:r w:rsidR="00C143B0">
        <w:t xml:space="preserve"> find a temporary solution for </w:t>
      </w:r>
      <w:r w:rsidR="007D097F">
        <w:t xml:space="preserve">reporting </w:t>
      </w:r>
      <w:r w:rsidR="00C143B0">
        <w:t>non-conforming CTLs</w:t>
      </w:r>
      <w:r w:rsidR="007D097F">
        <w:t xml:space="preserve"> </w:t>
      </w:r>
      <w:r w:rsidR="00726563">
        <w:t>and</w:t>
      </w:r>
      <w:r w:rsidR="007D097F">
        <w:t xml:space="preserve"> </w:t>
      </w:r>
      <w:r w:rsidR="00726563">
        <w:t xml:space="preserve">to possibly </w:t>
      </w:r>
      <w:r w:rsidR="007D097F">
        <w:t>provide capital relief</w:t>
      </w:r>
      <w:r>
        <w:t xml:space="preserve">.  We know that the NAIC has been in </w:t>
      </w:r>
      <w:r w:rsidR="007D097F">
        <w:t xml:space="preserve">multi-year </w:t>
      </w:r>
      <w:r>
        <w:t xml:space="preserve">discussions </w:t>
      </w:r>
      <w:r w:rsidR="007D097F">
        <w:t>with Industry</w:t>
      </w:r>
      <w:r>
        <w:t xml:space="preserve"> regarding these securities, and we appreciate </w:t>
      </w:r>
      <w:r w:rsidR="00726563">
        <w:t>your</w:t>
      </w:r>
      <w:r w:rsidR="007D097F">
        <w:t xml:space="preserve"> </w:t>
      </w:r>
      <w:r>
        <w:t xml:space="preserve">genuine willingness to </w:t>
      </w:r>
      <w:r w:rsidR="007D097F">
        <w:t>accommodate</w:t>
      </w:r>
      <w:r>
        <w:t xml:space="preserve"> </w:t>
      </w:r>
      <w:r w:rsidR="007D097F">
        <w:t>insurers’ needs and look for a mutually agreeable solution</w:t>
      </w:r>
      <w:r>
        <w:t xml:space="preserve">.  That said, we do have two concerns around the non-conforming </w:t>
      </w:r>
      <w:r w:rsidR="004B6973">
        <w:t>CTL</w:t>
      </w:r>
      <w:r w:rsidR="007D097F">
        <w:t xml:space="preserve"> proposal</w:t>
      </w:r>
      <w:r w:rsidR="004B6973">
        <w:t xml:space="preserve"> which we will detail below</w:t>
      </w:r>
      <w:r w:rsidR="00726563">
        <w:t>.  W</w:t>
      </w:r>
      <w:r>
        <w:t xml:space="preserve">e would </w:t>
      </w:r>
      <w:r w:rsidR="00726563">
        <w:t xml:space="preserve">also </w:t>
      </w:r>
      <w:r>
        <w:t>like to</w:t>
      </w:r>
      <w:r w:rsidR="007D097F">
        <w:t xml:space="preserve"> offer</w:t>
      </w:r>
      <w:r>
        <w:t xml:space="preserve"> a solution which </w:t>
      </w:r>
      <w:r w:rsidR="004B6973">
        <w:t>we believe would help alleviate both concerns</w:t>
      </w:r>
      <w:r w:rsidR="00726563">
        <w:t xml:space="preserve"> and help move the process forward.</w:t>
      </w:r>
    </w:p>
    <w:p w14:paraId="41507849" w14:textId="77777777" w:rsidR="004B6973" w:rsidRPr="004B6973" w:rsidRDefault="004B6973" w:rsidP="00C143B0">
      <w:pPr>
        <w:spacing w:after="280"/>
        <w:rPr>
          <w:b/>
          <w:u w:val="single"/>
        </w:rPr>
      </w:pPr>
      <w:r w:rsidRPr="004B6973">
        <w:rPr>
          <w:b/>
          <w:u w:val="single"/>
        </w:rPr>
        <w:t>Timing</w:t>
      </w:r>
    </w:p>
    <w:p w14:paraId="47235D1D" w14:textId="77777777" w:rsidR="00EB44B0" w:rsidRDefault="004B6973" w:rsidP="00C143B0">
      <w:pPr>
        <w:spacing w:after="280"/>
      </w:pPr>
      <w:r>
        <w:t xml:space="preserve">The </w:t>
      </w:r>
      <w:r w:rsidR="007D097F">
        <w:t>interpretation requires</w:t>
      </w:r>
      <w:r>
        <w:t xml:space="preserve"> insurers who have previously been carrying non-conforming CTL</w:t>
      </w:r>
      <w:r w:rsidR="007D097F">
        <w:t>s</w:t>
      </w:r>
      <w:r>
        <w:t xml:space="preserve"> on Schedule D-1 to file all of these securities with the SVO immediately, so that the SVO can review and </w:t>
      </w:r>
      <w:r w:rsidR="007D097F">
        <w:t xml:space="preserve">decide whether to </w:t>
      </w:r>
      <w:r>
        <w:t xml:space="preserve">assign an NAIC designation to such securities on or before March 1, 2021.  This timing is </w:t>
      </w:r>
      <w:r w:rsidR="007D097F">
        <w:t>challenging</w:t>
      </w:r>
      <w:r>
        <w:t xml:space="preserve">, as it results in a major reporting change and </w:t>
      </w:r>
      <w:r w:rsidR="00EB44B0">
        <w:t xml:space="preserve">significant new </w:t>
      </w:r>
      <w:r>
        <w:t xml:space="preserve">filing requirements for insurers right before year-end.  It also places a significant burden on the SVO staff to review and attempt to </w:t>
      </w:r>
      <w:r w:rsidR="008D5CF8">
        <w:t xml:space="preserve">assign </w:t>
      </w:r>
      <w:r>
        <w:t>designat</w:t>
      </w:r>
      <w:r w:rsidR="008D5CF8">
        <w:t>ions to</w:t>
      </w:r>
      <w:r>
        <w:t xml:space="preserve"> such securities in a short time</w:t>
      </w:r>
      <w:r w:rsidR="008D5CF8">
        <w:t xml:space="preserve"> window</w:t>
      </w:r>
      <w:r>
        <w:t xml:space="preserve">.  </w:t>
      </w:r>
    </w:p>
    <w:p w14:paraId="32B7FE26" w14:textId="77777777" w:rsidR="00463524" w:rsidRDefault="004B6973" w:rsidP="00C143B0">
      <w:pPr>
        <w:spacing w:after="280"/>
      </w:pPr>
      <w:r>
        <w:t xml:space="preserve">The </w:t>
      </w:r>
      <w:proofErr w:type="spellStart"/>
      <w:r>
        <w:t>PPiA</w:t>
      </w:r>
      <w:proofErr w:type="spellEnd"/>
      <w:r>
        <w:t xml:space="preserve"> has begun telegraph</w:t>
      </w:r>
      <w:r w:rsidR="008D5CF8">
        <w:t>ing</w:t>
      </w:r>
      <w:r>
        <w:t xml:space="preserve"> the</w:t>
      </w:r>
      <w:r w:rsidR="00EB44B0">
        <w:t>se</w:t>
      </w:r>
      <w:r>
        <w:t xml:space="preserve"> new rules to </w:t>
      </w:r>
      <w:r w:rsidR="00EB44B0">
        <w:t>our</w:t>
      </w:r>
      <w:r>
        <w:t xml:space="preserve"> member companies; however, the change has resulted in </w:t>
      </w:r>
      <w:r w:rsidR="00EB44B0">
        <w:t>multiple</w:t>
      </w:r>
      <w:r>
        <w:t xml:space="preserve"> questions and </w:t>
      </w:r>
      <w:r w:rsidR="00EB44B0">
        <w:t xml:space="preserve">a lot of </w:t>
      </w:r>
      <w:r>
        <w:t xml:space="preserve">confusion around which deals need to be filed, what is required to be filed as supporting documentation, the timing of such filings, </w:t>
      </w:r>
      <w:r w:rsidR="00EB44B0">
        <w:t xml:space="preserve">whether the ruling was intended to be prospective or retrospective, </w:t>
      </w:r>
      <w:r>
        <w:t>and what criteria the SVO will use to assign designation</w:t>
      </w:r>
      <w:r w:rsidR="008D5CF8">
        <w:t>s</w:t>
      </w:r>
      <w:r>
        <w:t xml:space="preserve"> to </w:t>
      </w:r>
      <w:r>
        <w:lastRenderedPageBreak/>
        <w:t xml:space="preserve">these investments.   </w:t>
      </w:r>
      <w:r w:rsidR="007A4B13">
        <w:t>G</w:t>
      </w:r>
      <w:r>
        <w:t xml:space="preserve">iven the nature and volume of questions, we </w:t>
      </w:r>
      <w:r w:rsidR="007A4B13">
        <w:t>expect that there will be</w:t>
      </w:r>
      <w:r>
        <w:t xml:space="preserve"> a variety of inconsistent responses from insurers</w:t>
      </w:r>
      <w:r w:rsidR="008D5CF8">
        <w:t xml:space="preserve"> at year-end</w:t>
      </w:r>
      <w:r>
        <w:t xml:space="preserve">, with some complying fully with the new proposal, some complying partially but </w:t>
      </w:r>
      <w:r w:rsidR="008D5CF8">
        <w:t>perhaps without</w:t>
      </w:r>
      <w:r>
        <w:t xml:space="preserve"> a full understanding of which CTL</w:t>
      </w:r>
      <w:r w:rsidR="00EB44B0">
        <w:t>s</w:t>
      </w:r>
      <w:r>
        <w:t xml:space="preserve"> are necessary to file, and some not even aware of the new re</w:t>
      </w:r>
      <w:r w:rsidR="008D5CF8">
        <w:t>quirements</w:t>
      </w:r>
      <w:r>
        <w:t xml:space="preserve">.  The fact that certain insurers will be allowed to continue carrying </w:t>
      </w:r>
      <w:r w:rsidR="00463524">
        <w:t>these securities on Schedule B or BA, while others must file for Schedule D-</w:t>
      </w:r>
      <w:r w:rsidR="008D5CF8">
        <w:t>1</w:t>
      </w:r>
      <w:r w:rsidR="00463524">
        <w:t xml:space="preserve"> treatment and </w:t>
      </w:r>
      <w:r w:rsidR="007D097F">
        <w:t xml:space="preserve">then hold on </w:t>
      </w:r>
      <w:r w:rsidR="00463524">
        <w:t>Schedule B</w:t>
      </w:r>
      <w:r w:rsidR="008D5CF8">
        <w:t>A</w:t>
      </w:r>
      <w:r w:rsidR="007D097F">
        <w:t>,</w:t>
      </w:r>
      <w:r w:rsidR="00463524">
        <w:t xml:space="preserve"> if the SVO cannot </w:t>
      </w:r>
      <w:r w:rsidR="008D5CF8">
        <w:t xml:space="preserve">assign a </w:t>
      </w:r>
      <w:r w:rsidR="00463524">
        <w:t>designat</w:t>
      </w:r>
      <w:r w:rsidR="008D5CF8">
        <w:t>ion</w:t>
      </w:r>
      <w:r w:rsidR="00463524">
        <w:t xml:space="preserve"> for any reason, only adds to this confusion.  </w:t>
      </w:r>
    </w:p>
    <w:p w14:paraId="579DBEC3" w14:textId="77777777" w:rsidR="00EB44B0" w:rsidRDefault="00463524" w:rsidP="00C143B0">
      <w:pPr>
        <w:spacing w:after="280"/>
      </w:pPr>
      <w:r>
        <w:t xml:space="preserve">Other challenges include </w:t>
      </w:r>
      <w:r w:rsidR="003E23E3">
        <w:t xml:space="preserve">assembling the documents needed to support the filings.  Some of these securities have been on insurers’ books </w:t>
      </w:r>
      <w:r w:rsidR="00241558">
        <w:t xml:space="preserve">for </w:t>
      </w:r>
      <w:r w:rsidR="003E23E3">
        <w:t>15</w:t>
      </w:r>
      <w:r w:rsidR="008D5CF8">
        <w:t>+</w:t>
      </w:r>
      <w:r w:rsidR="003E23E3">
        <w:t xml:space="preserve"> years, and insurers may not have documentation stored electronically, such that it’s easy to upload requirements into the NAIC’s systems.  In these situations, insurers are forced to </w:t>
      </w:r>
      <w:r w:rsidR="008D5CF8">
        <w:t>retrieve</w:t>
      </w:r>
      <w:r w:rsidR="003E23E3">
        <w:t xml:space="preserve"> documents from off-site paper storage warehouses, which takes time and reduces the likelihood that such filings can be submitted before year-end.</w:t>
      </w:r>
      <w:r w:rsidR="007A4B13">
        <w:t xml:space="preserve">  This issue is exacerbated by the</w:t>
      </w:r>
      <w:r w:rsidR="00E859B5">
        <w:t xml:space="preserve"> current</w:t>
      </w:r>
      <w:r w:rsidR="007A4B13">
        <w:t xml:space="preserve"> work-from-home conditions </w:t>
      </w:r>
      <w:r w:rsidR="00E859B5">
        <w:t>under</w:t>
      </w:r>
      <w:r w:rsidR="007A4B13">
        <w:t xml:space="preserve"> which most </w:t>
      </w:r>
      <w:r w:rsidR="00E859B5">
        <w:t>insurers</w:t>
      </w:r>
      <w:r w:rsidR="007A4B13">
        <w:t xml:space="preserve"> are still </w:t>
      </w:r>
      <w:r w:rsidR="00E859B5">
        <w:t>operating</w:t>
      </w:r>
      <w:r w:rsidR="007A4B13">
        <w:t>.</w:t>
      </w:r>
    </w:p>
    <w:p w14:paraId="59AC1934" w14:textId="77777777" w:rsidR="00C143B0" w:rsidRDefault="003E23E3" w:rsidP="00C143B0">
      <w:pPr>
        <w:spacing w:after="280"/>
      </w:pPr>
      <w:r>
        <w:t xml:space="preserve">The </w:t>
      </w:r>
      <w:proofErr w:type="spellStart"/>
      <w:r>
        <w:t>PPiA</w:t>
      </w:r>
      <w:proofErr w:type="spellEnd"/>
      <w:r>
        <w:t xml:space="preserve"> is also concerned that this will be a first-time filing for many of these securities</w:t>
      </w:r>
      <w:r w:rsidR="004B6973">
        <w:t xml:space="preserve">, and </w:t>
      </w:r>
      <w:r w:rsidR="008D5CF8">
        <w:t xml:space="preserve">that </w:t>
      </w:r>
      <w:r w:rsidR="004B6973">
        <w:t>the requested list of supporting documents for such filings is extensive.</w:t>
      </w:r>
      <w:r>
        <w:t xml:space="preserve">  (For example, once such </w:t>
      </w:r>
      <w:r w:rsidR="008D5CF8">
        <w:t>transaction</w:t>
      </w:r>
      <w:r>
        <w:t xml:space="preserve"> that </w:t>
      </w:r>
      <w:r w:rsidR="008D5CF8">
        <w:t xml:space="preserve">the </w:t>
      </w:r>
      <w:proofErr w:type="spellStart"/>
      <w:r>
        <w:t>PPiA</w:t>
      </w:r>
      <w:proofErr w:type="spellEnd"/>
      <w:r>
        <w:t xml:space="preserve"> is currently aware of</w:t>
      </w:r>
      <w:r w:rsidR="008D5CF8">
        <w:t xml:space="preserve"> has</w:t>
      </w:r>
      <w:r>
        <w:t xml:space="preserve"> a closing </w:t>
      </w:r>
      <w:r w:rsidR="008D5CF8">
        <w:t xml:space="preserve">documents </w:t>
      </w:r>
      <w:r>
        <w:t xml:space="preserve">package from outside counsel that is 256MB and cannot be sent over email—instead, investors must access these files from an electronic </w:t>
      </w:r>
      <w:proofErr w:type="spellStart"/>
      <w:r>
        <w:t>DropBox</w:t>
      </w:r>
      <w:proofErr w:type="spellEnd"/>
      <w:r>
        <w:t xml:space="preserve">.)  </w:t>
      </w:r>
      <w:r w:rsidR="00F57301">
        <w:t xml:space="preserve">While </w:t>
      </w:r>
      <w:r w:rsidR="008D5CF8">
        <w:t xml:space="preserve">the </w:t>
      </w:r>
      <w:proofErr w:type="spellStart"/>
      <w:r w:rsidR="008D5CF8">
        <w:t>PPiA</w:t>
      </w:r>
      <w:proofErr w:type="spellEnd"/>
      <w:r w:rsidR="00F57301">
        <w:t xml:space="preserve"> appreciate</w:t>
      </w:r>
      <w:r w:rsidR="008D5CF8">
        <w:t>s</w:t>
      </w:r>
      <w:r w:rsidR="00F57301">
        <w:t xml:space="preserve"> the SVO’s </w:t>
      </w:r>
      <w:r w:rsidR="007A4B13">
        <w:t>effort to try and</w:t>
      </w:r>
      <w:r w:rsidR="00F57301">
        <w:t xml:space="preserve"> review as many of these transactions as possible between now and March 1</w:t>
      </w:r>
      <w:r w:rsidR="00F57301" w:rsidRPr="00F57301">
        <w:rPr>
          <w:vertAlign w:val="superscript"/>
        </w:rPr>
        <w:t>st</w:t>
      </w:r>
      <w:r w:rsidR="00F57301">
        <w:t>, as a practical matter</w:t>
      </w:r>
      <w:r w:rsidR="003C274A">
        <w:t>, we believe</w:t>
      </w:r>
      <w:r w:rsidR="00F57301">
        <w:t xml:space="preserve"> it will </w:t>
      </w:r>
      <w:r w:rsidR="007A4B13">
        <w:t xml:space="preserve">be </w:t>
      </w:r>
      <w:r w:rsidR="00F57301">
        <w:t xml:space="preserve">extremely difficult for </w:t>
      </w:r>
      <w:r w:rsidR="007A4B13">
        <w:t xml:space="preserve">the </w:t>
      </w:r>
      <w:r w:rsidR="00F57301">
        <w:t xml:space="preserve">SVO Staff to review most of these </w:t>
      </w:r>
      <w:r w:rsidR="003C274A">
        <w:t xml:space="preserve">investments </w:t>
      </w:r>
      <w:r w:rsidR="00F57301">
        <w:t>and assign designations</w:t>
      </w:r>
      <w:r w:rsidR="003C274A">
        <w:t xml:space="preserve"> in </w:t>
      </w:r>
      <w:r w:rsidR="007A4B13">
        <w:t>this</w:t>
      </w:r>
      <w:r w:rsidR="008D5CF8">
        <w:t xml:space="preserve"> short</w:t>
      </w:r>
      <w:r w:rsidR="003C274A">
        <w:t xml:space="preserve"> timeframe.  The fact that the SVO currently has no rating methodology </w:t>
      </w:r>
      <w:r w:rsidR="008D5CF8">
        <w:t xml:space="preserve">criteria </w:t>
      </w:r>
      <w:r w:rsidR="003C274A">
        <w:t xml:space="preserve">in place to </w:t>
      </w:r>
      <w:r w:rsidR="008D5CF8">
        <w:t>assess the</w:t>
      </w:r>
      <w:r w:rsidR="003C274A">
        <w:t xml:space="preserve"> risk</w:t>
      </w:r>
      <w:r w:rsidR="008D5CF8">
        <w:t>s</w:t>
      </w:r>
      <w:r w:rsidR="003C274A">
        <w:t xml:space="preserve"> associated with </w:t>
      </w:r>
      <w:r w:rsidR="008D5CF8">
        <w:t>these</w:t>
      </w:r>
      <w:r w:rsidR="003C274A">
        <w:t xml:space="preserve"> securities compounds the difficult</w:t>
      </w:r>
      <w:r w:rsidR="008D5CF8">
        <w:t>ies</w:t>
      </w:r>
      <w:r w:rsidR="003C274A">
        <w:t xml:space="preserve">.  The </w:t>
      </w:r>
      <w:proofErr w:type="spellStart"/>
      <w:r w:rsidR="003C274A">
        <w:t>PPiA</w:t>
      </w:r>
      <w:proofErr w:type="spellEnd"/>
      <w:r w:rsidR="003C274A">
        <w:t xml:space="preserve"> is concerned that the SVO will either not be able to review many of these securities in the allotted timeframe, or that the SVO will be unable to designate such securities without some pre-existing rating methodology in place, and many of these deals will be relegated to Schedule BA reporting with onerous capital treatment (see RBC concern</w:t>
      </w:r>
      <w:r w:rsidR="008D5CF8">
        <w:t>s</w:t>
      </w:r>
      <w:r w:rsidR="003C274A">
        <w:t xml:space="preserve"> below).</w:t>
      </w:r>
    </w:p>
    <w:p w14:paraId="3A4FBBFA" w14:textId="77777777" w:rsidR="003C274A" w:rsidRDefault="003C274A" w:rsidP="00C143B0">
      <w:pPr>
        <w:spacing w:after="280"/>
      </w:pPr>
      <w:r>
        <w:t xml:space="preserve">For </w:t>
      </w:r>
      <w:r w:rsidR="00C42A43">
        <w:t xml:space="preserve">the </w:t>
      </w:r>
      <w:r>
        <w:t xml:space="preserve">reasons stated above, </w:t>
      </w:r>
      <w:r w:rsidR="008D5CF8">
        <w:t xml:space="preserve">the </w:t>
      </w:r>
      <w:proofErr w:type="spellStart"/>
      <w:r w:rsidR="008D5CF8">
        <w:t>PPiA</w:t>
      </w:r>
      <w:proofErr w:type="spellEnd"/>
      <w:r>
        <w:t xml:space="preserve"> believe</w:t>
      </w:r>
      <w:r w:rsidR="008D5CF8">
        <w:t>s</w:t>
      </w:r>
      <w:r>
        <w:t xml:space="preserve"> it would be best to delay implementation of the new rules from year-end 2020 into 2021.  Industry is willing to begin filing all non</w:t>
      </w:r>
      <w:r w:rsidR="008D5CF8">
        <w:t>-</w:t>
      </w:r>
      <w:r>
        <w:t>conforming CTLs</w:t>
      </w:r>
      <w:r w:rsidR="008C1C46">
        <w:t xml:space="preserve"> </w:t>
      </w:r>
      <w:r w:rsidR="008D5CF8">
        <w:t xml:space="preserve">with the </w:t>
      </w:r>
      <w:r w:rsidR="008C1C46">
        <w:t>SVO to provide transparency for Regulators,</w:t>
      </w:r>
      <w:r>
        <w:t xml:space="preserve"> and we are willing to work with the SVO to discuss and develop a potential ratings </w:t>
      </w:r>
      <w:r w:rsidR="00C42A43">
        <w:t>framework in</w:t>
      </w:r>
      <w:r>
        <w:t xml:space="preserve"> early 2021</w:t>
      </w:r>
      <w:r w:rsidR="008D5CF8">
        <w:t>,</w:t>
      </w:r>
      <w:r w:rsidR="0072443C">
        <w:t xml:space="preserve"> so that many of these securities could be designated over the course of the </w:t>
      </w:r>
      <w:r w:rsidR="008D5CF8">
        <w:t>full year</w:t>
      </w:r>
      <w:r w:rsidR="0072443C">
        <w:t xml:space="preserve">.  However, </w:t>
      </w:r>
      <w:r>
        <w:t xml:space="preserve">we believe that </w:t>
      </w:r>
      <w:r w:rsidR="008D5CF8">
        <w:t xml:space="preserve">it is too late in the year to adopt new reporting requirements that could potentially have negative capital consequences for insurers, </w:t>
      </w:r>
      <w:r w:rsidR="0072443C">
        <w:t>a</w:t>
      </w:r>
      <w:r w:rsidR="008D5CF8">
        <w:t xml:space="preserve">nd we think that more time would allow a more thoughtful approach to review such securities and implement the new rules smoothly.  </w:t>
      </w:r>
      <w:r w:rsidR="0072443C">
        <w:t xml:space="preserve">As such, we would ask Regulators to consider delaying the reporting and RBC requirements change </w:t>
      </w:r>
      <w:r w:rsidR="008D5CF8">
        <w:t>until</w:t>
      </w:r>
      <w:r w:rsidR="0072443C">
        <w:t xml:space="preserve"> year-end 2021.  However, if Regulators are unwilling to delay implementation of </w:t>
      </w:r>
      <w:r w:rsidR="008D5CF8">
        <w:t>such</w:t>
      </w:r>
      <w:r w:rsidR="0072443C">
        <w:t xml:space="preserve"> </w:t>
      </w:r>
      <w:proofErr w:type="gramStart"/>
      <w:r w:rsidR="0072443C">
        <w:t>rules</w:t>
      </w:r>
      <w:proofErr w:type="gramEnd"/>
      <w:r w:rsidR="0072443C">
        <w:t xml:space="preserve"> changes, then the </w:t>
      </w:r>
      <w:proofErr w:type="spellStart"/>
      <w:r w:rsidR="0072443C">
        <w:t>PPiA</w:t>
      </w:r>
      <w:proofErr w:type="spellEnd"/>
      <w:r w:rsidR="0072443C">
        <w:t xml:space="preserve"> would ask for relief on the RBC requirement as noted below.</w:t>
      </w:r>
    </w:p>
    <w:p w14:paraId="1FEB48BA" w14:textId="77777777" w:rsidR="0072443C" w:rsidRPr="0072443C" w:rsidRDefault="0072443C" w:rsidP="00C143B0">
      <w:pPr>
        <w:spacing w:after="280"/>
        <w:rPr>
          <w:b/>
          <w:u w:val="single"/>
        </w:rPr>
      </w:pPr>
      <w:r w:rsidRPr="0072443C">
        <w:rPr>
          <w:b/>
          <w:u w:val="single"/>
        </w:rPr>
        <w:t>RBC Requirements</w:t>
      </w:r>
    </w:p>
    <w:p w14:paraId="2051D86C" w14:textId="77777777" w:rsidR="00675DCD" w:rsidRDefault="0072443C" w:rsidP="00C143B0">
      <w:pPr>
        <w:spacing w:after="280"/>
      </w:pPr>
      <w:r>
        <w:t xml:space="preserve">As discussed above, the </w:t>
      </w:r>
      <w:proofErr w:type="spellStart"/>
      <w:r>
        <w:t>PPiA</w:t>
      </w:r>
      <w:proofErr w:type="spellEnd"/>
      <w:r>
        <w:t xml:space="preserve"> believes that </w:t>
      </w:r>
      <w:r w:rsidR="002E531A">
        <w:t xml:space="preserve">these new interim rules will </w:t>
      </w:r>
      <w:r w:rsidR="00636587">
        <w:t>result in</w:t>
      </w:r>
      <w:r w:rsidR="002E531A">
        <w:t xml:space="preserve"> </w:t>
      </w:r>
      <w:r>
        <w:t>many of the</w:t>
      </w:r>
      <w:r w:rsidR="002E531A">
        <w:t xml:space="preserve"> non-conforming CTL</w:t>
      </w:r>
      <w:r>
        <w:t xml:space="preserve"> transactions </w:t>
      </w:r>
      <w:r w:rsidR="00675DCD">
        <w:t>moving to</w:t>
      </w:r>
      <w:r>
        <w:t xml:space="preserve"> Schedule BA, either because the SVO </w:t>
      </w:r>
      <w:r w:rsidR="00675DCD">
        <w:t xml:space="preserve">lacks </w:t>
      </w:r>
      <w:r>
        <w:t xml:space="preserve">sufficient time </w:t>
      </w:r>
      <w:r w:rsidR="008D5CF8">
        <w:t xml:space="preserve">to </w:t>
      </w:r>
      <w:r w:rsidR="008D5CF8">
        <w:lastRenderedPageBreak/>
        <w:t xml:space="preserve">review the investments, </w:t>
      </w:r>
      <w:r>
        <w:t xml:space="preserve">or </w:t>
      </w:r>
      <w:r w:rsidR="008D5CF8">
        <w:t>because the SVO is unable</w:t>
      </w:r>
      <w:r>
        <w:t xml:space="preserve"> </w:t>
      </w:r>
      <w:r w:rsidR="00675DCD">
        <w:t xml:space="preserve">to </w:t>
      </w:r>
      <w:r w:rsidR="002E531A">
        <w:t>assign a</w:t>
      </w:r>
      <w:r>
        <w:t xml:space="preserve"> designa</w:t>
      </w:r>
      <w:r w:rsidR="002E531A">
        <w:t xml:space="preserve">tion </w:t>
      </w:r>
      <w:r w:rsidR="00675DCD">
        <w:t>without a pre-defined ratings methodology</w:t>
      </w:r>
      <w:r w:rsidR="008D5CF8">
        <w:t xml:space="preserve"> fram</w:t>
      </w:r>
      <w:r w:rsidR="00C42A43">
        <w:t>e</w:t>
      </w:r>
      <w:r w:rsidR="008D5CF8">
        <w:t>work</w:t>
      </w:r>
      <w:r>
        <w:t xml:space="preserve">.  </w:t>
      </w:r>
      <w:r w:rsidR="002E531A">
        <w:t xml:space="preserve">The </w:t>
      </w:r>
      <w:proofErr w:type="spellStart"/>
      <w:r w:rsidR="002E531A">
        <w:t>PPiA’s</w:t>
      </w:r>
      <w:proofErr w:type="spellEnd"/>
      <w:r>
        <w:t xml:space="preserve"> interpretation of INT 20-10 is that such securities, if reported on Schedule BA, would be assessed a 30% C1 RB</w:t>
      </w:r>
      <w:r w:rsidR="00675DCD">
        <w:t>C</w:t>
      </w:r>
      <w:r>
        <w:t xml:space="preserve"> charge.  This </w:t>
      </w:r>
      <w:r w:rsidR="00675DCD">
        <w:t xml:space="preserve">capital </w:t>
      </w:r>
      <w:r>
        <w:t xml:space="preserve">charge is typically assigned to equity securities </w:t>
      </w:r>
      <w:r w:rsidR="00675DCD">
        <w:t xml:space="preserve">and </w:t>
      </w:r>
      <w:r>
        <w:t>limited partnership investments</w:t>
      </w:r>
      <w:r w:rsidR="00C42A43">
        <w:t xml:space="preserve"> and</w:t>
      </w:r>
      <w:r w:rsidR="00675DCD">
        <w:t xml:space="preserve"> </w:t>
      </w:r>
      <w:r>
        <w:t xml:space="preserve">seems overly conservative for securities which are—at worst—mortgages </w:t>
      </w:r>
      <w:r w:rsidR="00675DCD">
        <w:t>with a</w:t>
      </w:r>
      <w:r>
        <w:t xml:space="preserve"> 20-year fixed-income cash flow payment stream derived from an investment grade tenant(s).  We note that</w:t>
      </w:r>
      <w:r w:rsidR="00F67A25">
        <w:t xml:space="preserve"> the current</w:t>
      </w:r>
      <w:r>
        <w:t xml:space="preserve"> disc</w:t>
      </w:r>
      <w:r w:rsidR="002E531A">
        <w:t>u</w:t>
      </w:r>
      <w:r>
        <w:t>ssions around non</w:t>
      </w:r>
      <w:r w:rsidR="00675DCD">
        <w:t>-</w:t>
      </w:r>
      <w:r>
        <w:t xml:space="preserve">conforming CTLs originated from a desire to provide capital relief </w:t>
      </w:r>
      <w:r w:rsidR="00675DCD">
        <w:t>for</w:t>
      </w:r>
      <w:r>
        <w:t xml:space="preserve"> these securities, which were previously reported on the Schedule B (</w:t>
      </w:r>
      <w:r w:rsidR="002E531A">
        <w:t xml:space="preserve">the </w:t>
      </w:r>
      <w:r>
        <w:t>commercial mortgage</w:t>
      </w:r>
      <w:r w:rsidR="002E531A">
        <w:t xml:space="preserve"> schedule).  However, absent some form of additional capital relief, any non-conforming CTLs that are reported on Schedule BA would be forced to carry more than 5x the capital </w:t>
      </w:r>
      <w:r w:rsidR="00F67A25">
        <w:t>vs.</w:t>
      </w:r>
      <w:r w:rsidR="002E531A">
        <w:t xml:space="preserve"> if such securit</w:t>
      </w:r>
      <w:r w:rsidR="00675DCD">
        <w:t>ies</w:t>
      </w:r>
      <w:r w:rsidR="002E531A">
        <w:t xml:space="preserve"> were reported on Schedule B with the requisite commercial mortgage RBC</w:t>
      </w:r>
      <w:r w:rsidR="00F67A25">
        <w:t xml:space="preserve"> charges</w:t>
      </w:r>
      <w:r w:rsidR="002E531A">
        <w:t xml:space="preserve">.  A 30% RBC </w:t>
      </w:r>
      <w:r w:rsidR="00675DCD">
        <w:t xml:space="preserve">C1 </w:t>
      </w:r>
      <w:r w:rsidR="002E531A">
        <w:t xml:space="preserve">charge for these securities is not a desirable outcome for </w:t>
      </w:r>
      <w:proofErr w:type="spellStart"/>
      <w:r w:rsidR="002E531A">
        <w:t>PPiA</w:t>
      </w:r>
      <w:proofErr w:type="spellEnd"/>
      <w:r w:rsidR="002E531A">
        <w:t xml:space="preserve"> members or for </w:t>
      </w:r>
      <w:r w:rsidR="00F67A25">
        <w:t>their</w:t>
      </w:r>
      <w:r w:rsidR="002E531A">
        <w:t xml:space="preserve"> respective policyholders.  Therefore, we would ask that SAPWG make an exception to allow any non-conforming CTLs reported on Schedule BA to carry bond RBC treatment, based on the credit ratings assigned</w:t>
      </w:r>
      <w:r w:rsidR="003849DD">
        <w:t xml:space="preserve"> to such securities</w:t>
      </w:r>
      <w:r w:rsidR="002E531A">
        <w:t xml:space="preserve"> by a CRP</w:t>
      </w:r>
      <w:r w:rsidR="003849DD">
        <w:t xml:space="preserve">.  We understand that such a request is a departure from historical </w:t>
      </w:r>
      <w:r w:rsidR="00C306E6">
        <w:t xml:space="preserve">NAIC </w:t>
      </w:r>
      <w:r w:rsidR="00675DCD">
        <w:t>policy</w:t>
      </w:r>
      <w:r w:rsidR="00C42A43">
        <w:t xml:space="preserve"> regarding CTLs </w:t>
      </w:r>
      <w:r w:rsidR="00675DCD">
        <w:t>and would be a temporary exception, limited to only non-conforming CTLs</w:t>
      </w:r>
      <w:r w:rsidR="00C306E6">
        <w:t xml:space="preserve">, but we believe such an exception makes sense, given the tight timing </w:t>
      </w:r>
      <w:r w:rsidR="00675DCD">
        <w:t>for</w:t>
      </w:r>
      <w:r w:rsidR="00C306E6">
        <w:t xml:space="preserve"> </w:t>
      </w:r>
      <w:r w:rsidR="00F67A25">
        <w:t xml:space="preserve">implementing </w:t>
      </w:r>
      <w:r w:rsidR="00C306E6">
        <w:t>th</w:t>
      </w:r>
      <w:r w:rsidR="00F67A25">
        <w:t>ese new</w:t>
      </w:r>
      <w:r w:rsidR="00C306E6">
        <w:t xml:space="preserve"> rules</w:t>
      </w:r>
      <w:r w:rsidR="00F67A25">
        <w:t xml:space="preserve">, </w:t>
      </w:r>
      <w:r w:rsidR="00C306E6">
        <w:t xml:space="preserve">and </w:t>
      </w:r>
      <w:r w:rsidR="00F67A25">
        <w:t xml:space="preserve">given </w:t>
      </w:r>
      <w:r w:rsidR="00C306E6">
        <w:t xml:space="preserve">that this issue will be revisited later, in conjunction with projects to rewrite SSAP No. 43R and </w:t>
      </w:r>
      <w:r w:rsidR="00675DCD">
        <w:t xml:space="preserve">to </w:t>
      </w:r>
      <w:r w:rsidR="00C306E6">
        <w:t xml:space="preserve">provide </w:t>
      </w:r>
      <w:r w:rsidR="00675DCD">
        <w:t xml:space="preserve">a </w:t>
      </w:r>
      <w:r w:rsidR="00C306E6">
        <w:t xml:space="preserve">more robust definition of a </w:t>
      </w:r>
      <w:r w:rsidR="00675DCD">
        <w:t>b</w:t>
      </w:r>
      <w:r w:rsidR="00C306E6">
        <w:t>ond</w:t>
      </w:r>
      <w:r w:rsidR="00675DCD">
        <w:t xml:space="preserve"> in the SSAPs</w:t>
      </w:r>
      <w:r w:rsidR="00C306E6">
        <w:t>.</w:t>
      </w:r>
      <w:r w:rsidR="00675DCD">
        <w:t xml:space="preserve">  </w:t>
      </w:r>
    </w:p>
    <w:p w14:paraId="7EE85A55" w14:textId="77777777" w:rsidR="0072443C" w:rsidRDefault="00675DCD" w:rsidP="00C143B0">
      <w:pPr>
        <w:spacing w:after="280"/>
      </w:pPr>
      <w:r>
        <w:t xml:space="preserve">The </w:t>
      </w:r>
      <w:proofErr w:type="spellStart"/>
      <w:r>
        <w:t>PPiA</w:t>
      </w:r>
      <w:proofErr w:type="spellEnd"/>
      <w:r>
        <w:t xml:space="preserve"> understands that some Regulators may be uncomfortable with allowing some non-conforming CTLs to be carried on Schedule D-1 (those </w:t>
      </w:r>
      <w:r w:rsidR="00C15E3F">
        <w:t xml:space="preserve">for which </w:t>
      </w:r>
      <w:r>
        <w:t>the SVO ass</w:t>
      </w:r>
      <w:r w:rsidR="00C15E3F">
        <w:t>igns a designation), while allowing other non-conforming CTLs to be reported on Schedule BA</w:t>
      </w:r>
      <w:r w:rsidR="00F67A25">
        <w:t>,</w:t>
      </w:r>
      <w:r w:rsidR="00C15E3F">
        <w:t xml:space="preserve"> </w:t>
      </w:r>
      <w:r w:rsidR="00F67A25">
        <w:t>ye</w:t>
      </w:r>
      <w:r w:rsidR="00C15E3F">
        <w:t xml:space="preserve">t still carry </w:t>
      </w:r>
      <w:r w:rsidR="00F67A25">
        <w:t xml:space="preserve">a </w:t>
      </w:r>
      <w:r w:rsidR="00C15E3F">
        <w:t xml:space="preserve">bond RBC </w:t>
      </w:r>
      <w:r w:rsidR="00F67A25">
        <w:t>charge</w:t>
      </w:r>
      <w:r w:rsidR="00C15E3F">
        <w:t>.  Such Regulators have stated a preference for an “either/or” approach, rather than providing insurers with “the best of both worlds” (i.e. Schedule D for some securities, and Schedule BA with bond RBC</w:t>
      </w:r>
      <w:r w:rsidR="00F67A25">
        <w:t xml:space="preserve"> charges</w:t>
      </w:r>
      <w:r w:rsidR="00C15E3F">
        <w:t xml:space="preserve"> for others).  If this is truly the case</w:t>
      </w:r>
      <w:r w:rsidR="00D50D9F">
        <w:t>,</w:t>
      </w:r>
      <w:r w:rsidR="00C15E3F">
        <w:t xml:space="preserve"> and Regulators can only see fit to approve one reporting option </w:t>
      </w:r>
      <w:r w:rsidR="00F67A25">
        <w:t>that grants bond RBC treatment for non-conforming CTLs</w:t>
      </w:r>
      <w:r w:rsidR="00C15E3F">
        <w:t xml:space="preserve">, then the </w:t>
      </w:r>
      <w:proofErr w:type="spellStart"/>
      <w:r w:rsidR="00C15E3F">
        <w:t>PPiA</w:t>
      </w:r>
      <w:proofErr w:type="spellEnd"/>
      <w:r w:rsidR="00C15E3F">
        <w:t xml:space="preserve"> requests that all non-conforming CTLs be reported on Schedule BA with the exception granted for bond RBC treatment</w:t>
      </w:r>
      <w:r w:rsidR="00D50D9F">
        <w:t>, based on assigned CRP ratings</w:t>
      </w:r>
      <w:r w:rsidR="00C15E3F">
        <w:t xml:space="preserve">.  The </w:t>
      </w:r>
      <w:proofErr w:type="spellStart"/>
      <w:r w:rsidR="00C15E3F">
        <w:t>PPiA</w:t>
      </w:r>
      <w:proofErr w:type="spellEnd"/>
      <w:r w:rsidR="00C15E3F">
        <w:t xml:space="preserve"> </w:t>
      </w:r>
      <w:r>
        <w:t>feels strongly that</w:t>
      </w:r>
      <w:r w:rsidR="00C15E3F">
        <w:t xml:space="preserve"> a 30% RBC charge is a punitive outcome</w:t>
      </w:r>
      <w:r>
        <w:t xml:space="preserve"> </w:t>
      </w:r>
      <w:r w:rsidR="00C15E3F">
        <w:t>and not appropriate for the risk associated with these securities.  As such, we would prefer less punitive capital treatment</w:t>
      </w:r>
      <w:r w:rsidR="00F67A25">
        <w:t xml:space="preserve"> for</w:t>
      </w:r>
      <w:r w:rsidR="004374BC">
        <w:t xml:space="preserve"> the full universe of</w:t>
      </w:r>
      <w:r w:rsidR="00F67A25">
        <w:t xml:space="preserve"> these securities rather than Schedule D-1 reporting for some</w:t>
      </w:r>
      <w:r w:rsidR="00D50D9F">
        <w:t xml:space="preserve"> (</w:t>
      </w:r>
      <w:r w:rsidR="00F67A25">
        <w:t>but not al</w:t>
      </w:r>
      <w:r w:rsidR="00D50D9F">
        <w:t>l)</w:t>
      </w:r>
      <w:r w:rsidR="00F67A25">
        <w:t xml:space="preserve"> non-conforming CTLs.</w:t>
      </w:r>
      <w:r w:rsidR="00C15E3F">
        <w:t xml:space="preserve"> </w:t>
      </w:r>
    </w:p>
    <w:p w14:paraId="32DE6A70" w14:textId="77777777" w:rsidR="00F67A25" w:rsidRPr="00C143B0" w:rsidRDefault="00F67A25" w:rsidP="00C143B0">
      <w:pPr>
        <w:spacing w:after="280"/>
      </w:pPr>
      <w:r>
        <w:t xml:space="preserve">The </w:t>
      </w:r>
      <w:proofErr w:type="spellStart"/>
      <w:r>
        <w:t>PPiA</w:t>
      </w:r>
      <w:proofErr w:type="spellEnd"/>
      <w:r>
        <w:t xml:space="preserve"> shares the NAIC’s desire to provide clarity around this issue and to move forward.  We hope to work constructively with </w:t>
      </w:r>
      <w:r w:rsidR="00D50D9F">
        <w:t xml:space="preserve">the </w:t>
      </w:r>
      <w:r>
        <w:t>NAIC Staff and with Regulators to develop a final solution that is mutually agreeable and reasonably reflects</w:t>
      </w:r>
      <w:r w:rsidR="00C47942">
        <w:t>/</w:t>
      </w:r>
      <w:r>
        <w:t xml:space="preserve">reports the risks associated with non-conforming CTLs.  However, it is our strong desire to avoid equity RBC treatment for any of these securities—particularly </w:t>
      </w:r>
      <w:r w:rsidR="00C47942">
        <w:t>so</w:t>
      </w:r>
      <w:r>
        <w:t xml:space="preserve"> close to year</w:t>
      </w:r>
      <w:r w:rsidR="00C47942">
        <w:t>-</w:t>
      </w:r>
      <w:r>
        <w:t>end.  We would be very appreciative if NAIC Staff and SAPWG would give serious consideration to our proposal</w:t>
      </w:r>
      <w:r w:rsidR="00C47942">
        <w:t>, and we stand prepared to answer any questions or offer help, if needed.</w:t>
      </w:r>
    </w:p>
    <w:p w14:paraId="19A61266" w14:textId="77777777" w:rsidR="00D54344" w:rsidRDefault="004A54F2" w:rsidP="006D7B00">
      <w:pPr>
        <w:spacing w:line="240" w:lineRule="auto"/>
      </w:pPr>
      <w:r>
        <w:t>Sincerely,</w:t>
      </w:r>
    </w:p>
    <w:p w14:paraId="131C8004" w14:textId="77777777" w:rsidR="004A54F2" w:rsidRPr="006D7B00" w:rsidRDefault="00D516BD" w:rsidP="006D7B00">
      <w:pPr>
        <w:spacing w:line="240" w:lineRule="auto"/>
        <w:rPr>
          <w:rFonts w:ascii="Brush Script MT" w:hAnsi="Brush Script MT"/>
          <w:sz w:val="30"/>
          <w:szCs w:val="30"/>
        </w:rPr>
      </w:pPr>
      <w:r w:rsidRPr="006D7B00">
        <w:rPr>
          <w:rFonts w:ascii="Brush Script MT" w:hAnsi="Brush Script MT"/>
          <w:noProof/>
          <w:sz w:val="30"/>
          <w:szCs w:val="30"/>
        </w:rPr>
        <w:t>John Petchler</w:t>
      </w:r>
    </w:p>
    <w:p w14:paraId="4767CC54" w14:textId="77777777" w:rsidR="00170E1D" w:rsidRDefault="004A54F2">
      <w:r>
        <w:t xml:space="preserve">John </w:t>
      </w:r>
      <w:proofErr w:type="spellStart"/>
      <w:r>
        <w:t>Petchler</w:t>
      </w:r>
      <w:proofErr w:type="spellEnd"/>
      <w:r>
        <w:t xml:space="preserve">, </w:t>
      </w:r>
      <w:proofErr w:type="spellStart"/>
      <w:r>
        <w:t>PPiA</w:t>
      </w:r>
      <w:proofErr w:type="spellEnd"/>
      <w:r>
        <w:t xml:space="preserve"> President, on behalf of the </w:t>
      </w:r>
      <w:proofErr w:type="spellStart"/>
      <w:r>
        <w:t>PPiA</w:t>
      </w:r>
      <w:proofErr w:type="spellEnd"/>
      <w:r>
        <w:t xml:space="preserve"> Board </w:t>
      </w:r>
      <w:r w:rsidR="00D516BD">
        <w:t>of Directors</w:t>
      </w:r>
    </w:p>
    <w:p w14:paraId="7416992A" w14:textId="77777777" w:rsidR="00D54344" w:rsidRDefault="00D54344">
      <w:r>
        <w:t xml:space="preserve">CC:  </w:t>
      </w:r>
      <w:r w:rsidR="007143D5">
        <w:t xml:space="preserve">Ms. </w:t>
      </w:r>
      <w:r>
        <w:t>Julie Gann</w:t>
      </w:r>
      <w:r w:rsidR="007143D5">
        <w:t>, Assistant Director—Solvency Policy</w:t>
      </w:r>
    </w:p>
    <w:sectPr w:rsidR="00D5434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788AA2" w14:textId="77777777" w:rsidR="00276818" w:rsidRDefault="00276818" w:rsidP="00CB29A6">
      <w:pPr>
        <w:spacing w:after="0" w:line="240" w:lineRule="auto"/>
      </w:pPr>
      <w:r>
        <w:separator/>
      </w:r>
    </w:p>
  </w:endnote>
  <w:endnote w:type="continuationSeparator" w:id="0">
    <w:p w14:paraId="0E8132D5" w14:textId="77777777" w:rsidR="00276818" w:rsidRDefault="00276818" w:rsidP="00CB2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EF1C8E" w14:textId="77777777" w:rsidR="00CB29A6" w:rsidRDefault="00CB29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D9B81" w14:textId="77777777" w:rsidR="00CB29A6" w:rsidRDefault="00CB29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BCFBC4" w14:textId="77777777" w:rsidR="00CB29A6" w:rsidRDefault="00CB29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4283EB" w14:textId="77777777" w:rsidR="00276818" w:rsidRDefault="00276818" w:rsidP="00CB29A6">
      <w:pPr>
        <w:spacing w:after="0" w:line="240" w:lineRule="auto"/>
      </w:pPr>
      <w:r>
        <w:separator/>
      </w:r>
    </w:p>
  </w:footnote>
  <w:footnote w:type="continuationSeparator" w:id="0">
    <w:p w14:paraId="45C3BA74" w14:textId="77777777" w:rsidR="00276818" w:rsidRDefault="00276818" w:rsidP="00CB29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4A6D21" w14:textId="77777777" w:rsidR="00CB29A6" w:rsidRDefault="00CB29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D9E24C" w14:textId="77777777" w:rsidR="00CB29A6" w:rsidRDefault="00CB29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BE69DD" w14:textId="77777777" w:rsidR="00CB29A6" w:rsidRDefault="00CB29A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9A6"/>
    <w:rsid w:val="0002704B"/>
    <w:rsid w:val="00170E1D"/>
    <w:rsid w:val="00241558"/>
    <w:rsid w:val="00276818"/>
    <w:rsid w:val="002E531A"/>
    <w:rsid w:val="002F79D8"/>
    <w:rsid w:val="003849DD"/>
    <w:rsid w:val="003C274A"/>
    <w:rsid w:val="003E23E3"/>
    <w:rsid w:val="004374BC"/>
    <w:rsid w:val="00463524"/>
    <w:rsid w:val="00495758"/>
    <w:rsid w:val="004A54F2"/>
    <w:rsid w:val="004B6973"/>
    <w:rsid w:val="004D6490"/>
    <w:rsid w:val="006202A3"/>
    <w:rsid w:val="00636587"/>
    <w:rsid w:val="00675DCD"/>
    <w:rsid w:val="006D7B00"/>
    <w:rsid w:val="007143D5"/>
    <w:rsid w:val="0072443C"/>
    <w:rsid w:val="00726563"/>
    <w:rsid w:val="007768F6"/>
    <w:rsid w:val="007A4B13"/>
    <w:rsid w:val="007D097F"/>
    <w:rsid w:val="00850368"/>
    <w:rsid w:val="008C1C46"/>
    <w:rsid w:val="008D5CF8"/>
    <w:rsid w:val="00B40180"/>
    <w:rsid w:val="00C143B0"/>
    <w:rsid w:val="00C15E3F"/>
    <w:rsid w:val="00C306E6"/>
    <w:rsid w:val="00C42A43"/>
    <w:rsid w:val="00C47942"/>
    <w:rsid w:val="00CB29A6"/>
    <w:rsid w:val="00D34368"/>
    <w:rsid w:val="00D50D9F"/>
    <w:rsid w:val="00D516BD"/>
    <w:rsid w:val="00D54344"/>
    <w:rsid w:val="00E859B5"/>
    <w:rsid w:val="00EB44B0"/>
    <w:rsid w:val="00F20D12"/>
    <w:rsid w:val="00F57301"/>
    <w:rsid w:val="00F67A25"/>
    <w:rsid w:val="00FE4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B16D2"/>
  <w15:chartTrackingRefBased/>
  <w15:docId w15:val="{39B46FE4-84B5-4B3F-B2DD-F9C53062E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29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29A6"/>
  </w:style>
  <w:style w:type="paragraph" w:styleId="Footer">
    <w:name w:val="footer"/>
    <w:basedOn w:val="Normal"/>
    <w:link w:val="FooterChar"/>
    <w:uiPriority w:val="99"/>
    <w:unhideWhenUsed/>
    <w:rsid w:val="00CB29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29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1465</Words>
  <Characters>8357</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American Equity</Company>
  <LinksUpToDate>false</LinksUpToDate>
  <CharactersWithSpaces>9803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 Kamper</dc:creator>
  <cp:keywords/>
  <dc:description/>
  <cp:lastModifiedBy>Jacks, Wendy</cp:lastModifiedBy>
  <cp:revision>2</cp:revision>
  <dcterms:created xsi:type="dcterms:W3CDTF">2020-12-16T23:44:00Z</dcterms:created>
  <dcterms:modified xsi:type="dcterms:W3CDTF">2020-12-16T23:44:00Z</dcterms:modified>
</cp:coreProperties>
</file>