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2CE31" w14:textId="2BE90E28" w:rsidR="00CC43CF" w:rsidRDefault="00716AC6" w:rsidP="00716AC6">
      <w:pPr>
        <w:pStyle w:val="Heading1"/>
      </w:pPr>
      <w:r>
        <w:t>Response to Straw Man Draft for Reinsurance AAT Actuarial Guideline</w:t>
      </w:r>
    </w:p>
    <w:p w14:paraId="3721F206" w14:textId="721B13C1" w:rsidR="00716AC6" w:rsidRPr="001D39CA" w:rsidRDefault="001D39CA" w:rsidP="00716AC6">
      <w:pPr>
        <w:pStyle w:val="NoSpacing"/>
      </w:pPr>
      <w:r>
        <w:rPr>
          <w:b/>
          <w:bCs/>
        </w:rPr>
        <w:t xml:space="preserve">Document: </w:t>
      </w:r>
      <w:hyperlink r:id="rId5" w:history="1">
        <w:r w:rsidRPr="001D39CA">
          <w:rPr>
            <w:rStyle w:val="Hyperlink"/>
            <w:b/>
            <w:bCs/>
          </w:rPr>
          <w:t xml:space="preserve">Straw Man Draft - AG </w:t>
        </w:r>
        <w:proofErr w:type="spellStart"/>
        <w:r w:rsidRPr="001D39CA">
          <w:rPr>
            <w:rStyle w:val="Hyperlink"/>
            <w:b/>
            <w:bCs/>
          </w:rPr>
          <w:t>ReAAT</w:t>
        </w:r>
        <w:proofErr w:type="spellEnd"/>
        <w:r w:rsidRPr="001D39CA">
          <w:rPr>
            <w:rStyle w:val="Hyperlink"/>
            <w:b/>
            <w:bCs/>
          </w:rPr>
          <w:t xml:space="preserve"> - LATF 081124.pdf (naic.org)</w:t>
        </w:r>
      </w:hyperlink>
      <w:r>
        <w:rPr>
          <w:b/>
          <w:bCs/>
        </w:rPr>
        <w:br/>
      </w:r>
      <w:r>
        <w:t>Document Date: 8/11/2024</w:t>
      </w:r>
    </w:p>
    <w:p w14:paraId="6BF41A71" w14:textId="77777777" w:rsidR="001D39CA" w:rsidRDefault="001D39CA" w:rsidP="00716AC6">
      <w:pPr>
        <w:pStyle w:val="NoSpacing"/>
      </w:pPr>
    </w:p>
    <w:p w14:paraId="6F660D0E" w14:textId="05D3148D" w:rsidR="001D39CA" w:rsidRPr="001D39CA" w:rsidRDefault="001D39CA" w:rsidP="00716AC6">
      <w:pPr>
        <w:pStyle w:val="NoSpacing"/>
      </w:pPr>
      <w:r>
        <w:rPr>
          <w:b/>
          <w:bCs/>
        </w:rPr>
        <w:t xml:space="preserve">Date of response: </w:t>
      </w:r>
      <w:r>
        <w:t>9/6/2024</w:t>
      </w:r>
    </w:p>
    <w:p w14:paraId="396361A8" w14:textId="77777777" w:rsidR="00716AC6" w:rsidRDefault="00716AC6" w:rsidP="00716AC6">
      <w:pPr>
        <w:pStyle w:val="NoSpacing"/>
      </w:pPr>
      <w:r>
        <w:rPr>
          <w:b/>
          <w:bCs/>
        </w:rPr>
        <w:t xml:space="preserve">Author: </w:t>
      </w:r>
      <w:r>
        <w:t>Aaron Ziegler, FSA, CERA, MAAA</w:t>
      </w:r>
    </w:p>
    <w:p w14:paraId="1CAA6FF8" w14:textId="72405EB7" w:rsidR="00716AC6" w:rsidRDefault="00EA2795" w:rsidP="00716AC6">
      <w:pPr>
        <w:pStyle w:val="NoSpacing"/>
      </w:pPr>
      <w:r>
        <w:rPr>
          <w:b/>
          <w:bCs/>
        </w:rPr>
        <w:t xml:space="preserve">Title: </w:t>
      </w:r>
      <w:r w:rsidR="00716AC6">
        <w:t>Chief Actuary and Appointed Actuary – Illinois Mutual Life Insurance Company</w:t>
      </w:r>
    </w:p>
    <w:p w14:paraId="50338408" w14:textId="1B95F7C6" w:rsidR="00716AC6" w:rsidRPr="00EA2795" w:rsidRDefault="00EA2795" w:rsidP="00716AC6">
      <w:pPr>
        <w:pStyle w:val="NoSpacing"/>
        <w:rPr>
          <w:b/>
          <w:bCs/>
        </w:rPr>
      </w:pPr>
      <w:r>
        <w:rPr>
          <w:b/>
          <w:bCs/>
        </w:rPr>
        <w:t xml:space="preserve">Email: </w:t>
      </w:r>
      <w:r w:rsidRPr="00EA2795">
        <w:t>ATZiegler@illinoismutual.com</w:t>
      </w:r>
    </w:p>
    <w:p w14:paraId="0C823CD9" w14:textId="77777777" w:rsidR="00EA2795" w:rsidRDefault="00EA2795" w:rsidP="00716AC6">
      <w:pPr>
        <w:pStyle w:val="NoSpacing"/>
      </w:pPr>
    </w:p>
    <w:p w14:paraId="6F64BC66" w14:textId="238E9E08" w:rsidR="00C30B20" w:rsidRPr="00C30B20" w:rsidRDefault="00C30B20" w:rsidP="00716AC6">
      <w:pPr>
        <w:pStyle w:val="NoSpacing"/>
      </w:pPr>
      <w:r>
        <w:rPr>
          <w:b/>
          <w:bCs/>
        </w:rPr>
        <w:t xml:space="preserve">To: </w:t>
      </w:r>
      <w:r>
        <w:t xml:space="preserve">Scott O’Neal: </w:t>
      </w:r>
      <w:r w:rsidRPr="00C30B20">
        <w:t>soneal@naic.org</w:t>
      </w:r>
    </w:p>
    <w:p w14:paraId="3C680125" w14:textId="77777777" w:rsidR="00C30B20" w:rsidRDefault="00C30B20" w:rsidP="00716AC6">
      <w:pPr>
        <w:pStyle w:val="NoSpacing"/>
      </w:pPr>
    </w:p>
    <w:p w14:paraId="03FD9986" w14:textId="3F729EA4" w:rsidR="00716AC6" w:rsidRDefault="00716AC6" w:rsidP="00716AC6">
      <w:pPr>
        <w:pStyle w:val="NoSpacing"/>
      </w:pPr>
      <w:r>
        <w:rPr>
          <w:b/>
          <w:bCs/>
        </w:rPr>
        <w:t xml:space="preserve">Note: </w:t>
      </w:r>
      <w:r>
        <w:t xml:space="preserve">My response below represents solely my own opinion. No part of my response should be deemed to represent the opinions of Illinois Mutual nor the opinions of the other actuaries at Illinois Mutual. </w:t>
      </w:r>
    </w:p>
    <w:p w14:paraId="56A74BA1" w14:textId="77777777" w:rsidR="00716AC6" w:rsidRDefault="00716AC6" w:rsidP="00716AC6">
      <w:pPr>
        <w:pStyle w:val="NoSpacing"/>
      </w:pPr>
    </w:p>
    <w:p w14:paraId="01249F2E" w14:textId="77777777" w:rsidR="001D39CA" w:rsidRDefault="001D39CA" w:rsidP="00716AC6">
      <w:pPr>
        <w:pStyle w:val="NoSpacing"/>
      </w:pPr>
      <w:r>
        <w:t xml:space="preserve">I thank you for your time and efforts and the ability to make comments on this exposure draft. </w:t>
      </w:r>
    </w:p>
    <w:p w14:paraId="449A1445" w14:textId="2887E9E4" w:rsidR="001D39CA" w:rsidRDefault="001D39CA" w:rsidP="00716AC6">
      <w:pPr>
        <w:pStyle w:val="NoSpacing"/>
      </w:pPr>
      <w:r>
        <w:t xml:space="preserve"> </w:t>
      </w:r>
    </w:p>
    <w:p w14:paraId="26B73776" w14:textId="77777777" w:rsidR="00C30B20" w:rsidRDefault="00C30B20" w:rsidP="00716AC6">
      <w:pPr>
        <w:pStyle w:val="NoSpacing"/>
      </w:pPr>
    </w:p>
    <w:p w14:paraId="2DD95FF7" w14:textId="76D2C462" w:rsidR="00C30B20" w:rsidRPr="00716AC6" w:rsidRDefault="00C30B20" w:rsidP="00C30B20">
      <w:pPr>
        <w:pStyle w:val="Heading2"/>
      </w:pPr>
      <w:r>
        <w:t>Request:</w:t>
      </w:r>
    </w:p>
    <w:p w14:paraId="0998A54D" w14:textId="512950A4" w:rsidR="00716AC6" w:rsidRDefault="00C30B20" w:rsidP="00716AC6">
      <w:pPr>
        <w:pStyle w:val="NoSpacing"/>
      </w:pPr>
      <w:r>
        <w:t>The request for commentary was broken into a few parts:</w:t>
      </w:r>
    </w:p>
    <w:p w14:paraId="6FEA5D76" w14:textId="77777777" w:rsidR="00C30B20" w:rsidRDefault="00C30B20" w:rsidP="00716AC6">
      <w:pPr>
        <w:pStyle w:val="NoSpacing"/>
      </w:pPr>
    </w:p>
    <w:p w14:paraId="44A318F4" w14:textId="77777777" w:rsidR="00C30B20" w:rsidRPr="00C30B20" w:rsidRDefault="00C30B20" w:rsidP="00C30B20">
      <w:pPr>
        <w:pStyle w:val="NoSpacing"/>
        <w:numPr>
          <w:ilvl w:val="0"/>
          <w:numId w:val="2"/>
        </w:numPr>
      </w:pPr>
      <w:r w:rsidRPr="00C30B20">
        <w:t>For </w:t>
      </w:r>
      <w:r w:rsidRPr="00C30B20">
        <w:rPr>
          <w:b/>
          <w:bCs/>
        </w:rPr>
        <w:t>Section 2, Scope</w:t>
      </w:r>
      <w:r w:rsidRPr="00C30B20">
        <w:t>, please provide related comments by </w:t>
      </w:r>
      <w:r w:rsidRPr="00C30B20">
        <w:rPr>
          <w:b/>
          <w:bCs/>
        </w:rPr>
        <w:t>Sep. 19</w:t>
      </w:r>
      <w:r w:rsidRPr="00C30B20">
        <w:t> to allow for discussion at a Sep. 26 meeting of LATF.</w:t>
      </w:r>
    </w:p>
    <w:p w14:paraId="40011598" w14:textId="77777777" w:rsidR="00C30B20" w:rsidRPr="00C30B20" w:rsidRDefault="00C30B20" w:rsidP="00C30B20">
      <w:pPr>
        <w:pStyle w:val="NoSpacing"/>
        <w:numPr>
          <w:ilvl w:val="0"/>
          <w:numId w:val="2"/>
        </w:numPr>
      </w:pPr>
      <w:r w:rsidRPr="00C30B20">
        <w:t>For </w:t>
      </w:r>
      <w:r w:rsidRPr="00C30B20">
        <w:rPr>
          <w:b/>
          <w:bCs/>
        </w:rPr>
        <w:t>Sections 5.C and 7, Aggregation</w:t>
      </w:r>
      <w:r w:rsidRPr="00C30B20">
        <w:t>, please provide related comments by </w:t>
      </w:r>
      <w:r w:rsidRPr="00C30B20">
        <w:rPr>
          <w:b/>
          <w:bCs/>
        </w:rPr>
        <w:t>Oct. 3</w:t>
      </w:r>
      <w:r w:rsidRPr="00C30B20">
        <w:t> to allow for discussion at a Oct. 10 meeting of LATF.</w:t>
      </w:r>
    </w:p>
    <w:p w14:paraId="04A6309A" w14:textId="77777777" w:rsidR="00C30B20" w:rsidRPr="00C30B20" w:rsidRDefault="00C30B20" w:rsidP="00C30B20">
      <w:pPr>
        <w:pStyle w:val="NoSpacing"/>
        <w:numPr>
          <w:ilvl w:val="0"/>
          <w:numId w:val="2"/>
        </w:numPr>
      </w:pPr>
      <w:r w:rsidRPr="00C30B20">
        <w:t>Comments on the </w:t>
      </w:r>
      <w:r w:rsidRPr="00C30B20">
        <w:rPr>
          <w:b/>
          <w:bCs/>
        </w:rPr>
        <w:t>remaining sections</w:t>
      </w:r>
      <w:r w:rsidRPr="00C30B20">
        <w:t> are requested by </w:t>
      </w:r>
      <w:r w:rsidRPr="00C30B20">
        <w:rPr>
          <w:b/>
          <w:bCs/>
        </w:rPr>
        <w:t>Oct. 11</w:t>
      </w:r>
      <w:r w:rsidRPr="00C30B20">
        <w:t>.</w:t>
      </w:r>
    </w:p>
    <w:p w14:paraId="4B820038" w14:textId="77777777" w:rsidR="00C30B20" w:rsidRDefault="00C30B20" w:rsidP="00716AC6">
      <w:pPr>
        <w:pStyle w:val="NoSpacing"/>
      </w:pPr>
    </w:p>
    <w:p w14:paraId="5DE5EDAA" w14:textId="77777777" w:rsidR="00C30B20" w:rsidRDefault="00C30B20" w:rsidP="00716AC6">
      <w:pPr>
        <w:pStyle w:val="NoSpacing"/>
      </w:pPr>
    </w:p>
    <w:p w14:paraId="77A23B91" w14:textId="59799101" w:rsidR="00C30B20" w:rsidRDefault="0075682E" w:rsidP="0075682E">
      <w:pPr>
        <w:pStyle w:val="Heading2"/>
      </w:pPr>
      <w:r>
        <w:t>Part 1 – Section 2 scope</w:t>
      </w:r>
    </w:p>
    <w:p w14:paraId="5571A46A" w14:textId="7EE819DF" w:rsidR="00C30B20" w:rsidRDefault="0075682E" w:rsidP="00716AC6">
      <w:pPr>
        <w:pStyle w:val="NoSpacing"/>
      </w:pPr>
      <w:r>
        <w:t>The scope is broken down into two separate sections:</w:t>
      </w:r>
    </w:p>
    <w:p w14:paraId="0148B4FA" w14:textId="0E9408E6" w:rsidR="0075682E" w:rsidRDefault="0075682E" w:rsidP="0075682E">
      <w:pPr>
        <w:pStyle w:val="NoSpacing"/>
        <w:numPr>
          <w:ilvl w:val="0"/>
          <w:numId w:val="3"/>
        </w:numPr>
      </w:pPr>
      <w:r>
        <w:t>Option 1: Narrow scope, some analysis expected for all treaties in the scope</w:t>
      </w:r>
    </w:p>
    <w:p w14:paraId="1123F59A" w14:textId="1ACC08DC" w:rsidR="0075682E" w:rsidRDefault="0075682E" w:rsidP="0075682E">
      <w:pPr>
        <w:pStyle w:val="NoSpacing"/>
        <w:numPr>
          <w:ilvl w:val="0"/>
          <w:numId w:val="3"/>
        </w:numPr>
      </w:pPr>
      <w:r>
        <w:t>Option 2: Broad scope</w:t>
      </w:r>
    </w:p>
    <w:p w14:paraId="6743754F" w14:textId="77777777" w:rsidR="0075682E" w:rsidRDefault="0075682E" w:rsidP="0075682E">
      <w:pPr>
        <w:pStyle w:val="NoSpacing"/>
      </w:pPr>
    </w:p>
    <w:p w14:paraId="1BCAF1C7" w14:textId="77777777" w:rsidR="0085657F" w:rsidRPr="004B0DCE" w:rsidRDefault="0085657F" w:rsidP="0075682E">
      <w:pPr>
        <w:pStyle w:val="NoSpacing"/>
        <w:rPr>
          <w:b/>
          <w:bCs/>
        </w:rPr>
      </w:pPr>
      <w:r w:rsidRPr="004B0DCE">
        <w:rPr>
          <w:b/>
          <w:bCs/>
        </w:rPr>
        <w:t>For option 1 –</w:t>
      </w:r>
    </w:p>
    <w:p w14:paraId="10310ECF" w14:textId="5EA58903" w:rsidR="0085657F" w:rsidRDefault="0085657F" w:rsidP="0075682E">
      <w:pPr>
        <w:pStyle w:val="NoSpacing"/>
      </w:pPr>
      <w:r>
        <w:t xml:space="preserve">Part A: The description states that is applies for reinsurance “ceded to entities that are not required to submit a VM-30”. Maybe better would be simply to state whether the reinsurer is an “admitted” reinsurer. </w:t>
      </w:r>
    </w:p>
    <w:p w14:paraId="2448EE23" w14:textId="77777777" w:rsidR="004B0DCE" w:rsidRDefault="004B0DCE" w:rsidP="0075682E">
      <w:pPr>
        <w:pStyle w:val="NoSpacing"/>
      </w:pPr>
    </w:p>
    <w:p w14:paraId="545586F3" w14:textId="343A7A67" w:rsidR="004B0DCE" w:rsidRDefault="004B0DCE" w:rsidP="0075682E">
      <w:pPr>
        <w:pStyle w:val="NoSpacing"/>
      </w:pPr>
      <w:r>
        <w:t xml:space="preserve">I would like to see some guidance here regarding what </w:t>
      </w:r>
      <w:proofErr w:type="gramStart"/>
      <w:r>
        <w:t>is NOT in scope</w:t>
      </w:r>
      <w:proofErr w:type="gramEnd"/>
      <w:r>
        <w:t xml:space="preserve">. To me: highly rated reinsurers who are “admitted reinsurers” should be excluded from the scope. </w:t>
      </w:r>
    </w:p>
    <w:p w14:paraId="24D7CFE5" w14:textId="77777777" w:rsidR="004B0DCE" w:rsidRDefault="004B0DCE" w:rsidP="0075682E">
      <w:pPr>
        <w:pStyle w:val="NoSpacing"/>
      </w:pPr>
    </w:p>
    <w:p w14:paraId="41AAD7EF" w14:textId="427691F7" w:rsidR="004B0DCE" w:rsidRDefault="004B0DCE" w:rsidP="0075682E">
      <w:pPr>
        <w:pStyle w:val="NoSpacing"/>
      </w:pPr>
      <w:r>
        <w:t xml:space="preserve">I urge caution regarding the thresholds defined in 1-4. There may be certain instances where a 5% reserve credit is too large and risky whereas a 30% reserve credit might be stable and reasonable.  </w:t>
      </w:r>
    </w:p>
    <w:p w14:paraId="03020005" w14:textId="77777777" w:rsidR="004B0DCE" w:rsidRDefault="004B0DCE" w:rsidP="0075682E">
      <w:pPr>
        <w:pStyle w:val="NoSpacing"/>
      </w:pPr>
    </w:p>
    <w:p w14:paraId="59D8F5FF" w14:textId="77777777" w:rsidR="0085657F" w:rsidRDefault="0085657F" w:rsidP="0075682E">
      <w:pPr>
        <w:pStyle w:val="NoSpacing"/>
      </w:pPr>
    </w:p>
    <w:p w14:paraId="255C60C9" w14:textId="70372186" w:rsidR="0085657F" w:rsidRDefault="0085657F" w:rsidP="0075682E">
      <w:pPr>
        <w:pStyle w:val="NoSpacing"/>
      </w:pPr>
      <w:r>
        <w:t xml:space="preserve">Part B: </w:t>
      </w:r>
      <w:r w:rsidR="004B0DCE">
        <w:t xml:space="preserve">I applaud </w:t>
      </w:r>
      <w:r>
        <w:t xml:space="preserve">the wording here. “Significant reinsurance collectability risk” … “according to the judgement of the ceding company’s Appointed actuary.” </w:t>
      </w:r>
    </w:p>
    <w:p w14:paraId="2C03B2C4" w14:textId="0E0DF50A" w:rsidR="0085657F" w:rsidRDefault="0085657F" w:rsidP="0075682E">
      <w:pPr>
        <w:pStyle w:val="NoSpacing"/>
      </w:pPr>
      <w:r>
        <w:t xml:space="preserve">This is </w:t>
      </w:r>
      <w:r w:rsidR="004B0DCE">
        <w:t xml:space="preserve">excellent phrasing each insurer (and correspondingly reinsurer) are unique. It’s important to leverage the expertise and judgement of the Appointed actuary to determine whether there is “significant collectability risk.” </w:t>
      </w:r>
    </w:p>
    <w:p w14:paraId="53E43D69" w14:textId="77777777" w:rsidR="0085657F" w:rsidRDefault="0085657F" w:rsidP="0075682E">
      <w:pPr>
        <w:pStyle w:val="NoSpacing"/>
      </w:pPr>
    </w:p>
    <w:p w14:paraId="13A8B683" w14:textId="77777777" w:rsidR="00C30B20" w:rsidRDefault="00C30B20" w:rsidP="00716AC6">
      <w:pPr>
        <w:pStyle w:val="NoSpacing"/>
      </w:pPr>
    </w:p>
    <w:p w14:paraId="7A4DD2E0" w14:textId="4B177C3F" w:rsidR="004B0DCE" w:rsidRPr="004B0DCE" w:rsidRDefault="004B0DCE" w:rsidP="00716AC6">
      <w:pPr>
        <w:pStyle w:val="NoSpacing"/>
        <w:rPr>
          <w:b/>
          <w:bCs/>
        </w:rPr>
      </w:pPr>
      <w:r w:rsidRPr="004B0DCE">
        <w:rPr>
          <w:b/>
          <w:bCs/>
        </w:rPr>
        <w:t xml:space="preserve">For option 2 </w:t>
      </w:r>
    </w:p>
    <w:p w14:paraId="535B3786" w14:textId="350CA6E0" w:rsidR="004B0DCE" w:rsidRDefault="004B0DCE" w:rsidP="00716AC6">
      <w:pPr>
        <w:pStyle w:val="NoSpacing"/>
      </w:pPr>
      <w:r>
        <w:t>Option 2 is too broad</w:t>
      </w:r>
      <w:r w:rsidR="00632DF0">
        <w:t xml:space="preserve"> and brings in TOO many “plain vanilla” reinsurance agreements (co-insurance on term policies) where there </w:t>
      </w:r>
      <w:proofErr w:type="gramStart"/>
      <w:r w:rsidR="00632DF0">
        <w:t>has</w:t>
      </w:r>
      <w:proofErr w:type="gramEnd"/>
      <w:r w:rsidR="00632DF0">
        <w:t xml:space="preserve"> been very small amounts of risk to the industry for the last 50+ years.</w:t>
      </w:r>
      <w:r>
        <w:t xml:space="preserve"> I urge the regulators to proceed with caution when painting with a broad brush. The general tendency over the last number of years is to create onerous regulation which does little to add to the strength of the industry.</w:t>
      </w:r>
      <w:r w:rsidR="00632DF0">
        <w:t xml:space="preserve"> </w:t>
      </w:r>
    </w:p>
    <w:p w14:paraId="0A6B841D" w14:textId="77777777" w:rsidR="004B0DCE" w:rsidRDefault="004B0DCE" w:rsidP="00716AC6">
      <w:pPr>
        <w:pStyle w:val="NoSpacing"/>
      </w:pPr>
    </w:p>
    <w:p w14:paraId="46EDCA7D" w14:textId="093EC238" w:rsidR="00632DF0" w:rsidRDefault="004B0DCE" w:rsidP="00716AC6">
      <w:pPr>
        <w:pStyle w:val="NoSpacing"/>
      </w:pPr>
      <w:proofErr w:type="gramStart"/>
      <w:r>
        <w:t>In particular, small</w:t>
      </w:r>
      <w:proofErr w:type="gramEnd"/>
      <w:r>
        <w:t xml:space="preserve"> insurance companies often have large reinsurance credits on a percentage basis. This is not necessarily a bad thing</w:t>
      </w:r>
      <w:r w:rsidR="00632DF0">
        <w:t xml:space="preserve">! Small companies get the benefit of experience and stability from highly rated reinsurers. Moreover, the ability for small companies to be in the market and compete with large companies benefits the consumer with lower and more competitive prices. </w:t>
      </w:r>
    </w:p>
    <w:p w14:paraId="1D7CE1A7" w14:textId="77777777" w:rsidR="00632DF0" w:rsidRDefault="00632DF0" w:rsidP="00716AC6">
      <w:pPr>
        <w:pStyle w:val="NoSpacing"/>
      </w:pPr>
    </w:p>
    <w:p w14:paraId="3295EF97" w14:textId="4DA9CEC4" w:rsidR="00632DF0" w:rsidRPr="00632DF0" w:rsidRDefault="00632DF0" w:rsidP="00716AC6">
      <w:pPr>
        <w:pStyle w:val="NoSpacing"/>
        <w:rPr>
          <w:b/>
          <w:bCs/>
        </w:rPr>
      </w:pPr>
      <w:r>
        <w:rPr>
          <w:b/>
          <w:bCs/>
        </w:rPr>
        <w:t xml:space="preserve">Suggested </w:t>
      </w:r>
      <w:r w:rsidR="00303211">
        <w:rPr>
          <w:b/>
          <w:bCs/>
        </w:rPr>
        <w:t>“</w:t>
      </w:r>
      <w:r>
        <w:rPr>
          <w:b/>
          <w:bCs/>
        </w:rPr>
        <w:t>Option 3</w:t>
      </w:r>
      <w:r w:rsidR="00303211">
        <w:rPr>
          <w:b/>
          <w:bCs/>
        </w:rPr>
        <w:t>”</w:t>
      </w:r>
      <w:r>
        <w:rPr>
          <w:b/>
          <w:bCs/>
        </w:rPr>
        <w:t xml:space="preserve"> for scope</w:t>
      </w:r>
    </w:p>
    <w:p w14:paraId="02EB0482" w14:textId="0F1572CE" w:rsidR="004B0DCE" w:rsidRDefault="00632DF0" w:rsidP="00716AC6">
      <w:pPr>
        <w:pStyle w:val="NoSpacing"/>
      </w:pPr>
      <w:r>
        <w:t>In general, t</w:t>
      </w:r>
      <w:r w:rsidR="004B0DCE">
        <w:t xml:space="preserve">he appointed actuary is responsible for the credit worthiness </w:t>
      </w:r>
      <w:r>
        <w:t xml:space="preserve">and reliability of the reinsurers that the company is transacting with. </w:t>
      </w:r>
      <w:r w:rsidR="004B0DCE">
        <w:t xml:space="preserve"> </w:t>
      </w:r>
      <w:r>
        <w:t xml:space="preserve">The wording of Option1.B is excellent, why not start there to define scope? If, in the opinion of the appointed actuary all reinsurance agreements are out of scope, a small writeup / explanation from the appointed actuary describing the thought process in the AOMR would be a reasonable request for this regulation. </w:t>
      </w:r>
    </w:p>
    <w:p w14:paraId="2C9605A3" w14:textId="77777777" w:rsidR="004B0DCE" w:rsidRDefault="004B0DCE" w:rsidP="00716AC6">
      <w:pPr>
        <w:pStyle w:val="NoSpacing"/>
      </w:pPr>
    </w:p>
    <w:p w14:paraId="7BE7020D" w14:textId="77777777" w:rsidR="004B0DCE" w:rsidRDefault="004B0DCE" w:rsidP="00716AC6">
      <w:pPr>
        <w:pStyle w:val="NoSpacing"/>
      </w:pPr>
    </w:p>
    <w:p w14:paraId="0B3579DC" w14:textId="77777777" w:rsidR="00C30B20" w:rsidRDefault="00C30B20" w:rsidP="00716AC6">
      <w:pPr>
        <w:pStyle w:val="NoSpacing"/>
      </w:pPr>
    </w:p>
    <w:p w14:paraId="4F94642B" w14:textId="36A4859D" w:rsidR="00C30B20" w:rsidRDefault="00377608" w:rsidP="00377608">
      <w:pPr>
        <w:pStyle w:val="Heading2"/>
      </w:pPr>
      <w:r>
        <w:t>Part 2 – 5C and 7, Aggregation</w:t>
      </w:r>
    </w:p>
    <w:p w14:paraId="626DFA65" w14:textId="5D37E523" w:rsidR="00716AC6" w:rsidRDefault="00377608" w:rsidP="00716AC6">
      <w:pPr>
        <w:pStyle w:val="NoSpacing"/>
      </w:pPr>
      <w:r>
        <w:t xml:space="preserve">The regulators need to be extremely careful here. There are </w:t>
      </w:r>
      <w:proofErr w:type="gramStart"/>
      <w:r>
        <w:t>a number of</w:t>
      </w:r>
      <w:proofErr w:type="gramEnd"/>
      <w:r>
        <w:t xml:space="preserve"> things going on in the details which may not be aptly considered. </w:t>
      </w:r>
    </w:p>
    <w:p w14:paraId="71C82C47" w14:textId="77777777" w:rsidR="00377608" w:rsidRDefault="00377608" w:rsidP="00716AC6">
      <w:pPr>
        <w:pStyle w:val="NoSpacing"/>
      </w:pPr>
    </w:p>
    <w:p w14:paraId="697D6E47" w14:textId="77777777" w:rsidR="00377608" w:rsidRDefault="00377608" w:rsidP="00716AC6">
      <w:pPr>
        <w:pStyle w:val="NoSpacing"/>
      </w:pPr>
      <w:r>
        <w:t>While 5E suggests that the actuary may use “simplifications”, I humbly ask the regulators to recognize that asset adequacy testing (AAT) is not (typically) performed on a seriatim basis (i.e. policy by policy and reinsurance agreement by reinsurance agreement). As it is, AAT is performed using a model and approximations.</w:t>
      </w:r>
    </w:p>
    <w:p w14:paraId="72AFD432" w14:textId="77777777" w:rsidR="00377608" w:rsidRDefault="00377608" w:rsidP="00716AC6">
      <w:pPr>
        <w:pStyle w:val="NoSpacing"/>
      </w:pPr>
    </w:p>
    <w:p w14:paraId="6724C649" w14:textId="77777777" w:rsidR="00377608" w:rsidRDefault="00377608" w:rsidP="00716AC6">
      <w:pPr>
        <w:pStyle w:val="NoSpacing"/>
      </w:pPr>
      <w:r>
        <w:t xml:space="preserve">On this front, many insurance companies have model point compression (lumping more than one policy together) and the process for modeling reinsurance is rarely done on a </w:t>
      </w:r>
      <w:proofErr w:type="gramStart"/>
      <w:r>
        <w:t>treaty by treaty</w:t>
      </w:r>
      <w:proofErr w:type="gramEnd"/>
      <w:r>
        <w:t xml:space="preserve"> basis. This is done for </w:t>
      </w:r>
      <w:proofErr w:type="gramStart"/>
      <w:r>
        <w:t>a number of</w:t>
      </w:r>
      <w:proofErr w:type="gramEnd"/>
      <w:r>
        <w:t xml:space="preserve"> reasons: </w:t>
      </w:r>
    </w:p>
    <w:p w14:paraId="67F5278E" w14:textId="0A3CB3D9" w:rsidR="00377608" w:rsidRDefault="00377608" w:rsidP="00377608">
      <w:pPr>
        <w:pStyle w:val="NoSpacing"/>
        <w:numPr>
          <w:ilvl w:val="0"/>
          <w:numId w:val="4"/>
        </w:numPr>
      </w:pPr>
      <w:r>
        <w:lastRenderedPageBreak/>
        <w:t>When the model points are compressed, if 5% of the business in the model point is reinsured, then the model will reimburse 5% of the benefits. It’s possible that some of these policies in the singular model point were reinsured at 100% and some may not have been reinsured at all. Overall – the impact to the company is immaterial.</w:t>
      </w:r>
    </w:p>
    <w:p w14:paraId="56CD32BF" w14:textId="77777777" w:rsidR="00377608" w:rsidRDefault="00377608" w:rsidP="00377608">
      <w:pPr>
        <w:pStyle w:val="NoSpacing"/>
        <w:numPr>
          <w:ilvl w:val="0"/>
          <w:numId w:val="4"/>
        </w:numPr>
      </w:pPr>
      <w:r>
        <w:t xml:space="preserve">Even if we side-step model point compression and look instead at a singular policy – it is common for a company to share the reinsurance with more than one reinsurance company. When the financial benefits of this is modeled [“Modeled” is an important key word as this should be understood as “estimated” or “approximated”]  more often than not, a simple calculation is made for a singular reinsurance benefit in the model (even though it may come from more than 1 reinsurance company). </w:t>
      </w:r>
    </w:p>
    <w:p w14:paraId="5CF5015E" w14:textId="77777777" w:rsidR="00377608" w:rsidRDefault="00377608" w:rsidP="00377608">
      <w:pPr>
        <w:pStyle w:val="NoSpacing"/>
      </w:pPr>
    </w:p>
    <w:p w14:paraId="046651FC" w14:textId="77777777" w:rsidR="00764D8B" w:rsidRDefault="00377608" w:rsidP="00377608">
      <w:pPr>
        <w:pStyle w:val="NoSpacing"/>
      </w:pPr>
      <w:r>
        <w:t xml:space="preserve">Why </w:t>
      </w:r>
      <w:r w:rsidR="00764D8B">
        <w:t xml:space="preserve">is this done? </w:t>
      </w:r>
      <w:r>
        <w:t>It’s a model! Models are simplifications of reality.</w:t>
      </w:r>
      <w:r w:rsidR="00764D8B">
        <w:t xml:space="preserve"> Run time, computation time, analysis time are all very expensive. Actuaries use judgement to make simplifications and efficiencies. </w:t>
      </w:r>
    </w:p>
    <w:p w14:paraId="68DBD894" w14:textId="77777777" w:rsidR="00764D8B" w:rsidRDefault="00764D8B" w:rsidP="00377608">
      <w:pPr>
        <w:pStyle w:val="NoSpacing"/>
      </w:pPr>
    </w:p>
    <w:p w14:paraId="6EAACB96" w14:textId="77777777" w:rsidR="00764D8B" w:rsidRDefault="00764D8B" w:rsidP="00377608">
      <w:pPr>
        <w:pStyle w:val="NoSpacing"/>
      </w:pPr>
      <w:r>
        <w:t xml:space="preserve">Is it a concern that a single policy might be reinsured by more than 1 reinsurance company but is not modeled that way? No. In fact, this is conservative! It is rare that a </w:t>
      </w:r>
      <w:proofErr w:type="gramStart"/>
      <w:r>
        <w:t>highly-rated</w:t>
      </w:r>
      <w:proofErr w:type="gramEnd"/>
      <w:r>
        <w:t xml:space="preserve"> reinsurer goes bankrupt, but it is even more rare that MULTIPLE highly rated reinsurers go bankrupt. So, by modeling “split company reinsurance” through a simple mechanism in a model is conservative. </w:t>
      </w:r>
    </w:p>
    <w:p w14:paraId="2AF16111" w14:textId="77777777" w:rsidR="00764D8B" w:rsidRDefault="00764D8B" w:rsidP="00377608">
      <w:pPr>
        <w:pStyle w:val="NoSpacing"/>
      </w:pPr>
    </w:p>
    <w:p w14:paraId="41C2B899" w14:textId="666314F8" w:rsidR="009A42CC" w:rsidRDefault="009A42CC" w:rsidP="00377608">
      <w:pPr>
        <w:pStyle w:val="NoSpacing"/>
      </w:pPr>
      <w:r>
        <w:t xml:space="preserve">Additionally, as a follow-up here, 5E suggests that the actuaries can use “modeling efficiency techniques if the appointed actuary can demonstrate that the use of such techniques does not make the analysis results more favorable.” This language is borrowed from the existing valuation manual, VM20. This is easier said than done. Reworded, this sentence suggests that </w:t>
      </w:r>
      <w:proofErr w:type="gramStart"/>
      <w:r>
        <w:t>in order to</w:t>
      </w:r>
      <w:proofErr w:type="gramEnd"/>
      <w:r>
        <w:t xml:space="preserve"> prove that you can use modeling efficiencies – you must model without the efficiencies first and then you can use the efficiencies. These things are not always possible. I urge the regulators to rely upon the opinion of the Appointed Actuary and his/her judgement on th</w:t>
      </w:r>
      <w:r w:rsidR="0043576F">
        <w:t>ese</w:t>
      </w:r>
      <w:r>
        <w:t xml:space="preserve"> matters.  </w:t>
      </w:r>
    </w:p>
    <w:p w14:paraId="71CE2A80" w14:textId="77777777" w:rsidR="009A42CC" w:rsidRDefault="009A42CC" w:rsidP="00377608">
      <w:pPr>
        <w:pStyle w:val="NoSpacing"/>
      </w:pPr>
    </w:p>
    <w:p w14:paraId="7A20DE7A" w14:textId="6E8C9F11" w:rsidR="00764D8B" w:rsidRDefault="00764D8B" w:rsidP="00377608">
      <w:pPr>
        <w:pStyle w:val="NoSpacing"/>
      </w:pPr>
      <w:r>
        <w:t>Now, with this said, my comments heretofore have been primarily focused on plain-vanilla reinsurance contracts. If, however, the reinsurance agreements were highly complex and asset intensive – then perhaps a more rigorous approach to reinsurance modeling would be warranted. I recognize the importance of this and the risk of such an agreement, but I share my thoughts with the regulators because I want to make sure that the regulation does not paint with too broad of a brush putting unnecessary burden – especially on small company actuaries</w:t>
      </w:r>
      <w:r w:rsidR="009A42CC">
        <w:t xml:space="preserve"> and simple reinsurance arrangements</w:t>
      </w:r>
      <w:r>
        <w:t xml:space="preserve">. </w:t>
      </w:r>
    </w:p>
    <w:p w14:paraId="62F986FA" w14:textId="77777777" w:rsidR="00764D8B" w:rsidRDefault="00764D8B" w:rsidP="00377608">
      <w:pPr>
        <w:pStyle w:val="NoSpacing"/>
      </w:pPr>
    </w:p>
    <w:p w14:paraId="47B663E3" w14:textId="3C1CAE7A" w:rsidR="009A42CC" w:rsidRDefault="009A42CC" w:rsidP="00377608">
      <w:pPr>
        <w:pStyle w:val="NoSpacing"/>
      </w:pPr>
    </w:p>
    <w:p w14:paraId="63157AFE" w14:textId="77777777" w:rsidR="00237ADA" w:rsidRDefault="00237ADA" w:rsidP="00377608">
      <w:pPr>
        <w:pStyle w:val="NoSpacing"/>
      </w:pPr>
    </w:p>
    <w:p w14:paraId="0476F927" w14:textId="30AE5FD1" w:rsidR="00237ADA" w:rsidRDefault="00920F2C" w:rsidP="00237ADA">
      <w:pPr>
        <w:pStyle w:val="Heading2"/>
      </w:pPr>
      <w:r>
        <w:t xml:space="preserve">Part 3 - </w:t>
      </w:r>
      <w:r w:rsidR="00237ADA">
        <w:t>Comments on other sections</w:t>
      </w:r>
    </w:p>
    <w:p w14:paraId="7FD0C2C7" w14:textId="4A94EBDF" w:rsidR="00237ADA" w:rsidRDefault="00237ADA" w:rsidP="00237ADA">
      <w:pPr>
        <w:pStyle w:val="NoSpacing"/>
      </w:pPr>
      <w:r w:rsidRPr="001D39CA">
        <w:rPr>
          <w:b/>
          <w:bCs/>
        </w:rPr>
        <w:t>Section 6</w:t>
      </w:r>
      <w:r>
        <w:t xml:space="preserve"> describes an attribution analysis for “relevant treaties.” I’ve mentioned before, up above, but it bears repeating that plain-vanilla reinsurance is often not modeled on a </w:t>
      </w:r>
      <w:proofErr w:type="gramStart"/>
      <w:r>
        <w:t>treaty by treaty</w:t>
      </w:r>
      <w:proofErr w:type="gramEnd"/>
      <w:r>
        <w:t xml:space="preserve"> basis in actuarial AAT models. The analysis described, may be worthwhile for the risky and asset intensive reinsurance agreements, but regarding simple YRT or coinsurance arrangements on simple level term policies – this would be onerous and would not provide the regulators with useful information. </w:t>
      </w:r>
    </w:p>
    <w:p w14:paraId="2E9F5272" w14:textId="77777777" w:rsidR="00237ADA" w:rsidRDefault="00237ADA" w:rsidP="00237ADA">
      <w:pPr>
        <w:pStyle w:val="NoSpacing"/>
      </w:pPr>
    </w:p>
    <w:p w14:paraId="4DF53116" w14:textId="639AF279" w:rsidR="00237ADA" w:rsidRDefault="00237ADA" w:rsidP="00237ADA">
      <w:pPr>
        <w:pStyle w:val="NoSpacing"/>
      </w:pPr>
      <w:r w:rsidRPr="001D39CA">
        <w:rPr>
          <w:b/>
          <w:bCs/>
        </w:rPr>
        <w:lastRenderedPageBreak/>
        <w:t>Section 8.A</w:t>
      </w:r>
      <w:r>
        <w:t xml:space="preserve"> states: “If cash flow testing is performed, present New York 7 results.” Some companies are not subject to New York </w:t>
      </w:r>
      <w:r w:rsidR="001D39CA">
        <w:t xml:space="preserve">and therefore may not run the NY7 scenarios. Moreover, </w:t>
      </w:r>
      <w:r>
        <w:t xml:space="preserve">VM30 does not require nor define what the “New York 7” scenarios are. It </w:t>
      </w:r>
      <w:r w:rsidR="001D39CA">
        <w:t>does not seem appropriate</w:t>
      </w:r>
      <w:r>
        <w:t xml:space="preserve"> to inherently require the NY7 scenarios </w:t>
      </w:r>
      <w:r w:rsidR="001D39CA">
        <w:t xml:space="preserve">through this backdoor amendment regarding reinsurance. If the regulators desire to have a fixed set of scenarios – this should be requested in VM30 directly not independently required here. </w:t>
      </w:r>
    </w:p>
    <w:p w14:paraId="473A3B71" w14:textId="7C8A43BD" w:rsidR="001D39CA" w:rsidRDefault="001D39CA" w:rsidP="00237ADA">
      <w:pPr>
        <w:pStyle w:val="NoSpacing"/>
      </w:pPr>
    </w:p>
    <w:p w14:paraId="7608E218" w14:textId="0BF20EB4" w:rsidR="001D39CA" w:rsidRDefault="001D39CA" w:rsidP="00237ADA">
      <w:pPr>
        <w:pStyle w:val="NoSpacing"/>
      </w:pPr>
      <w:r w:rsidRPr="001D39CA">
        <w:rPr>
          <w:b/>
          <w:bCs/>
        </w:rPr>
        <w:t>A question at the beginning of the document</w:t>
      </w:r>
      <w:r>
        <w:t xml:space="preserve"> is of keen interest to me: </w:t>
      </w:r>
    </w:p>
    <w:p w14:paraId="63CD4CF5" w14:textId="02286010" w:rsidR="001D39CA" w:rsidRPr="001D39CA" w:rsidRDefault="001D39CA" w:rsidP="00237ADA">
      <w:pPr>
        <w:pStyle w:val="NoSpacing"/>
        <w:rPr>
          <w:i/>
          <w:iCs/>
        </w:rPr>
      </w:pPr>
      <w:r w:rsidRPr="001D39CA">
        <w:rPr>
          <w:i/>
          <w:iCs/>
        </w:rPr>
        <w:t xml:space="preserve">“Should these requirements not apply to reinsurance treaties established prior </w:t>
      </w:r>
      <w:r w:rsidR="0043576F">
        <w:rPr>
          <w:i/>
          <w:iCs/>
        </w:rPr>
        <w:t>t</w:t>
      </w:r>
      <w:r w:rsidRPr="001D39CA">
        <w:rPr>
          <w:i/>
          <w:iCs/>
        </w:rPr>
        <w:t xml:space="preserve">o a certain date? … [this] may leave out a few substantial treaties of interest.” </w:t>
      </w:r>
    </w:p>
    <w:p w14:paraId="168DF9DE" w14:textId="77777777" w:rsidR="001D39CA" w:rsidRDefault="001D39CA" w:rsidP="00237ADA">
      <w:pPr>
        <w:pStyle w:val="NoSpacing"/>
      </w:pPr>
      <w:r>
        <w:t xml:space="preserve">Given that the regulators are already apparently aware of certain concerns with some treaties, why go the route of creating a new actuarial guideline instead of just going directly to those companies of concern? The regulators already have the authority to do this. </w:t>
      </w:r>
    </w:p>
    <w:p w14:paraId="19F3A109" w14:textId="77777777" w:rsidR="001D39CA" w:rsidRDefault="001D39CA" w:rsidP="00237ADA">
      <w:pPr>
        <w:pStyle w:val="NoSpacing"/>
      </w:pPr>
    </w:p>
    <w:p w14:paraId="39ABADF0" w14:textId="1A53262E" w:rsidR="00377608" w:rsidRPr="00716AC6" w:rsidRDefault="001D39CA" w:rsidP="00237ADA">
      <w:pPr>
        <w:pStyle w:val="NoSpacing"/>
      </w:pPr>
      <w:r>
        <w:t xml:space="preserve">This is a similar problem that regulators faced when dealing with ULSG in the early 2000’s. Instead of using the regulatory powers to discipline actuaries who were creating products simply to sidestep reserve requirements, AG38 was amended and reamended ad nauseum. We must be careful not to over-regulate the industry because of a few bad actors. </w:t>
      </w:r>
    </w:p>
    <w:sectPr w:rsidR="00377608" w:rsidRPr="00716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E6660"/>
    <w:multiLevelType w:val="multilevel"/>
    <w:tmpl w:val="7DCC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B35E3"/>
    <w:multiLevelType w:val="hybridMultilevel"/>
    <w:tmpl w:val="EB78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87A84"/>
    <w:multiLevelType w:val="multilevel"/>
    <w:tmpl w:val="C0EE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E67A9F"/>
    <w:multiLevelType w:val="hybridMultilevel"/>
    <w:tmpl w:val="7DE0910A"/>
    <w:lvl w:ilvl="0" w:tplc="28AA8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4162346">
    <w:abstractNumId w:val="0"/>
  </w:num>
  <w:num w:numId="2" w16cid:durableId="655307339">
    <w:abstractNumId w:val="2"/>
  </w:num>
  <w:num w:numId="3" w16cid:durableId="1043796488">
    <w:abstractNumId w:val="1"/>
  </w:num>
  <w:num w:numId="4" w16cid:durableId="35311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C6"/>
    <w:rsid w:val="001D39CA"/>
    <w:rsid w:val="00237ADA"/>
    <w:rsid w:val="002E67CE"/>
    <w:rsid w:val="00303211"/>
    <w:rsid w:val="00377608"/>
    <w:rsid w:val="0043576F"/>
    <w:rsid w:val="004B0DCE"/>
    <w:rsid w:val="00521B27"/>
    <w:rsid w:val="00632DF0"/>
    <w:rsid w:val="00716AC6"/>
    <w:rsid w:val="0075682E"/>
    <w:rsid w:val="00764D8B"/>
    <w:rsid w:val="0085657F"/>
    <w:rsid w:val="008D310C"/>
    <w:rsid w:val="00920F2C"/>
    <w:rsid w:val="00971CB8"/>
    <w:rsid w:val="009A42CC"/>
    <w:rsid w:val="00C30B20"/>
    <w:rsid w:val="00C3450A"/>
    <w:rsid w:val="00CC43CF"/>
    <w:rsid w:val="00DB386D"/>
    <w:rsid w:val="00EA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E2F1"/>
  <w15:chartTrackingRefBased/>
  <w15:docId w15:val="{27EDD57E-60BC-4253-B87B-190FE730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6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6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AC6"/>
    <w:rPr>
      <w:rFonts w:eastAsiaTheme="majorEastAsia" w:cstheme="majorBidi"/>
      <w:color w:val="272727" w:themeColor="text1" w:themeTint="D8"/>
    </w:rPr>
  </w:style>
  <w:style w:type="paragraph" w:styleId="Title">
    <w:name w:val="Title"/>
    <w:basedOn w:val="Normal"/>
    <w:next w:val="Normal"/>
    <w:link w:val="TitleChar"/>
    <w:uiPriority w:val="10"/>
    <w:qFormat/>
    <w:rsid w:val="00716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AC6"/>
    <w:pPr>
      <w:spacing w:before="160"/>
      <w:jc w:val="center"/>
    </w:pPr>
    <w:rPr>
      <w:i/>
      <w:iCs/>
      <w:color w:val="404040" w:themeColor="text1" w:themeTint="BF"/>
    </w:rPr>
  </w:style>
  <w:style w:type="character" w:customStyle="1" w:styleId="QuoteChar">
    <w:name w:val="Quote Char"/>
    <w:basedOn w:val="DefaultParagraphFont"/>
    <w:link w:val="Quote"/>
    <w:uiPriority w:val="29"/>
    <w:rsid w:val="00716AC6"/>
    <w:rPr>
      <w:i/>
      <w:iCs/>
      <w:color w:val="404040" w:themeColor="text1" w:themeTint="BF"/>
    </w:rPr>
  </w:style>
  <w:style w:type="paragraph" w:styleId="ListParagraph">
    <w:name w:val="List Paragraph"/>
    <w:basedOn w:val="Normal"/>
    <w:uiPriority w:val="34"/>
    <w:qFormat/>
    <w:rsid w:val="00716AC6"/>
    <w:pPr>
      <w:ind w:left="720"/>
      <w:contextualSpacing/>
    </w:pPr>
  </w:style>
  <w:style w:type="character" w:styleId="IntenseEmphasis">
    <w:name w:val="Intense Emphasis"/>
    <w:basedOn w:val="DefaultParagraphFont"/>
    <w:uiPriority w:val="21"/>
    <w:qFormat/>
    <w:rsid w:val="00716AC6"/>
    <w:rPr>
      <w:i/>
      <w:iCs/>
      <w:color w:val="0F4761" w:themeColor="accent1" w:themeShade="BF"/>
    </w:rPr>
  </w:style>
  <w:style w:type="paragraph" w:styleId="IntenseQuote">
    <w:name w:val="Intense Quote"/>
    <w:basedOn w:val="Normal"/>
    <w:next w:val="Normal"/>
    <w:link w:val="IntenseQuoteChar"/>
    <w:uiPriority w:val="30"/>
    <w:qFormat/>
    <w:rsid w:val="00716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AC6"/>
    <w:rPr>
      <w:i/>
      <w:iCs/>
      <w:color w:val="0F4761" w:themeColor="accent1" w:themeShade="BF"/>
    </w:rPr>
  </w:style>
  <w:style w:type="character" w:styleId="IntenseReference">
    <w:name w:val="Intense Reference"/>
    <w:basedOn w:val="DefaultParagraphFont"/>
    <w:uiPriority w:val="32"/>
    <w:qFormat/>
    <w:rsid w:val="00716AC6"/>
    <w:rPr>
      <w:b/>
      <w:bCs/>
      <w:smallCaps/>
      <w:color w:val="0F4761" w:themeColor="accent1" w:themeShade="BF"/>
      <w:spacing w:val="5"/>
    </w:rPr>
  </w:style>
  <w:style w:type="paragraph" w:styleId="NoSpacing">
    <w:name w:val="No Spacing"/>
    <w:uiPriority w:val="1"/>
    <w:qFormat/>
    <w:rsid w:val="00716AC6"/>
    <w:pPr>
      <w:spacing w:after="0" w:line="240" w:lineRule="auto"/>
    </w:pPr>
  </w:style>
  <w:style w:type="character" w:styleId="Hyperlink">
    <w:name w:val="Hyperlink"/>
    <w:basedOn w:val="DefaultParagraphFont"/>
    <w:uiPriority w:val="99"/>
    <w:unhideWhenUsed/>
    <w:rsid w:val="001D39CA"/>
    <w:rPr>
      <w:color w:val="467886" w:themeColor="hyperlink"/>
      <w:u w:val="single"/>
    </w:rPr>
  </w:style>
  <w:style w:type="character" w:styleId="UnresolvedMention">
    <w:name w:val="Unresolved Mention"/>
    <w:basedOn w:val="DefaultParagraphFont"/>
    <w:uiPriority w:val="99"/>
    <w:semiHidden/>
    <w:unhideWhenUsed/>
    <w:rsid w:val="001D3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9864">
      <w:bodyDiv w:val="1"/>
      <w:marLeft w:val="0"/>
      <w:marRight w:val="0"/>
      <w:marTop w:val="0"/>
      <w:marBottom w:val="0"/>
      <w:divBdr>
        <w:top w:val="none" w:sz="0" w:space="0" w:color="auto"/>
        <w:left w:val="none" w:sz="0" w:space="0" w:color="auto"/>
        <w:bottom w:val="none" w:sz="0" w:space="0" w:color="auto"/>
        <w:right w:val="none" w:sz="0" w:space="0" w:color="auto"/>
      </w:divBdr>
    </w:div>
    <w:div w:id="20388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naic.org/sites/default/files/inline-files/Straw%20Man%20Draft%20-%20AG%20ReAAT%20-%20LATF%20081124.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2" ma:contentTypeDescription="Create a new document." ma:contentTypeScope="" ma:versionID="c00f43f87363001efbc40a87275c0a3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844de7207940b2ae2015fd741702f95"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2024-09-06T19:08:54+00:00</_EndDate>
    <StartDate xmlns="http://schemas.microsoft.com/sharepoint/v3">2024-09-06T19:08:54+00:00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8613227-A4E1-454E-B5BB-A686D306B09B}"/>
</file>

<file path=customXml/itemProps2.xml><?xml version="1.0" encoding="utf-8"?>
<ds:datastoreItem xmlns:ds="http://schemas.openxmlformats.org/officeDocument/2006/customXml" ds:itemID="{5049D88B-E50F-402B-8750-18BDE1ED2144}"/>
</file>

<file path=customXml/itemProps3.xml><?xml version="1.0" encoding="utf-8"?>
<ds:datastoreItem xmlns:ds="http://schemas.openxmlformats.org/officeDocument/2006/customXml" ds:itemID="{D4EF9BE0-D4F6-4D76-8C94-E2C830AEBCDF}"/>
</file>

<file path=docProps/app.xml><?xml version="1.0" encoding="utf-8"?>
<Properties xmlns="http://schemas.openxmlformats.org/officeDocument/2006/extended-properties" xmlns:vt="http://schemas.openxmlformats.org/officeDocument/2006/docPropsVTypes">
  <Template>Normal.dotm</Template>
  <TotalTime>85</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Ziegler</dc:creator>
  <cp:keywords/>
  <dc:description/>
  <cp:lastModifiedBy>Aaron Ziegler</cp:lastModifiedBy>
  <cp:revision>9</cp:revision>
  <dcterms:created xsi:type="dcterms:W3CDTF">2024-09-06T14:38:00Z</dcterms:created>
  <dcterms:modified xsi:type="dcterms:W3CDTF">2024-09-06T16:22:00Z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