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F7F6" w14:textId="1CC9B7DB" w:rsidR="00464608" w:rsidRDefault="00EC6C99" w:rsidP="00112BB8">
      <w:r>
        <w:t xml:space="preserve">Dear </w:t>
      </w:r>
      <w:r w:rsidR="00464608">
        <w:t xml:space="preserve">Mr. </w:t>
      </w:r>
      <w:r w:rsidR="0096321F">
        <w:t>Boerner and Mr. Andersen</w:t>
      </w:r>
      <w:r w:rsidR="00464608">
        <w:t>,</w:t>
      </w:r>
    </w:p>
    <w:p w14:paraId="5A9FD064" w14:textId="7C1BA7A5" w:rsidR="00D71DC7" w:rsidRDefault="000F7596" w:rsidP="00112BB8">
      <w:r>
        <w:t>Thank you for the op</w:t>
      </w:r>
      <w:r w:rsidR="00A87E6D">
        <w:t xml:space="preserve">portunity to comment on AG </w:t>
      </w:r>
      <w:r w:rsidR="00A96BA5">
        <w:t>49-A</w:t>
      </w:r>
      <w:r w:rsidR="00A87E6D">
        <w:t>.</w:t>
      </w:r>
      <w:r w:rsidR="00D71DC7">
        <w:t xml:space="preserve"> </w:t>
      </w:r>
    </w:p>
    <w:p w14:paraId="694F2AD7" w14:textId="2F90BCB0" w:rsidR="00AE5DF3" w:rsidRDefault="00A10FC1" w:rsidP="00112BB8">
      <w:r>
        <w:t xml:space="preserve">I concur with the </w:t>
      </w:r>
      <w:r w:rsidR="00004F86">
        <w:t xml:space="preserve">findings </w:t>
      </w:r>
      <w:r w:rsidR="00DF56B5">
        <w:t>noted in the exposure</w:t>
      </w:r>
      <w:r>
        <w:t>:</w:t>
      </w:r>
    </w:p>
    <w:p w14:paraId="31324424" w14:textId="54F4D6BA" w:rsidR="00A10FC1" w:rsidRDefault="00031BE9" w:rsidP="00494C82">
      <w:pPr>
        <w:pStyle w:val="ListParagraph"/>
        <w:numPr>
          <w:ilvl w:val="0"/>
          <w:numId w:val="8"/>
        </w:numPr>
      </w:pPr>
      <w:r>
        <w:t>Some c</w:t>
      </w:r>
      <w:r w:rsidR="00E214A1">
        <w:t xml:space="preserve">arriers </w:t>
      </w:r>
      <w:r w:rsidR="000B6C46">
        <w:t xml:space="preserve">allow </w:t>
      </w:r>
      <w:r w:rsidR="006F27DF">
        <w:t xml:space="preserve">illustrations of </w:t>
      </w:r>
      <w:r w:rsidR="005E232D">
        <w:t xml:space="preserve">certain </w:t>
      </w:r>
      <w:r w:rsidR="00000A8C">
        <w:t xml:space="preserve">index </w:t>
      </w:r>
      <w:r w:rsidR="005E232D">
        <w:t xml:space="preserve">accounts to </w:t>
      </w:r>
      <w:r w:rsidR="006F27DF">
        <w:t>reflect</w:t>
      </w:r>
      <w:r w:rsidR="005E232D">
        <w:t xml:space="preserve"> </w:t>
      </w:r>
      <w:r w:rsidR="00D64F7B">
        <w:t xml:space="preserve">account </w:t>
      </w:r>
      <w:r w:rsidR="005E232D">
        <w:t xml:space="preserve">credits </w:t>
      </w:r>
      <w:r w:rsidR="00FF3A69">
        <w:t>that exceed</w:t>
      </w:r>
      <w:r w:rsidR="005E232D">
        <w:t xml:space="preserve"> the maximum </w:t>
      </w:r>
      <w:r w:rsidR="00FF3A69">
        <w:t>provided by</w:t>
      </w:r>
      <w:r w:rsidR="00AD51D6">
        <w:t xml:space="preserve"> the</w:t>
      </w:r>
      <w:r w:rsidR="006F27DF">
        <w:t xml:space="preserve"> Benchmark Index Account (BIA) under </w:t>
      </w:r>
      <w:r w:rsidR="00E214A1">
        <w:t xml:space="preserve">AG </w:t>
      </w:r>
      <w:r w:rsidR="00A96BA5">
        <w:t>49-A</w:t>
      </w:r>
      <w:r w:rsidR="00E214A1">
        <w:t xml:space="preserve"> </w:t>
      </w:r>
    </w:p>
    <w:p w14:paraId="201D5230" w14:textId="6AB27871" w:rsidR="00E214A1" w:rsidRPr="00BC539D" w:rsidRDefault="00E214A1" w:rsidP="00494C82">
      <w:pPr>
        <w:pStyle w:val="ListParagraph"/>
        <w:numPr>
          <w:ilvl w:val="0"/>
          <w:numId w:val="8"/>
        </w:numPr>
      </w:pPr>
      <w:r>
        <w:t xml:space="preserve">These </w:t>
      </w:r>
      <w:r w:rsidR="006B5C3C" w:rsidRPr="00BC539D">
        <w:t xml:space="preserve">illustrations are for </w:t>
      </w:r>
      <w:r w:rsidR="001F4B30" w:rsidRPr="00BC539D">
        <w:t xml:space="preserve">accounts </w:t>
      </w:r>
      <w:r w:rsidR="00B31F47" w:rsidRPr="00BC539D">
        <w:t>based on</w:t>
      </w:r>
      <w:r w:rsidR="001F4B30" w:rsidRPr="00BC539D">
        <w:t xml:space="preserve"> </w:t>
      </w:r>
      <w:r w:rsidRPr="00BC539D">
        <w:t>proprietary</w:t>
      </w:r>
      <w:r w:rsidR="00F35075" w:rsidRPr="00BC539D">
        <w:t xml:space="preserve"> </w:t>
      </w:r>
      <w:r w:rsidR="00550249" w:rsidRPr="00BC539D">
        <w:t>volatility-controlled</w:t>
      </w:r>
      <w:r w:rsidRPr="00BC539D">
        <w:t xml:space="preserve"> indexes </w:t>
      </w:r>
      <w:r w:rsidR="00F35075" w:rsidRPr="00BC539D">
        <w:t>that:</w:t>
      </w:r>
    </w:p>
    <w:p w14:paraId="081ABC49" w14:textId="3364BE43" w:rsidR="00286A7A" w:rsidRPr="00BC539D" w:rsidRDefault="00550249" w:rsidP="00494C82">
      <w:pPr>
        <w:pStyle w:val="ListParagraph"/>
        <w:numPr>
          <w:ilvl w:val="1"/>
          <w:numId w:val="8"/>
        </w:numPr>
      </w:pPr>
      <w:r w:rsidRPr="00BC539D">
        <w:t>Backcast</w:t>
      </w:r>
      <w:r w:rsidR="00F35075" w:rsidRPr="00BC539D">
        <w:t xml:space="preserve"> </w:t>
      </w:r>
      <w:r w:rsidR="006F27DF" w:rsidRPr="00BC539D">
        <w:t>at least as well as</w:t>
      </w:r>
      <w:r w:rsidR="00F35075" w:rsidRPr="00BC539D">
        <w:t xml:space="preserve"> the</w:t>
      </w:r>
      <w:r w:rsidR="00426AF8" w:rsidRPr="00BC539D">
        <w:t xml:space="preserve"> BIA</w:t>
      </w:r>
      <w:r w:rsidR="008D00D2" w:rsidRPr="00BC539D">
        <w:t xml:space="preserve"> has </w:t>
      </w:r>
      <w:r w:rsidR="00157D87">
        <w:t xml:space="preserve">performed </w:t>
      </w:r>
      <w:r w:rsidR="00450432" w:rsidRPr="00BC539D">
        <w:t>historically</w:t>
      </w:r>
      <w:r w:rsidR="00D44B5E" w:rsidRPr="00BC539D">
        <w:t>,</w:t>
      </w:r>
    </w:p>
    <w:p w14:paraId="558427F4" w14:textId="69D94894" w:rsidR="00F35075" w:rsidRPr="00BC539D" w:rsidRDefault="00286A7A" w:rsidP="00494C82">
      <w:pPr>
        <w:pStyle w:val="ListParagraph"/>
        <w:numPr>
          <w:ilvl w:val="1"/>
          <w:numId w:val="8"/>
        </w:numPr>
      </w:pPr>
      <w:r w:rsidRPr="00BC539D">
        <w:t xml:space="preserve">Have </w:t>
      </w:r>
      <w:r w:rsidR="00426AF8" w:rsidRPr="00BC539D">
        <w:t xml:space="preserve">lower </w:t>
      </w:r>
      <w:r w:rsidRPr="00BC539D">
        <w:t xml:space="preserve">hedging costs </w:t>
      </w:r>
      <w:r w:rsidR="00426AF8" w:rsidRPr="00BC539D">
        <w:t>than the BIA</w:t>
      </w:r>
      <w:r w:rsidR="00D44B5E" w:rsidRPr="00BC539D">
        <w:t>, and</w:t>
      </w:r>
    </w:p>
    <w:p w14:paraId="4C139131" w14:textId="7A19F29B" w:rsidR="00494C82" w:rsidRPr="00BC539D" w:rsidRDefault="00494C82" w:rsidP="00494C82">
      <w:pPr>
        <w:pStyle w:val="ListParagraph"/>
        <w:numPr>
          <w:ilvl w:val="1"/>
          <w:numId w:val="8"/>
        </w:numPr>
      </w:pPr>
      <w:r w:rsidRPr="00BC539D">
        <w:t>Are paired with a fixed bonus</w:t>
      </w:r>
      <w:r w:rsidR="00D113A6" w:rsidRPr="00BC539D">
        <w:t xml:space="preserve"> that is not offered </w:t>
      </w:r>
      <w:r w:rsidR="00D71DC7" w:rsidRPr="00BC539D">
        <w:t>with</w:t>
      </w:r>
      <w:r w:rsidR="00D113A6" w:rsidRPr="00BC539D">
        <w:t xml:space="preserve"> the BIA</w:t>
      </w:r>
    </w:p>
    <w:p w14:paraId="1D2B0DA6" w14:textId="4014F612" w:rsidR="006F27DF" w:rsidRPr="00BC539D" w:rsidRDefault="00450432" w:rsidP="007149D8">
      <w:pPr>
        <w:pStyle w:val="ListParagraph"/>
        <w:numPr>
          <w:ilvl w:val="0"/>
          <w:numId w:val="8"/>
        </w:numPr>
      </w:pPr>
      <w:r w:rsidRPr="00BC539D">
        <w:t>For these accounts</w:t>
      </w:r>
      <w:r w:rsidR="00DF109A">
        <w:t>,</w:t>
      </w:r>
      <w:r w:rsidRPr="00BC539D">
        <w:t xml:space="preserve"> some carriers allow </w:t>
      </w:r>
      <w:r w:rsidR="00320936" w:rsidRPr="00BC539D">
        <w:t xml:space="preserve">account credits </w:t>
      </w:r>
      <w:r w:rsidR="007149D8" w:rsidRPr="00BC539D">
        <w:t>to</w:t>
      </w:r>
      <w:r w:rsidR="00320936" w:rsidRPr="00BC539D">
        <w:t xml:space="preserve"> </w:t>
      </w:r>
      <w:r w:rsidR="00DF109A">
        <w:t>include</w:t>
      </w:r>
      <w:r w:rsidR="007149D8" w:rsidRPr="00BC539D">
        <w:t xml:space="preserve"> </w:t>
      </w:r>
      <w:r w:rsidR="00144B76">
        <w:t>i</w:t>
      </w:r>
      <w:r w:rsidR="00320936" w:rsidRPr="00BC539D">
        <w:t>ndex credits as</w:t>
      </w:r>
      <w:r w:rsidR="006B5C3C" w:rsidRPr="00BC539D">
        <w:t xml:space="preserve"> high as the BIA</w:t>
      </w:r>
      <w:r w:rsidR="00320936" w:rsidRPr="00BC539D">
        <w:t xml:space="preserve"> </w:t>
      </w:r>
      <w:r w:rsidR="007149D8" w:rsidRPr="00BC539D">
        <w:rPr>
          <w:i/>
          <w:iCs/>
        </w:rPr>
        <w:t>plus</w:t>
      </w:r>
      <w:r w:rsidR="007149D8" w:rsidRPr="00BC539D">
        <w:t xml:space="preserve"> a</w:t>
      </w:r>
      <w:r w:rsidR="00320936" w:rsidRPr="00BC539D">
        <w:t xml:space="preserve"> fixed </w:t>
      </w:r>
      <w:r w:rsidR="00157D87">
        <w:t>bonus</w:t>
      </w:r>
      <w:r w:rsidR="007149D8" w:rsidRPr="00BC539D">
        <w:t xml:space="preserve"> </w:t>
      </w:r>
      <w:r w:rsidR="00157D87">
        <w:t>(</w:t>
      </w:r>
      <w:r w:rsidR="00AD51D6" w:rsidRPr="00BC539D">
        <w:t>supported by the</w:t>
      </w:r>
      <w:r w:rsidR="007149D8" w:rsidRPr="00BC539D">
        <w:t xml:space="preserve"> hedg</w:t>
      </w:r>
      <w:r w:rsidR="00E64D5F">
        <w:t xml:space="preserve">ing cost </w:t>
      </w:r>
      <w:r w:rsidR="00D64F7B" w:rsidRPr="00BC539D">
        <w:t>savings</w:t>
      </w:r>
      <w:r w:rsidR="00157D87">
        <w:t>)</w:t>
      </w:r>
      <w:r w:rsidR="00D64F7B" w:rsidRPr="00BC539D">
        <w:t xml:space="preserve"> </w:t>
      </w:r>
      <w:r w:rsidR="006B5C3C" w:rsidRPr="00BC539D">
        <w:t xml:space="preserve">resulting in total </w:t>
      </w:r>
      <w:r w:rsidR="00AD51D6" w:rsidRPr="00BC539D">
        <w:t xml:space="preserve">account </w:t>
      </w:r>
      <w:r w:rsidR="006B5C3C" w:rsidRPr="00BC539D">
        <w:t>credits higher than the BIA.</w:t>
      </w:r>
    </w:p>
    <w:p w14:paraId="2B9912D6" w14:textId="27E5435A" w:rsidR="00AE21FC" w:rsidRPr="00BC539D" w:rsidRDefault="00004F86" w:rsidP="00FF4498">
      <w:r w:rsidRPr="00BC539D">
        <w:t>I believe t</w:t>
      </w:r>
      <w:r w:rsidR="004C27D6" w:rsidRPr="00BC539D">
        <w:t>he</w:t>
      </w:r>
      <w:r w:rsidR="00BD25F3" w:rsidRPr="00BC539D">
        <w:t>se</w:t>
      </w:r>
      <w:r w:rsidR="004C27D6" w:rsidRPr="00BC539D">
        <w:t xml:space="preserve"> </w:t>
      </w:r>
      <w:r w:rsidR="00BD25F3" w:rsidRPr="00BC539D">
        <w:t xml:space="preserve">illustrations </w:t>
      </w:r>
      <w:r w:rsidR="00A82BA0" w:rsidRPr="00BC539D">
        <w:t xml:space="preserve">are an issue under AG </w:t>
      </w:r>
      <w:r w:rsidR="00A96BA5" w:rsidRPr="00BC539D">
        <w:t>49-A</w:t>
      </w:r>
      <w:r w:rsidR="004C27D6" w:rsidRPr="00BC539D">
        <w:t>:</w:t>
      </w:r>
    </w:p>
    <w:p w14:paraId="79235AA2" w14:textId="3344F2CD" w:rsidR="00FE5577" w:rsidRDefault="00BD25F3" w:rsidP="00112BB8">
      <w:pPr>
        <w:pStyle w:val="ListParagraph"/>
        <w:numPr>
          <w:ilvl w:val="0"/>
          <w:numId w:val="10"/>
        </w:numPr>
      </w:pPr>
      <w:r w:rsidRPr="00BC539D">
        <w:rPr>
          <w:b/>
          <w:bCs/>
        </w:rPr>
        <w:t xml:space="preserve">These illustrations violate the spirit of </w:t>
      </w:r>
      <w:r w:rsidR="007149D8" w:rsidRPr="00BC539D">
        <w:rPr>
          <w:b/>
          <w:bCs/>
        </w:rPr>
        <w:t>the regulation</w:t>
      </w:r>
      <w:r w:rsidR="00B31F47" w:rsidRPr="00BC539D">
        <w:rPr>
          <w:b/>
          <w:bCs/>
        </w:rPr>
        <w:t xml:space="preserve"> </w:t>
      </w:r>
      <w:r w:rsidR="00DF109A">
        <w:rPr>
          <w:b/>
          <w:bCs/>
        </w:rPr>
        <w:t>–</w:t>
      </w:r>
      <w:r w:rsidR="00DF109A">
        <w:t xml:space="preserve"> </w:t>
      </w:r>
      <w:r w:rsidR="002D5904" w:rsidRPr="00BC539D">
        <w:t xml:space="preserve">AG </w:t>
      </w:r>
      <w:r w:rsidR="00A96BA5" w:rsidRPr="00BC539D">
        <w:t>49-A</w:t>
      </w:r>
      <w:r w:rsidR="002D5904" w:rsidRPr="00BC539D">
        <w:t xml:space="preserve"> placed a limit on illustrat</w:t>
      </w:r>
      <w:r w:rsidR="00FA4536" w:rsidRPr="00BC539D">
        <w:t xml:space="preserve">ed </w:t>
      </w:r>
      <w:r w:rsidR="002C13CB" w:rsidRPr="00BC539D">
        <w:t>performance so</w:t>
      </w:r>
      <w:r w:rsidR="00B31F47" w:rsidRPr="00BC539D">
        <w:t xml:space="preserve"> that no</w:t>
      </w:r>
      <w:r w:rsidR="008D00D2" w:rsidRPr="00BC539D">
        <w:t xml:space="preserve"> index</w:t>
      </w:r>
      <w:r w:rsidR="00B31F47" w:rsidRPr="00BC539D">
        <w:t xml:space="preserve"> account</w:t>
      </w:r>
      <w:r w:rsidR="008D00D2" w:rsidRPr="00BC539D">
        <w:t xml:space="preserve"> </w:t>
      </w:r>
      <w:r w:rsidR="002C13CB" w:rsidRPr="00BC539D">
        <w:t>c</w:t>
      </w:r>
      <w:r w:rsidR="00B31F47" w:rsidRPr="00BC539D">
        <w:t xml:space="preserve">ould </w:t>
      </w:r>
      <w:r w:rsidR="002C13CB" w:rsidRPr="00BC539D">
        <w:t>show</w:t>
      </w:r>
      <w:r w:rsidR="00B31F47" w:rsidRPr="00BC539D">
        <w:t xml:space="preserve"> </w:t>
      </w:r>
      <w:r w:rsidR="00450432" w:rsidRPr="00BC539D">
        <w:t xml:space="preserve">account </w:t>
      </w:r>
      <w:r w:rsidR="00B31F47" w:rsidRPr="00BC539D">
        <w:t xml:space="preserve">credits exceeding those </w:t>
      </w:r>
      <w:r w:rsidR="002C13CB" w:rsidRPr="00BC539D">
        <w:t>of the BIA</w:t>
      </w:r>
      <w:r w:rsidR="00144B76">
        <w:t xml:space="preserve">, </w:t>
      </w:r>
      <w:r w:rsidR="00157D87">
        <w:t xml:space="preserve">thereby </w:t>
      </w:r>
      <w:r w:rsidR="00144B76">
        <w:t>ensuring no illustration was overly aggressive</w:t>
      </w:r>
      <w:r w:rsidR="00B31F47" w:rsidRPr="00BC539D">
        <w:t xml:space="preserve">. </w:t>
      </w:r>
      <w:r w:rsidR="00BB531A" w:rsidRPr="00BC539D">
        <w:t>While the regulation at the time was aimed at</w:t>
      </w:r>
      <w:r w:rsidR="007149D8" w:rsidRPr="00BC539D">
        <w:t xml:space="preserve"> accounts with</w:t>
      </w:r>
      <w:r w:rsidR="00BB531A" w:rsidRPr="00BC539D">
        <w:t xml:space="preserve"> multipliers</w:t>
      </w:r>
      <w:r w:rsidR="00AD51D6" w:rsidRPr="00BC539D">
        <w:t>,</w:t>
      </w:r>
      <w:r w:rsidR="00BB531A">
        <w:t xml:space="preserve"> it was clear</w:t>
      </w:r>
      <w:r w:rsidR="00DF109A">
        <w:t xml:space="preserve"> that</w:t>
      </w:r>
      <w:r w:rsidR="00BB531A">
        <w:t xml:space="preserve"> the intention was </w:t>
      </w:r>
      <w:r w:rsidR="007149D8">
        <w:t xml:space="preserve">for the </w:t>
      </w:r>
      <w:r w:rsidR="00BB531A">
        <w:t xml:space="preserve">maximum limit </w:t>
      </w:r>
      <w:r w:rsidR="007149D8">
        <w:t>to apply to</w:t>
      </w:r>
      <w:r w:rsidR="00BB531A">
        <w:t xml:space="preserve"> all types of accounts. </w:t>
      </w:r>
      <w:r w:rsidR="00B31F47">
        <w:t>V</w:t>
      </w:r>
      <w:r w:rsidR="00DF56B5">
        <w:t>olatility-controlled</w:t>
      </w:r>
      <w:r w:rsidR="00831AD7">
        <w:t xml:space="preserve"> index account</w:t>
      </w:r>
      <w:r w:rsidR="00144B76">
        <w:t xml:space="preserve"> illustrations </w:t>
      </w:r>
      <w:r w:rsidR="00BB531A">
        <w:t>directly</w:t>
      </w:r>
      <w:r w:rsidR="004148C6">
        <w:t xml:space="preserve"> </w:t>
      </w:r>
      <w:r w:rsidR="005A3997">
        <w:t xml:space="preserve">circumvent </w:t>
      </w:r>
      <w:r w:rsidR="00B31F47">
        <w:t xml:space="preserve">these </w:t>
      </w:r>
      <w:r w:rsidR="005A3997">
        <w:t>guardrails</w:t>
      </w:r>
      <w:r w:rsidR="00144B76">
        <w:t xml:space="preserve"> by allowing high</w:t>
      </w:r>
      <w:r w:rsidR="00157D87">
        <w:t>er</w:t>
      </w:r>
      <w:r w:rsidR="00144B76">
        <w:t xml:space="preserve"> </w:t>
      </w:r>
      <w:r w:rsidR="007149D8">
        <w:t>illustrated rates.</w:t>
      </w:r>
    </w:p>
    <w:p w14:paraId="6B16B16C" w14:textId="16B47294" w:rsidR="00000A8C" w:rsidRPr="00000A8C" w:rsidRDefault="00BD25F3" w:rsidP="00FF4498">
      <w:pPr>
        <w:pStyle w:val="ListParagraph"/>
        <w:numPr>
          <w:ilvl w:val="0"/>
          <w:numId w:val="10"/>
        </w:numPr>
      </w:pPr>
      <w:r>
        <w:rPr>
          <w:b/>
          <w:bCs/>
        </w:rPr>
        <w:t xml:space="preserve">These illustrations </w:t>
      </w:r>
      <w:r w:rsidR="00000A8C">
        <w:rPr>
          <w:b/>
          <w:bCs/>
        </w:rPr>
        <w:t xml:space="preserve">are </w:t>
      </w:r>
      <w:r w:rsidR="00157D87">
        <w:rPr>
          <w:b/>
          <w:bCs/>
        </w:rPr>
        <w:t>supported by</w:t>
      </w:r>
      <w:r w:rsidR="00000A8C">
        <w:rPr>
          <w:b/>
          <w:bCs/>
        </w:rPr>
        <w:t xml:space="preserve"> </w:t>
      </w:r>
      <w:r w:rsidR="00AD51D6">
        <w:rPr>
          <w:b/>
          <w:bCs/>
        </w:rPr>
        <w:t>imprudent</w:t>
      </w:r>
      <w:r w:rsidR="00000A8C">
        <w:rPr>
          <w:b/>
          <w:bCs/>
        </w:rPr>
        <w:t xml:space="preserve"> assumptions:</w:t>
      </w:r>
    </w:p>
    <w:p w14:paraId="16C5CD4E" w14:textId="041F7B43" w:rsidR="00FF4498" w:rsidRDefault="007149D8" w:rsidP="00000A8C">
      <w:pPr>
        <w:pStyle w:val="ListParagraph"/>
        <w:numPr>
          <w:ilvl w:val="1"/>
          <w:numId w:val="10"/>
        </w:numPr>
      </w:pPr>
      <w:r>
        <w:rPr>
          <w:b/>
          <w:bCs/>
        </w:rPr>
        <w:t>Reliance</w:t>
      </w:r>
      <w:r w:rsidR="00BF471E">
        <w:rPr>
          <w:b/>
          <w:bCs/>
        </w:rPr>
        <w:t xml:space="preserve"> o</w:t>
      </w:r>
      <w:r>
        <w:rPr>
          <w:b/>
          <w:bCs/>
        </w:rPr>
        <w:t>n</w:t>
      </w:r>
      <w:r w:rsidR="00FF4498">
        <w:rPr>
          <w:b/>
          <w:bCs/>
        </w:rPr>
        <w:t xml:space="preserve"> backcasting </w:t>
      </w:r>
      <w:r w:rsidR="00DF109A">
        <w:rPr>
          <w:b/>
          <w:bCs/>
        </w:rPr>
        <w:t>–</w:t>
      </w:r>
      <w:r w:rsidR="00FF4498" w:rsidRPr="00FE5577">
        <w:rPr>
          <w:b/>
          <w:bCs/>
        </w:rPr>
        <w:t xml:space="preserve"> </w:t>
      </w:r>
      <w:r w:rsidR="00FF4498" w:rsidRPr="00112BB8">
        <w:t xml:space="preserve">Carriers justify the illustrated performance </w:t>
      </w:r>
      <w:r w:rsidR="00BF471E">
        <w:t xml:space="preserve">of </w:t>
      </w:r>
      <w:r w:rsidR="008D00D2">
        <w:t>volatility-controlled</w:t>
      </w:r>
      <w:r w:rsidR="00BF471E">
        <w:t xml:space="preserve"> index accounts </w:t>
      </w:r>
      <w:r w:rsidR="008D00D2">
        <w:t>with</w:t>
      </w:r>
      <w:r w:rsidR="00FF4498">
        <w:t xml:space="preserve"> </w:t>
      </w:r>
      <w:r w:rsidR="00BF471E">
        <w:t>hypothetical</w:t>
      </w:r>
      <w:r w:rsidR="00FF4498" w:rsidRPr="00112BB8">
        <w:t xml:space="preserve"> </w:t>
      </w:r>
      <w:r w:rsidR="00FF4498">
        <w:t>backcast</w:t>
      </w:r>
      <w:r>
        <w:t xml:space="preserve"> performance</w:t>
      </w:r>
      <w:r w:rsidR="004F0E5F">
        <w:t>, not real historical performance</w:t>
      </w:r>
      <w:r w:rsidR="00FF4498">
        <w:t xml:space="preserve">. </w:t>
      </w:r>
      <w:r w:rsidR="004F0E5F">
        <w:t>H</w:t>
      </w:r>
      <w:r w:rsidR="00BF471E">
        <w:t>ypothetical backcasting</w:t>
      </w:r>
      <w:r w:rsidR="00FF4498">
        <w:t xml:space="preserve"> is subject to </w:t>
      </w:r>
      <w:r w:rsidR="003D7C16">
        <w:t>survivorship</w:t>
      </w:r>
      <w:r w:rsidR="00FF4498">
        <w:t xml:space="preserve"> bias</w:t>
      </w:r>
      <w:r w:rsidR="00366C1C">
        <w:t xml:space="preserve">, </w:t>
      </w:r>
      <w:r w:rsidR="00DF109A">
        <w:t>can be</w:t>
      </w:r>
      <w:r w:rsidR="00FF4498">
        <w:t xml:space="preserve"> a poor indicator of future </w:t>
      </w:r>
      <w:r w:rsidR="00366C1C">
        <w:t>performance, and should be treated with a high degree of skepticism</w:t>
      </w:r>
      <w:r w:rsidR="00FF4498">
        <w:t xml:space="preserve">. </w:t>
      </w:r>
      <w:r w:rsidR="00157D87">
        <w:t>Afterall, i</w:t>
      </w:r>
      <w:r w:rsidR="004F0E5F">
        <w:t>t is very easy to create winning index</w:t>
      </w:r>
      <w:r w:rsidR="00950D14">
        <w:t xml:space="preserve"> strategies</w:t>
      </w:r>
      <w:r w:rsidR="004F0E5F">
        <w:t xml:space="preserve"> in retrospect.</w:t>
      </w:r>
    </w:p>
    <w:p w14:paraId="55FC222A" w14:textId="1522A9F1" w:rsidR="006E2E3E" w:rsidRPr="0054629F" w:rsidRDefault="00BF471E" w:rsidP="00000A8C">
      <w:pPr>
        <w:pStyle w:val="ListParagraph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Reliance</w:t>
      </w:r>
      <w:r w:rsidR="00AA2E9C" w:rsidRPr="00AA2E9C">
        <w:rPr>
          <w:b/>
          <w:bCs/>
        </w:rPr>
        <w:t xml:space="preserve"> on excessive </w:t>
      </w:r>
      <w:r w:rsidR="00017110">
        <w:rPr>
          <w:b/>
          <w:bCs/>
        </w:rPr>
        <w:t>hedging</w:t>
      </w:r>
      <w:r w:rsidR="00AA2E9C" w:rsidRPr="00AA2E9C">
        <w:rPr>
          <w:b/>
          <w:bCs/>
        </w:rPr>
        <w:t xml:space="preserve"> profits</w:t>
      </w:r>
      <w:r w:rsidR="00AA2E9C">
        <w:rPr>
          <w:b/>
          <w:bCs/>
        </w:rPr>
        <w:t xml:space="preserve"> –</w:t>
      </w:r>
      <w:r w:rsidR="00D71DC7">
        <w:t xml:space="preserve"> </w:t>
      </w:r>
      <w:r w:rsidR="004148C6">
        <w:t xml:space="preserve">In order </w:t>
      </w:r>
      <w:r w:rsidR="00BB531A">
        <w:t xml:space="preserve">for </w:t>
      </w:r>
      <w:r w:rsidR="006B5C3C">
        <w:t>volatility-controlled</w:t>
      </w:r>
      <w:r w:rsidR="00C016B3">
        <w:t xml:space="preserve"> index accounts to offer index </w:t>
      </w:r>
      <w:r w:rsidR="00450432">
        <w:t xml:space="preserve">credits as large as the BIA </w:t>
      </w:r>
      <w:r w:rsidR="003D7C16">
        <w:t xml:space="preserve">but </w:t>
      </w:r>
      <w:r w:rsidR="00450432">
        <w:t>with lower hedging costs</w:t>
      </w:r>
      <w:r w:rsidR="00C016B3">
        <w:t xml:space="preserve">, the illustrations </w:t>
      </w:r>
      <w:r w:rsidR="00450432">
        <w:t xml:space="preserve">must </w:t>
      </w:r>
      <w:r w:rsidR="00C016B3">
        <w:t xml:space="preserve">implicitly assume </w:t>
      </w:r>
      <w:r w:rsidR="00450432">
        <w:t xml:space="preserve">hedging profits greater than the profits </w:t>
      </w:r>
      <w:r w:rsidR="00157D87">
        <w:t xml:space="preserve">assumed from </w:t>
      </w:r>
      <w:r w:rsidR="003D7C16">
        <w:t>hedging</w:t>
      </w:r>
      <w:r w:rsidR="00450432">
        <w:t xml:space="preserve"> program</w:t>
      </w:r>
      <w:r w:rsidR="003D7C16">
        <w:t>s</w:t>
      </w:r>
      <w:r w:rsidR="00DF109A">
        <w:t xml:space="preserve"> </w:t>
      </w:r>
      <w:r w:rsidR="00450432">
        <w:t>s</w:t>
      </w:r>
      <w:r w:rsidR="00FF4498">
        <w:t>upport</w:t>
      </w:r>
      <w:r w:rsidR="00DF109A">
        <w:t>ing</w:t>
      </w:r>
      <w:r w:rsidR="00FF4498">
        <w:t xml:space="preserve"> the BIA and</w:t>
      </w:r>
      <w:r w:rsidR="00450432">
        <w:t>,</w:t>
      </w:r>
      <w:r w:rsidR="007D3DA7">
        <w:t xml:space="preserve"> in </w:t>
      </w:r>
      <w:r w:rsidR="003D7C16">
        <w:t>the</w:t>
      </w:r>
      <w:r w:rsidR="007D3DA7">
        <w:t xml:space="preserve"> case</w:t>
      </w:r>
      <w:r w:rsidR="00450432">
        <w:t xml:space="preserve"> of some carriers,</w:t>
      </w:r>
      <w:r w:rsidR="007D3DA7">
        <w:t xml:space="preserve"> </w:t>
      </w:r>
      <w:r w:rsidR="00004F86">
        <w:t xml:space="preserve">greater than </w:t>
      </w:r>
      <w:r w:rsidR="007D3DA7">
        <w:t>the 45%</w:t>
      </w:r>
      <w:r w:rsidR="00D71DC7">
        <w:t xml:space="preserve"> hedging profit </w:t>
      </w:r>
      <w:r w:rsidR="00715199">
        <w:t xml:space="preserve">limit in AG </w:t>
      </w:r>
      <w:r w:rsidR="00A96BA5">
        <w:t>49-A</w:t>
      </w:r>
      <w:r w:rsidR="00715199">
        <w:t xml:space="preserve"> (a limit that is already generous).</w:t>
      </w:r>
      <w:r w:rsidR="00950D14">
        <w:t xml:space="preserve"> These are </w:t>
      </w:r>
      <w:r w:rsidR="00E64D5F">
        <w:t>very large</w:t>
      </w:r>
      <w:r w:rsidR="00950D14">
        <w:t xml:space="preserve"> levels of profit to assume from a new and untested asset.</w:t>
      </w:r>
    </w:p>
    <w:p w14:paraId="2E455B9F" w14:textId="757C3337" w:rsidR="00020684" w:rsidRDefault="00A96BA5" w:rsidP="00112BB8">
      <w:r>
        <w:t>Put simply</w:t>
      </w:r>
      <w:r w:rsidR="00BF471E">
        <w:t>, these illustrations</w:t>
      </w:r>
      <w:r w:rsidR="002C13CB">
        <w:t xml:space="preserve"> </w:t>
      </w:r>
      <w:r w:rsidR="00000A8C">
        <w:t xml:space="preserve">present </w:t>
      </w:r>
      <w:r w:rsidR="00366C1C">
        <w:t xml:space="preserve">consumers with a </w:t>
      </w:r>
      <w:r w:rsidR="00450432">
        <w:t>rosy</w:t>
      </w:r>
      <w:r w:rsidR="00000A8C">
        <w:t xml:space="preserve"> </w:t>
      </w:r>
      <w:r w:rsidR="00BF471E">
        <w:t>view of the future</w:t>
      </w:r>
      <w:r w:rsidR="00450432">
        <w:t xml:space="preserve"> </w:t>
      </w:r>
      <w:r w:rsidR="003D7C16">
        <w:t>supported by</w:t>
      </w:r>
      <w:r w:rsidR="00450432">
        <w:t xml:space="preserve"> </w:t>
      </w:r>
      <w:r>
        <w:t>scant</w:t>
      </w:r>
      <w:r w:rsidR="00450432">
        <w:t xml:space="preserve"> evidence</w:t>
      </w:r>
      <w:r w:rsidR="00BF471E">
        <w:t xml:space="preserve">. </w:t>
      </w:r>
      <w:r w:rsidR="00DF56B5">
        <w:t>The</w:t>
      </w:r>
      <w:r w:rsidR="00115C70">
        <w:t xml:space="preserve">se aggressive </w:t>
      </w:r>
      <w:r w:rsidR="0096321F">
        <w:t>practices</w:t>
      </w:r>
      <w:r w:rsidR="00115C70">
        <w:t xml:space="preserve"> </w:t>
      </w:r>
      <w:r w:rsidR="005A3997">
        <w:t xml:space="preserve">should be addressed swiftly. In the </w:t>
      </w:r>
      <w:r w:rsidR="002A7F0B">
        <w:t>near-term regulators should</w:t>
      </w:r>
      <w:r w:rsidR="005A3997">
        <w:t>:</w:t>
      </w:r>
    </w:p>
    <w:p w14:paraId="454C6BAC" w14:textId="08B32645" w:rsidR="005A3997" w:rsidRDefault="006E40F2" w:rsidP="006E2E3E">
      <w:pPr>
        <w:pStyle w:val="ListParagraph"/>
        <w:numPr>
          <w:ilvl w:val="0"/>
          <w:numId w:val="11"/>
        </w:numPr>
      </w:pPr>
      <w:r>
        <w:t>C</w:t>
      </w:r>
      <w:r w:rsidR="005A3997">
        <w:t xml:space="preserve">larify that no </w:t>
      </w:r>
      <w:r w:rsidR="00D113A6">
        <w:t xml:space="preserve">index </w:t>
      </w:r>
      <w:r w:rsidR="005A3997">
        <w:t>account</w:t>
      </w:r>
      <w:r w:rsidR="00DE3798">
        <w:t xml:space="preserve"> illustration</w:t>
      </w:r>
      <w:r w:rsidR="005A3997">
        <w:t xml:space="preserve"> </w:t>
      </w:r>
      <w:r w:rsidR="00000A8C">
        <w:t>may</w:t>
      </w:r>
      <w:r w:rsidR="005A3997">
        <w:t xml:space="preserve"> exceed the </w:t>
      </w:r>
      <w:r w:rsidR="00DE3798">
        <w:t xml:space="preserve">illustrated </w:t>
      </w:r>
      <w:r w:rsidR="005A3997">
        <w:t>performance of the BIA</w:t>
      </w:r>
      <w:r w:rsidR="00DE3798">
        <w:t xml:space="preserve"> (something that was clear in the intention of AG </w:t>
      </w:r>
      <w:r w:rsidR="00A96BA5">
        <w:t>49-A</w:t>
      </w:r>
      <w:r w:rsidR="00DE3798">
        <w:t>, despite current practices to the contrary)</w:t>
      </w:r>
    </w:p>
    <w:p w14:paraId="069A3232" w14:textId="27CA68F1" w:rsidR="00B42327" w:rsidRDefault="00115C70" w:rsidP="00B42327">
      <w:pPr>
        <w:pStyle w:val="ListParagraph"/>
        <w:numPr>
          <w:ilvl w:val="0"/>
          <w:numId w:val="11"/>
        </w:numPr>
      </w:pPr>
      <w:r>
        <w:t xml:space="preserve">Amend AG </w:t>
      </w:r>
      <w:r w:rsidR="00A96BA5">
        <w:t>49-A</w:t>
      </w:r>
      <w:r>
        <w:t xml:space="preserve"> to e</w:t>
      </w:r>
      <w:r w:rsidR="00D113A6">
        <w:t>nsure the 45% options profit maximum applies to all hedging programs</w:t>
      </w:r>
    </w:p>
    <w:p w14:paraId="1B28B49A" w14:textId="38C5BC7E" w:rsidR="00A96BA5" w:rsidRDefault="00A96BA5" w:rsidP="00A96BA5">
      <w:r>
        <w:t>In the longer-term regulators should consider ensuring better consumer understanding of novel index accounts through additional disclosure requirements.</w:t>
      </w:r>
    </w:p>
    <w:p w14:paraId="0EBEE268" w14:textId="6DDE3114" w:rsidR="00831AD7" w:rsidRDefault="00831AD7" w:rsidP="00831AD7">
      <w:r>
        <w:lastRenderedPageBreak/>
        <w:t xml:space="preserve">These </w:t>
      </w:r>
      <w:r w:rsidR="003D7C16">
        <w:t>actions</w:t>
      </w:r>
      <w:r>
        <w:t xml:space="preserve"> w</w:t>
      </w:r>
      <w:r w:rsidR="003D7C16">
        <w:t>ill</w:t>
      </w:r>
      <w:r>
        <w:t xml:space="preserve"> allow carriers to continue to offer </w:t>
      </w:r>
      <w:r w:rsidR="00DF56B5">
        <w:t>volatility-</w:t>
      </w:r>
      <w:r w:rsidR="0011530D">
        <w:t xml:space="preserve">controlled index accounts </w:t>
      </w:r>
      <w:r w:rsidR="00000A8C">
        <w:t xml:space="preserve">and other new and </w:t>
      </w:r>
      <w:r w:rsidR="00157D87">
        <w:t>innovative</w:t>
      </w:r>
      <w:r w:rsidR="00000A8C">
        <w:t xml:space="preserve"> </w:t>
      </w:r>
      <w:r w:rsidR="00DF109A">
        <w:t>features</w:t>
      </w:r>
      <w:r w:rsidR="003D7C16">
        <w:t>,</w:t>
      </w:r>
      <w:r w:rsidR="00000A8C">
        <w:t xml:space="preserve"> while </w:t>
      </w:r>
      <w:r w:rsidR="006B5C3C">
        <w:t xml:space="preserve">immediately </w:t>
      </w:r>
      <w:r w:rsidR="0011530D">
        <w:t>curtail</w:t>
      </w:r>
      <w:r w:rsidR="00000A8C">
        <w:t>ing</w:t>
      </w:r>
      <w:r w:rsidR="0011530D">
        <w:t xml:space="preserve"> aggressive illustration practices.</w:t>
      </w:r>
      <w:r w:rsidR="006B5C3C">
        <w:t xml:space="preserve"> To be clear</w:t>
      </w:r>
      <w:r w:rsidR="00144B76">
        <w:t>,</w:t>
      </w:r>
      <w:r w:rsidR="006B5C3C">
        <w:t xml:space="preserve"> there is nothing inherently wrong with </w:t>
      </w:r>
      <w:r w:rsidR="00A96BA5">
        <w:t>volatility-controlled</w:t>
      </w:r>
      <w:r w:rsidR="006B5C3C">
        <w:t xml:space="preserve"> </w:t>
      </w:r>
      <w:r w:rsidR="00144B76">
        <w:t>indexes</w:t>
      </w:r>
      <w:r w:rsidR="006B5C3C">
        <w:t xml:space="preserve">, fixed bonuses, or other innovative </w:t>
      </w:r>
      <w:r w:rsidR="00A96BA5">
        <w:t xml:space="preserve">features. Carriers should continue to innovate, but </w:t>
      </w:r>
      <w:r w:rsidR="00950D14">
        <w:t xml:space="preserve">action is needed </w:t>
      </w:r>
      <w:r w:rsidR="00A96BA5">
        <w:t xml:space="preserve">when </w:t>
      </w:r>
      <w:r w:rsidR="003D7C16">
        <w:t xml:space="preserve">such </w:t>
      </w:r>
      <w:r w:rsidR="00357845">
        <w:t xml:space="preserve">innovation </w:t>
      </w:r>
      <w:r w:rsidR="003D7C16">
        <w:t xml:space="preserve">results in </w:t>
      </w:r>
      <w:r w:rsidR="00BC539D">
        <w:t>overly optimistic illustrations.</w:t>
      </w:r>
    </w:p>
    <w:p w14:paraId="6BE2610B" w14:textId="620E2F1E" w:rsidR="002A7F0B" w:rsidRDefault="00115C70" w:rsidP="002A7F0B">
      <w:r>
        <w:t xml:space="preserve">As you know, the life insurance industry plays a vital role in providing financial security for families. Aggressive illustrations </w:t>
      </w:r>
      <w:r w:rsidR="00366C1C">
        <w:t>like those being shown today</w:t>
      </w:r>
      <w:r>
        <w:t xml:space="preserve"> </w:t>
      </w:r>
      <w:r w:rsidR="00366C1C">
        <w:t>risk the opposite effect</w:t>
      </w:r>
      <w:r w:rsidR="00BC539D">
        <w:t>,</w:t>
      </w:r>
      <w:r w:rsidR="00366C1C">
        <w:t xml:space="preserve"> transferring risk to consumers</w:t>
      </w:r>
      <w:r w:rsidR="00357845">
        <w:t xml:space="preserve"> by setting unrealistic expectations about policy performance</w:t>
      </w:r>
      <w:r w:rsidR="00366C1C">
        <w:t>.</w:t>
      </w:r>
      <w:r>
        <w:t xml:space="preserve"> AG </w:t>
      </w:r>
      <w:r w:rsidR="00A96BA5">
        <w:t>49-A</w:t>
      </w:r>
      <w:r>
        <w:t xml:space="preserve"> </w:t>
      </w:r>
      <w:r w:rsidR="00357845">
        <w:t xml:space="preserve">and its predecessor have protected consumers by </w:t>
      </w:r>
      <w:r w:rsidR="00B95078">
        <w:t>ensuring</w:t>
      </w:r>
      <w:r w:rsidR="00357845">
        <w:t xml:space="preserve"> a realistic connection between </w:t>
      </w:r>
      <w:r w:rsidR="00B95078">
        <w:t>index account</w:t>
      </w:r>
      <w:r w:rsidR="00357845">
        <w:t xml:space="preserve"> credits and </w:t>
      </w:r>
      <w:r w:rsidR="00BC539D">
        <w:t xml:space="preserve">the </w:t>
      </w:r>
      <w:r w:rsidR="00357845">
        <w:t>hedging programs</w:t>
      </w:r>
      <w:r>
        <w:t xml:space="preserve"> </w:t>
      </w:r>
      <w:r w:rsidR="00BC539D">
        <w:t xml:space="preserve">that </w:t>
      </w:r>
      <w:r w:rsidR="00357845">
        <w:t xml:space="preserve">back </w:t>
      </w:r>
      <w:r>
        <w:t xml:space="preserve">them. </w:t>
      </w:r>
      <w:r w:rsidR="00950D14">
        <w:t>LATF and the IUL Illustration Subgroup must act</w:t>
      </w:r>
      <w:r w:rsidR="00366C1C">
        <w:t xml:space="preserve"> to assure that </w:t>
      </w:r>
      <w:r w:rsidR="00357845">
        <w:t>AG 49-A</w:t>
      </w:r>
      <w:r w:rsidR="00366C1C">
        <w:t xml:space="preserve"> can continue to </w:t>
      </w:r>
      <w:r w:rsidR="00357845">
        <w:t>provide this protection</w:t>
      </w:r>
      <w:r w:rsidR="00BC539D">
        <w:t xml:space="preserve"> to consumers</w:t>
      </w:r>
      <w:r w:rsidR="00B95078">
        <w:t xml:space="preserve"> </w:t>
      </w:r>
      <w:r w:rsidR="00E64D5F">
        <w:t>in the future</w:t>
      </w:r>
      <w:r w:rsidR="00357845">
        <w:t>.</w:t>
      </w:r>
      <w:r w:rsidR="004148C6">
        <w:t xml:space="preserve"> </w:t>
      </w:r>
    </w:p>
    <w:p w14:paraId="3ABC520F" w14:textId="527C65C1" w:rsidR="004148C6" w:rsidRDefault="004148C6" w:rsidP="002A7F0B">
      <w:r>
        <w:t>Thanks again for the opportunity to comment.</w:t>
      </w:r>
    </w:p>
    <w:p w14:paraId="388833CF" w14:textId="37A83FE4" w:rsidR="002A7F0B" w:rsidRDefault="004148C6" w:rsidP="002A7F0B">
      <w:r>
        <w:t>S</w:t>
      </w:r>
      <w:r w:rsidR="002A7F0B">
        <w:t>incerely,</w:t>
      </w:r>
    </w:p>
    <w:p w14:paraId="6E93A4DC" w14:textId="75E96258" w:rsidR="002A7F0B" w:rsidRDefault="002A7F0B" w:rsidP="002A7F0B">
      <w:r>
        <w:t>Anonymous</w:t>
      </w:r>
    </w:p>
    <w:p w14:paraId="5B4B9A22" w14:textId="234FB1C4" w:rsidR="00B42327" w:rsidRPr="00425AF7" w:rsidRDefault="00B42327"/>
    <w:sectPr w:rsidR="00B42327" w:rsidRPr="0042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67DD" w14:textId="77777777" w:rsidR="00364AAF" w:rsidRDefault="00364AAF" w:rsidP="00CA1993">
      <w:pPr>
        <w:spacing w:after="0" w:line="240" w:lineRule="auto"/>
      </w:pPr>
      <w:r>
        <w:separator/>
      </w:r>
    </w:p>
  </w:endnote>
  <w:endnote w:type="continuationSeparator" w:id="0">
    <w:p w14:paraId="17DEB145" w14:textId="77777777" w:rsidR="00364AAF" w:rsidRDefault="00364AAF" w:rsidP="00C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5A5A" w14:textId="77777777" w:rsidR="00364AAF" w:rsidRDefault="00364AAF" w:rsidP="00CA1993">
      <w:pPr>
        <w:spacing w:after="0" w:line="240" w:lineRule="auto"/>
      </w:pPr>
      <w:r>
        <w:separator/>
      </w:r>
    </w:p>
  </w:footnote>
  <w:footnote w:type="continuationSeparator" w:id="0">
    <w:p w14:paraId="514A9CB6" w14:textId="77777777" w:rsidR="00364AAF" w:rsidRDefault="00364AAF" w:rsidP="00CA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227"/>
    <w:multiLevelType w:val="hybridMultilevel"/>
    <w:tmpl w:val="601E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4BD"/>
    <w:multiLevelType w:val="hybridMultilevel"/>
    <w:tmpl w:val="C6E6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65D3"/>
    <w:multiLevelType w:val="hybridMultilevel"/>
    <w:tmpl w:val="1748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3333"/>
    <w:multiLevelType w:val="hybridMultilevel"/>
    <w:tmpl w:val="EEE423BC"/>
    <w:lvl w:ilvl="0" w:tplc="0F8E1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16FE"/>
    <w:multiLevelType w:val="hybridMultilevel"/>
    <w:tmpl w:val="6C20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91478"/>
    <w:multiLevelType w:val="hybridMultilevel"/>
    <w:tmpl w:val="5A168E84"/>
    <w:lvl w:ilvl="0" w:tplc="04090001">
      <w:start w:val="1"/>
      <w:numFmt w:val="bullet"/>
      <w:lvlText w:val=""/>
      <w:lvlJc w:val="left"/>
      <w:pPr>
        <w:ind w:left="50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10C62"/>
    <w:multiLevelType w:val="hybridMultilevel"/>
    <w:tmpl w:val="649C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7A62"/>
    <w:multiLevelType w:val="hybridMultilevel"/>
    <w:tmpl w:val="89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B44CC"/>
    <w:multiLevelType w:val="hybridMultilevel"/>
    <w:tmpl w:val="FF26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71FCB"/>
    <w:multiLevelType w:val="hybridMultilevel"/>
    <w:tmpl w:val="B35A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921D8"/>
    <w:multiLevelType w:val="hybridMultilevel"/>
    <w:tmpl w:val="487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C1C45"/>
    <w:multiLevelType w:val="hybridMultilevel"/>
    <w:tmpl w:val="83D0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08"/>
    <w:rsid w:val="00000A8C"/>
    <w:rsid w:val="00004F86"/>
    <w:rsid w:val="00005D51"/>
    <w:rsid w:val="000078C9"/>
    <w:rsid w:val="00017110"/>
    <w:rsid w:val="00020684"/>
    <w:rsid w:val="00031BE9"/>
    <w:rsid w:val="00052605"/>
    <w:rsid w:val="000540F7"/>
    <w:rsid w:val="00061EBF"/>
    <w:rsid w:val="00070338"/>
    <w:rsid w:val="00077233"/>
    <w:rsid w:val="000869EC"/>
    <w:rsid w:val="00087DD1"/>
    <w:rsid w:val="00092DB3"/>
    <w:rsid w:val="000A10CA"/>
    <w:rsid w:val="000B6C46"/>
    <w:rsid w:val="000C3251"/>
    <w:rsid w:val="000C6EF9"/>
    <w:rsid w:val="000E3B0A"/>
    <w:rsid w:val="000F7596"/>
    <w:rsid w:val="001127D1"/>
    <w:rsid w:val="00112BB8"/>
    <w:rsid w:val="0011530D"/>
    <w:rsid w:val="00115C70"/>
    <w:rsid w:val="00144B76"/>
    <w:rsid w:val="00157D87"/>
    <w:rsid w:val="00171F21"/>
    <w:rsid w:val="00180219"/>
    <w:rsid w:val="001B2303"/>
    <w:rsid w:val="001F4B30"/>
    <w:rsid w:val="00203CBB"/>
    <w:rsid w:val="00213D5B"/>
    <w:rsid w:val="00220478"/>
    <w:rsid w:val="0025147C"/>
    <w:rsid w:val="002640FD"/>
    <w:rsid w:val="002768F7"/>
    <w:rsid w:val="00282105"/>
    <w:rsid w:val="00286A7A"/>
    <w:rsid w:val="00296097"/>
    <w:rsid w:val="002A2415"/>
    <w:rsid w:val="002A26FC"/>
    <w:rsid w:val="002A381E"/>
    <w:rsid w:val="002A6F50"/>
    <w:rsid w:val="002A7F0B"/>
    <w:rsid w:val="002B5C3B"/>
    <w:rsid w:val="002C13CB"/>
    <w:rsid w:val="002D0686"/>
    <w:rsid w:val="002D5904"/>
    <w:rsid w:val="0030483F"/>
    <w:rsid w:val="00315506"/>
    <w:rsid w:val="00320936"/>
    <w:rsid w:val="003263A5"/>
    <w:rsid w:val="003307C3"/>
    <w:rsid w:val="00331B6D"/>
    <w:rsid w:val="00342AE4"/>
    <w:rsid w:val="00357845"/>
    <w:rsid w:val="003612E8"/>
    <w:rsid w:val="00364AAF"/>
    <w:rsid w:val="00366719"/>
    <w:rsid w:val="00366C1C"/>
    <w:rsid w:val="00367C49"/>
    <w:rsid w:val="00373830"/>
    <w:rsid w:val="00394CD7"/>
    <w:rsid w:val="003A4B7A"/>
    <w:rsid w:val="003C24B1"/>
    <w:rsid w:val="003D7C16"/>
    <w:rsid w:val="003E78F4"/>
    <w:rsid w:val="003F666A"/>
    <w:rsid w:val="004148C6"/>
    <w:rsid w:val="00425AF7"/>
    <w:rsid w:val="00426AF8"/>
    <w:rsid w:val="00450432"/>
    <w:rsid w:val="00456F74"/>
    <w:rsid w:val="00464608"/>
    <w:rsid w:val="00484D8A"/>
    <w:rsid w:val="00494C82"/>
    <w:rsid w:val="004950D6"/>
    <w:rsid w:val="004C27D6"/>
    <w:rsid w:val="004F0E5F"/>
    <w:rsid w:val="00502871"/>
    <w:rsid w:val="0051476A"/>
    <w:rsid w:val="00520FA1"/>
    <w:rsid w:val="005322A3"/>
    <w:rsid w:val="0054629F"/>
    <w:rsid w:val="00550249"/>
    <w:rsid w:val="005719C1"/>
    <w:rsid w:val="00572CDD"/>
    <w:rsid w:val="005A1BA3"/>
    <w:rsid w:val="005A3997"/>
    <w:rsid w:val="005D1303"/>
    <w:rsid w:val="005E232D"/>
    <w:rsid w:val="00613EEA"/>
    <w:rsid w:val="00677EBE"/>
    <w:rsid w:val="006971F3"/>
    <w:rsid w:val="006A1725"/>
    <w:rsid w:val="006A7CB5"/>
    <w:rsid w:val="006B5C3C"/>
    <w:rsid w:val="006C4E53"/>
    <w:rsid w:val="006E2E3E"/>
    <w:rsid w:val="006E40F2"/>
    <w:rsid w:val="006F27DF"/>
    <w:rsid w:val="007149D8"/>
    <w:rsid w:val="00715199"/>
    <w:rsid w:val="007155C6"/>
    <w:rsid w:val="00756C35"/>
    <w:rsid w:val="00761464"/>
    <w:rsid w:val="0077391B"/>
    <w:rsid w:val="007775B7"/>
    <w:rsid w:val="007865A8"/>
    <w:rsid w:val="007A3091"/>
    <w:rsid w:val="007A693F"/>
    <w:rsid w:val="007B3A37"/>
    <w:rsid w:val="007D3DA7"/>
    <w:rsid w:val="007D6B22"/>
    <w:rsid w:val="007E0D4F"/>
    <w:rsid w:val="00804862"/>
    <w:rsid w:val="008104E8"/>
    <w:rsid w:val="008178E8"/>
    <w:rsid w:val="00831AD7"/>
    <w:rsid w:val="00842356"/>
    <w:rsid w:val="00856B71"/>
    <w:rsid w:val="00860E14"/>
    <w:rsid w:val="0087007E"/>
    <w:rsid w:val="00875D15"/>
    <w:rsid w:val="008A14A8"/>
    <w:rsid w:val="008D00D2"/>
    <w:rsid w:val="008D06C5"/>
    <w:rsid w:val="008E326D"/>
    <w:rsid w:val="008E6173"/>
    <w:rsid w:val="00946EFD"/>
    <w:rsid w:val="00950D14"/>
    <w:rsid w:val="0096321F"/>
    <w:rsid w:val="009B020A"/>
    <w:rsid w:val="009F2630"/>
    <w:rsid w:val="00A07C16"/>
    <w:rsid w:val="00A10FC1"/>
    <w:rsid w:val="00A31DDD"/>
    <w:rsid w:val="00A343ED"/>
    <w:rsid w:val="00A36699"/>
    <w:rsid w:val="00A51CCE"/>
    <w:rsid w:val="00A82BA0"/>
    <w:rsid w:val="00A85D77"/>
    <w:rsid w:val="00A87E6D"/>
    <w:rsid w:val="00A96BA5"/>
    <w:rsid w:val="00AA2E9C"/>
    <w:rsid w:val="00AA3006"/>
    <w:rsid w:val="00AC5041"/>
    <w:rsid w:val="00AD51D6"/>
    <w:rsid w:val="00AE21FC"/>
    <w:rsid w:val="00AE5DF3"/>
    <w:rsid w:val="00AF6DB6"/>
    <w:rsid w:val="00B252CA"/>
    <w:rsid w:val="00B31F47"/>
    <w:rsid w:val="00B347D7"/>
    <w:rsid w:val="00B42327"/>
    <w:rsid w:val="00B622F6"/>
    <w:rsid w:val="00B72F86"/>
    <w:rsid w:val="00B84EE2"/>
    <w:rsid w:val="00B877C8"/>
    <w:rsid w:val="00B95078"/>
    <w:rsid w:val="00BB531A"/>
    <w:rsid w:val="00BC539D"/>
    <w:rsid w:val="00BD25F3"/>
    <w:rsid w:val="00BF471E"/>
    <w:rsid w:val="00C016B3"/>
    <w:rsid w:val="00C85A38"/>
    <w:rsid w:val="00C8744B"/>
    <w:rsid w:val="00C92E65"/>
    <w:rsid w:val="00CA1993"/>
    <w:rsid w:val="00D113A6"/>
    <w:rsid w:val="00D2277A"/>
    <w:rsid w:val="00D34E7B"/>
    <w:rsid w:val="00D415BC"/>
    <w:rsid w:val="00D44B5E"/>
    <w:rsid w:val="00D64F7B"/>
    <w:rsid w:val="00D71DC7"/>
    <w:rsid w:val="00D76539"/>
    <w:rsid w:val="00D85D18"/>
    <w:rsid w:val="00D87C37"/>
    <w:rsid w:val="00D9156B"/>
    <w:rsid w:val="00DB1764"/>
    <w:rsid w:val="00DD286F"/>
    <w:rsid w:val="00DE3798"/>
    <w:rsid w:val="00DF109A"/>
    <w:rsid w:val="00DF2831"/>
    <w:rsid w:val="00DF56B5"/>
    <w:rsid w:val="00E214A1"/>
    <w:rsid w:val="00E332F7"/>
    <w:rsid w:val="00E3776F"/>
    <w:rsid w:val="00E64D5F"/>
    <w:rsid w:val="00E80A5D"/>
    <w:rsid w:val="00E9556A"/>
    <w:rsid w:val="00EA0828"/>
    <w:rsid w:val="00EB7F17"/>
    <w:rsid w:val="00EC6BF8"/>
    <w:rsid w:val="00EC6C99"/>
    <w:rsid w:val="00F06ADE"/>
    <w:rsid w:val="00F0761E"/>
    <w:rsid w:val="00F16C2C"/>
    <w:rsid w:val="00F2008D"/>
    <w:rsid w:val="00F21BA1"/>
    <w:rsid w:val="00F35075"/>
    <w:rsid w:val="00FA2A6C"/>
    <w:rsid w:val="00FA4536"/>
    <w:rsid w:val="00FC0120"/>
    <w:rsid w:val="00FC74BB"/>
    <w:rsid w:val="00FE5577"/>
    <w:rsid w:val="00FF0E63"/>
    <w:rsid w:val="00FF3A69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1EE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93"/>
  </w:style>
  <w:style w:type="paragraph" w:styleId="Footer">
    <w:name w:val="footer"/>
    <w:basedOn w:val="Normal"/>
    <w:link w:val="FooterChar"/>
    <w:uiPriority w:val="99"/>
    <w:unhideWhenUsed/>
    <w:rsid w:val="00CA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2022-02-07T15:08:47+00:00</_EndDate>
    <StartDate xmlns="http://schemas.microsoft.com/sharepoint/v3">2022-02-07T15:08:47+00:00</StartDate>
    <Location xmlns="http://schemas.microsoft.com/sharepoint/v3/fields" xsi:nil="true"/>
    <Meeting_x0020_Type xmlns="734dc620-9a3c-4363-b6b2-552d0a5c0ad8"/>
  </documentManagement>
</p:properties>
</file>

<file path=customXml/itemProps1.xml><?xml version="1.0" encoding="utf-8"?>
<ds:datastoreItem xmlns:ds="http://schemas.openxmlformats.org/officeDocument/2006/customXml" ds:itemID="{D56F434D-0F2D-4734-BE77-BC5ABB0514F2}"/>
</file>

<file path=customXml/itemProps2.xml><?xml version="1.0" encoding="utf-8"?>
<ds:datastoreItem xmlns:ds="http://schemas.openxmlformats.org/officeDocument/2006/customXml" ds:itemID="{D894AF2A-723D-4D9D-83DB-022CF4275466}"/>
</file>

<file path=customXml/itemProps3.xml><?xml version="1.0" encoding="utf-8"?>
<ds:datastoreItem xmlns:ds="http://schemas.openxmlformats.org/officeDocument/2006/customXml" ds:itemID="{A775EA66-0E7B-4C95-BA17-425ADEC0BA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2022-02-07T15:08:00Z</dcterms:created>
  <dcterms:modified xsi:type="dcterms:W3CDTF">2022-02-07T15:08:00Z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