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82B4" w14:textId="73898FD5" w:rsidR="00A44524" w:rsidRPr="00CF3D63" w:rsidRDefault="006A2724">
      <w:pPr>
        <w:rPr>
          <w:sz w:val="22"/>
          <w:szCs w:val="22"/>
        </w:rPr>
      </w:pPr>
      <w:r w:rsidRPr="00CF3D63">
        <w:rPr>
          <w:sz w:val="22"/>
          <w:szCs w:val="22"/>
        </w:rPr>
        <w:t>September 1</w:t>
      </w:r>
      <w:r w:rsidR="00040AED">
        <w:rPr>
          <w:sz w:val="22"/>
          <w:szCs w:val="22"/>
        </w:rPr>
        <w:t>7</w:t>
      </w:r>
      <w:r w:rsidR="00CA3435" w:rsidRPr="00CF3D63">
        <w:rPr>
          <w:sz w:val="22"/>
          <w:szCs w:val="22"/>
        </w:rPr>
        <w:t>,</w:t>
      </w:r>
      <w:r w:rsidR="006165B9" w:rsidRPr="00CF3D63">
        <w:rPr>
          <w:sz w:val="22"/>
          <w:szCs w:val="22"/>
        </w:rPr>
        <w:t xml:space="preserve"> 20</w:t>
      </w:r>
      <w:r w:rsidR="00CA3435" w:rsidRPr="00CF3D63">
        <w:rPr>
          <w:sz w:val="22"/>
          <w:szCs w:val="22"/>
        </w:rPr>
        <w:t>20</w:t>
      </w:r>
      <w:r w:rsidR="006165B9" w:rsidRPr="00CF3D63">
        <w:rPr>
          <w:sz w:val="22"/>
          <w:szCs w:val="22"/>
        </w:rPr>
        <w:t xml:space="preserve">         </w:t>
      </w:r>
      <w:r w:rsidR="00314217" w:rsidRPr="00CF3D63">
        <w:rPr>
          <w:b/>
          <w:bCs/>
          <w:sz w:val="22"/>
          <w:szCs w:val="22"/>
        </w:rPr>
        <w:tab/>
      </w:r>
      <w:r w:rsidR="00314217" w:rsidRPr="00CF3D63">
        <w:rPr>
          <w:sz w:val="22"/>
          <w:szCs w:val="22"/>
        </w:rPr>
        <w:t xml:space="preserve">         </w:t>
      </w:r>
      <w:r w:rsidR="00314217" w:rsidRPr="00CF3D63">
        <w:rPr>
          <w:sz w:val="22"/>
          <w:szCs w:val="22"/>
        </w:rPr>
        <w:tab/>
      </w:r>
      <w:r w:rsidR="00314217" w:rsidRPr="00CF3D63">
        <w:rPr>
          <w:sz w:val="22"/>
          <w:szCs w:val="22"/>
        </w:rPr>
        <w:tab/>
        <w:t>- sent electronically -</w:t>
      </w:r>
      <w:r w:rsidR="00BA0DA8" w:rsidRPr="00CF3D63">
        <w:rPr>
          <w:sz w:val="22"/>
          <w:szCs w:val="22"/>
        </w:rPr>
        <w:tab/>
      </w:r>
      <w:r w:rsidR="00F26C8F" w:rsidRPr="00CF3D63">
        <w:rPr>
          <w:sz w:val="22"/>
          <w:szCs w:val="22"/>
        </w:rPr>
        <w:t xml:space="preserve">                                                                       </w:t>
      </w:r>
      <w:r w:rsidR="00BA0DA8" w:rsidRPr="00CF3D63">
        <w:rPr>
          <w:sz w:val="22"/>
          <w:szCs w:val="22"/>
        </w:rPr>
        <w:tab/>
      </w:r>
      <w:r w:rsidR="00BA0DA8" w:rsidRPr="00CF3D63">
        <w:rPr>
          <w:sz w:val="22"/>
          <w:szCs w:val="22"/>
        </w:rPr>
        <w:tab/>
      </w:r>
      <w:r w:rsidR="00723DC2" w:rsidRPr="00CF3D63">
        <w:rPr>
          <w:sz w:val="22"/>
          <w:szCs w:val="22"/>
        </w:rPr>
        <w:tab/>
      </w:r>
      <w:r w:rsidR="00723DC2" w:rsidRPr="00CF3D63">
        <w:rPr>
          <w:sz w:val="22"/>
          <w:szCs w:val="22"/>
        </w:rPr>
        <w:tab/>
      </w:r>
      <w:r w:rsidR="00723DC2" w:rsidRPr="00CF3D63">
        <w:rPr>
          <w:sz w:val="22"/>
          <w:szCs w:val="22"/>
        </w:rPr>
        <w:tab/>
      </w:r>
      <w:r w:rsidR="00723DC2" w:rsidRPr="00CF3D63">
        <w:rPr>
          <w:sz w:val="22"/>
          <w:szCs w:val="22"/>
        </w:rPr>
        <w:tab/>
      </w:r>
    </w:p>
    <w:p w14:paraId="217B2E33" w14:textId="77777777" w:rsidR="00A44524" w:rsidRPr="00CF3D63" w:rsidRDefault="00A44524">
      <w:pPr>
        <w:rPr>
          <w:sz w:val="22"/>
          <w:szCs w:val="22"/>
        </w:rPr>
      </w:pPr>
    </w:p>
    <w:p w14:paraId="0DA82935" w14:textId="71EF92B2" w:rsidR="00171E95" w:rsidRPr="00CF3D63" w:rsidRDefault="008E65EB" w:rsidP="0081387A">
      <w:pPr>
        <w:rPr>
          <w:bCs/>
          <w:sz w:val="22"/>
          <w:szCs w:val="22"/>
        </w:rPr>
      </w:pPr>
      <w:bookmarkStart w:id="0" w:name="_GoBack"/>
      <w:bookmarkEnd w:id="0"/>
      <w:r w:rsidRPr="00CF3D63">
        <w:rPr>
          <w:bCs/>
          <w:sz w:val="22"/>
          <w:szCs w:val="22"/>
        </w:rPr>
        <w:t>Mr. Mike Boerner</w:t>
      </w:r>
      <w:r w:rsidR="008E2540" w:rsidRPr="00CF3D63">
        <w:rPr>
          <w:bCs/>
          <w:sz w:val="22"/>
          <w:szCs w:val="22"/>
        </w:rPr>
        <w:t xml:space="preserve"> (TX)</w:t>
      </w:r>
    </w:p>
    <w:p w14:paraId="0EDBA3D7" w14:textId="4F6FAF66" w:rsidR="008E2540" w:rsidRPr="00CF3D63" w:rsidRDefault="008E2540" w:rsidP="0081387A">
      <w:pPr>
        <w:rPr>
          <w:bCs/>
          <w:sz w:val="22"/>
          <w:szCs w:val="22"/>
        </w:rPr>
      </w:pPr>
      <w:r w:rsidRPr="00CF3D63">
        <w:rPr>
          <w:bCs/>
          <w:sz w:val="22"/>
          <w:szCs w:val="22"/>
        </w:rPr>
        <w:t>Life Actuarial (A) Task Force</w:t>
      </w:r>
    </w:p>
    <w:p w14:paraId="76B56EF7" w14:textId="77777777" w:rsidR="00125FF3" w:rsidRPr="00CF3D63" w:rsidRDefault="00125FF3" w:rsidP="0081387A">
      <w:pPr>
        <w:rPr>
          <w:bCs/>
          <w:sz w:val="22"/>
          <w:szCs w:val="22"/>
        </w:rPr>
      </w:pPr>
      <w:r w:rsidRPr="00CF3D63">
        <w:rPr>
          <w:bCs/>
          <w:sz w:val="22"/>
          <w:szCs w:val="22"/>
        </w:rPr>
        <w:t>National Association of Insurance Commissioners</w:t>
      </w:r>
    </w:p>
    <w:p w14:paraId="22DB8789" w14:textId="767F67D5" w:rsidR="00125FF3" w:rsidRPr="00CF3D63" w:rsidRDefault="00B40676" w:rsidP="0081387A">
      <w:pPr>
        <w:rPr>
          <w:bCs/>
          <w:sz w:val="22"/>
          <w:szCs w:val="22"/>
        </w:rPr>
      </w:pPr>
      <w:r w:rsidRPr="00CF3D63">
        <w:rPr>
          <w:bCs/>
          <w:sz w:val="22"/>
          <w:szCs w:val="22"/>
        </w:rPr>
        <w:t>1100 Walnut Street, Suite 1500</w:t>
      </w:r>
    </w:p>
    <w:p w14:paraId="10BF3D1C" w14:textId="63038D4C" w:rsidR="00B40676" w:rsidRPr="00CF3D63" w:rsidRDefault="00B40676" w:rsidP="0081387A">
      <w:pPr>
        <w:rPr>
          <w:bCs/>
          <w:sz w:val="22"/>
          <w:szCs w:val="22"/>
        </w:rPr>
      </w:pPr>
      <w:r w:rsidRPr="00CF3D63">
        <w:rPr>
          <w:bCs/>
          <w:sz w:val="22"/>
          <w:szCs w:val="22"/>
        </w:rPr>
        <w:t>Kansas City, MO 64106-2197</w:t>
      </w:r>
    </w:p>
    <w:p w14:paraId="1A507BFF" w14:textId="77777777" w:rsidR="00DC5126" w:rsidRPr="00CF3D63" w:rsidRDefault="00DC5126" w:rsidP="0081387A">
      <w:pPr>
        <w:rPr>
          <w:bCs/>
          <w:sz w:val="22"/>
          <w:szCs w:val="22"/>
        </w:rPr>
      </w:pPr>
    </w:p>
    <w:p w14:paraId="09DEEC1A" w14:textId="200945D0" w:rsidR="00B40676" w:rsidRPr="00CF3D63" w:rsidRDefault="00DC5126" w:rsidP="0081387A">
      <w:pPr>
        <w:rPr>
          <w:sz w:val="22"/>
          <w:szCs w:val="22"/>
        </w:rPr>
      </w:pPr>
      <w:r w:rsidRPr="00CF3D63">
        <w:rPr>
          <w:rStyle w:val="normaltextrun"/>
          <w:color w:val="000000"/>
          <w:sz w:val="22"/>
          <w:szCs w:val="22"/>
          <w:shd w:val="clear" w:color="auto" w:fill="FFFFFF"/>
        </w:rPr>
        <w:t>Via e-mail:  </w:t>
      </w:r>
      <w:hyperlink r:id="rId11" w:history="1">
        <w:r w:rsidR="000373A0" w:rsidRPr="00CF3D63">
          <w:rPr>
            <w:rStyle w:val="Hyperlink"/>
            <w:sz w:val="22"/>
            <w:szCs w:val="22"/>
          </w:rPr>
          <w:t>rmazyck@naic.org</w:t>
        </w:r>
      </w:hyperlink>
    </w:p>
    <w:p w14:paraId="5AEB66D6" w14:textId="77777777" w:rsidR="00125FF3" w:rsidRPr="00CF3D63" w:rsidRDefault="00125FF3" w:rsidP="0081387A">
      <w:pPr>
        <w:rPr>
          <w:bCs/>
          <w:sz w:val="22"/>
          <w:szCs w:val="22"/>
        </w:rPr>
      </w:pPr>
    </w:p>
    <w:p w14:paraId="13D5184E" w14:textId="249A0B7C" w:rsidR="00171E95" w:rsidRPr="00CF3D63" w:rsidRDefault="00125FF3" w:rsidP="0081387A">
      <w:pPr>
        <w:rPr>
          <w:bCs/>
          <w:sz w:val="22"/>
          <w:szCs w:val="22"/>
        </w:rPr>
      </w:pPr>
      <w:r w:rsidRPr="00CF3D63">
        <w:rPr>
          <w:bCs/>
          <w:sz w:val="22"/>
          <w:szCs w:val="22"/>
        </w:rPr>
        <w:t xml:space="preserve">Re:  </w:t>
      </w:r>
      <w:r w:rsidR="006A2724" w:rsidRPr="00CF3D63">
        <w:rPr>
          <w:bCs/>
          <w:sz w:val="22"/>
          <w:szCs w:val="22"/>
        </w:rPr>
        <w:t xml:space="preserve">Life Actuarial </w:t>
      </w:r>
      <w:r w:rsidR="002E4F8D">
        <w:rPr>
          <w:bCs/>
          <w:sz w:val="22"/>
          <w:szCs w:val="22"/>
        </w:rPr>
        <w:t xml:space="preserve">(A) </w:t>
      </w:r>
      <w:r w:rsidR="006A2724" w:rsidRPr="00CF3D63">
        <w:rPr>
          <w:bCs/>
          <w:sz w:val="22"/>
          <w:szCs w:val="22"/>
        </w:rPr>
        <w:t>Task Force E</w:t>
      </w:r>
      <w:r w:rsidR="00314217" w:rsidRPr="00CF3D63">
        <w:rPr>
          <w:bCs/>
          <w:sz w:val="22"/>
          <w:szCs w:val="22"/>
        </w:rPr>
        <w:t xml:space="preserve">xposure of </w:t>
      </w:r>
      <w:r w:rsidR="00CA3435" w:rsidRPr="00CF3D63">
        <w:rPr>
          <w:bCs/>
          <w:sz w:val="22"/>
          <w:szCs w:val="22"/>
        </w:rPr>
        <w:t>A</w:t>
      </w:r>
      <w:r w:rsidR="006A2724" w:rsidRPr="00CF3D63">
        <w:rPr>
          <w:bCs/>
          <w:sz w:val="22"/>
          <w:szCs w:val="22"/>
        </w:rPr>
        <w:t>PF 2019-34</w:t>
      </w:r>
      <w:r w:rsidR="00CA3435" w:rsidRPr="00CF3D63">
        <w:rPr>
          <w:bCs/>
          <w:sz w:val="22"/>
          <w:szCs w:val="22"/>
        </w:rPr>
        <w:t xml:space="preserve"> </w:t>
      </w:r>
    </w:p>
    <w:p w14:paraId="711225C6" w14:textId="77777777" w:rsidR="00BE4C42" w:rsidRPr="00CF3D63" w:rsidRDefault="00BE4C42" w:rsidP="0081387A">
      <w:pPr>
        <w:rPr>
          <w:bCs/>
          <w:sz w:val="22"/>
          <w:szCs w:val="22"/>
        </w:rPr>
      </w:pPr>
    </w:p>
    <w:p w14:paraId="60401B08" w14:textId="5D1AD801" w:rsidR="00125FF3" w:rsidRPr="00CF3D63" w:rsidRDefault="00125FF3" w:rsidP="0081387A">
      <w:pPr>
        <w:rPr>
          <w:bCs/>
          <w:sz w:val="22"/>
          <w:szCs w:val="22"/>
        </w:rPr>
      </w:pPr>
      <w:r w:rsidRPr="00CF3D63">
        <w:rPr>
          <w:bCs/>
          <w:sz w:val="22"/>
          <w:szCs w:val="22"/>
        </w:rPr>
        <w:t>Dear</w:t>
      </w:r>
      <w:r w:rsidR="00BA0DA8" w:rsidRPr="00CF3D63">
        <w:rPr>
          <w:bCs/>
          <w:sz w:val="22"/>
          <w:szCs w:val="22"/>
        </w:rPr>
        <w:t xml:space="preserve"> </w:t>
      </w:r>
      <w:r w:rsidR="00CA3435" w:rsidRPr="00CF3D63">
        <w:rPr>
          <w:bCs/>
          <w:sz w:val="22"/>
          <w:szCs w:val="22"/>
        </w:rPr>
        <w:t xml:space="preserve">Mr. </w:t>
      </w:r>
      <w:r w:rsidR="00040AED">
        <w:rPr>
          <w:bCs/>
          <w:sz w:val="22"/>
          <w:szCs w:val="22"/>
        </w:rPr>
        <w:t>Boerner</w:t>
      </w:r>
      <w:r w:rsidRPr="00CF3D63">
        <w:rPr>
          <w:bCs/>
          <w:sz w:val="22"/>
          <w:szCs w:val="22"/>
        </w:rPr>
        <w:t>:</w:t>
      </w:r>
    </w:p>
    <w:p w14:paraId="1659F6B9" w14:textId="77777777" w:rsidR="00125FF3" w:rsidRPr="00CF3D63" w:rsidRDefault="00125FF3" w:rsidP="0081387A">
      <w:pPr>
        <w:rPr>
          <w:sz w:val="22"/>
          <w:szCs w:val="22"/>
        </w:rPr>
      </w:pPr>
    </w:p>
    <w:p w14:paraId="46CB9B78" w14:textId="57B2E34D" w:rsidR="00900F14" w:rsidRPr="00CF3D63" w:rsidRDefault="006D5832" w:rsidP="0081387A">
      <w:pPr>
        <w:rPr>
          <w:sz w:val="22"/>
          <w:szCs w:val="22"/>
        </w:rPr>
      </w:pPr>
      <w:r>
        <w:rPr>
          <w:sz w:val="22"/>
          <w:szCs w:val="22"/>
        </w:rPr>
        <w:t xml:space="preserve">On behalf of </w:t>
      </w:r>
      <w:r w:rsidR="00BA0DA8" w:rsidRPr="00CF3D63">
        <w:rPr>
          <w:sz w:val="22"/>
          <w:szCs w:val="22"/>
        </w:rPr>
        <w:t>America’s Health Insurance Plans (AHIP)</w:t>
      </w:r>
      <w:r w:rsidR="00DE53C0">
        <w:rPr>
          <w:sz w:val="22"/>
          <w:szCs w:val="22"/>
        </w:rPr>
        <w:t>,</w:t>
      </w:r>
      <w:r w:rsidR="00E50A8C">
        <w:rPr>
          <w:rStyle w:val="FootnoteReference"/>
          <w:sz w:val="22"/>
          <w:szCs w:val="22"/>
        </w:rPr>
        <w:footnoteReference w:id="1"/>
      </w:r>
      <w:r w:rsidR="00DE53C0">
        <w:rPr>
          <w:sz w:val="22"/>
          <w:szCs w:val="22"/>
        </w:rPr>
        <w:t xml:space="preserve"> I </w:t>
      </w:r>
      <w:r w:rsidR="00BA0DA8" w:rsidRPr="00CF3D63">
        <w:rPr>
          <w:sz w:val="22"/>
          <w:szCs w:val="22"/>
        </w:rPr>
        <w:t xml:space="preserve">appreciate the opportunity to provide </w:t>
      </w:r>
      <w:r w:rsidR="00314217" w:rsidRPr="00CF3D63">
        <w:rPr>
          <w:sz w:val="22"/>
          <w:szCs w:val="22"/>
        </w:rPr>
        <w:t>c</w:t>
      </w:r>
      <w:r w:rsidR="00BA0DA8" w:rsidRPr="00CF3D63">
        <w:rPr>
          <w:sz w:val="22"/>
          <w:szCs w:val="22"/>
        </w:rPr>
        <w:t xml:space="preserve">omments </w:t>
      </w:r>
      <w:r w:rsidR="00CA3435" w:rsidRPr="00CF3D63">
        <w:rPr>
          <w:sz w:val="22"/>
          <w:szCs w:val="22"/>
        </w:rPr>
        <w:t xml:space="preserve">regarding </w:t>
      </w:r>
      <w:r w:rsidR="006A2724" w:rsidRPr="00CF3D63">
        <w:rPr>
          <w:sz w:val="22"/>
          <w:szCs w:val="22"/>
        </w:rPr>
        <w:t>APF 2019-34</w:t>
      </w:r>
      <w:r w:rsidR="00DE53C0">
        <w:rPr>
          <w:sz w:val="22"/>
          <w:szCs w:val="22"/>
        </w:rPr>
        <w:t>,</w:t>
      </w:r>
      <w:r w:rsidR="006A2724" w:rsidRPr="00CF3D63">
        <w:rPr>
          <w:sz w:val="22"/>
          <w:szCs w:val="22"/>
        </w:rPr>
        <w:t xml:space="preserve"> which was exposed by the </w:t>
      </w:r>
      <w:r w:rsidR="00DE53C0">
        <w:rPr>
          <w:sz w:val="22"/>
          <w:szCs w:val="22"/>
        </w:rPr>
        <w:t xml:space="preserve">National Association of Insurance Commissioners (NAIC) </w:t>
      </w:r>
      <w:r w:rsidR="006A2724" w:rsidRPr="00CF3D63">
        <w:rPr>
          <w:sz w:val="22"/>
          <w:szCs w:val="22"/>
        </w:rPr>
        <w:t>Life Actuarial (A) Task Force</w:t>
      </w:r>
      <w:r w:rsidR="00CE52C7" w:rsidRPr="00CF3D63">
        <w:rPr>
          <w:sz w:val="22"/>
          <w:szCs w:val="22"/>
        </w:rPr>
        <w:t xml:space="preserve"> (LATF)</w:t>
      </w:r>
      <w:r w:rsidR="009B4970" w:rsidRPr="00CF3D63">
        <w:rPr>
          <w:sz w:val="22"/>
          <w:szCs w:val="22"/>
        </w:rPr>
        <w:t xml:space="preserve"> during the Summer National Meeting.  </w:t>
      </w:r>
      <w:r w:rsidR="006A2724" w:rsidRPr="00CF3D63">
        <w:rPr>
          <w:sz w:val="22"/>
          <w:szCs w:val="22"/>
        </w:rPr>
        <w:t xml:space="preserve"> </w:t>
      </w:r>
    </w:p>
    <w:p w14:paraId="15F55F98" w14:textId="77777777" w:rsidR="00900F14" w:rsidRPr="00CF3D63" w:rsidRDefault="00900F14" w:rsidP="0081387A">
      <w:pPr>
        <w:rPr>
          <w:sz w:val="22"/>
          <w:szCs w:val="22"/>
        </w:rPr>
      </w:pPr>
    </w:p>
    <w:p w14:paraId="18D1F0F3" w14:textId="088EF5C4" w:rsidR="00CE52C7" w:rsidRPr="00CF3D63" w:rsidRDefault="00900F14" w:rsidP="0081387A">
      <w:pPr>
        <w:rPr>
          <w:sz w:val="22"/>
          <w:szCs w:val="22"/>
        </w:rPr>
      </w:pPr>
      <w:r w:rsidRPr="00CF3D63">
        <w:rPr>
          <w:sz w:val="22"/>
          <w:szCs w:val="22"/>
        </w:rPr>
        <w:t xml:space="preserve">AHIP </w:t>
      </w:r>
      <w:r w:rsidR="00A20D4A" w:rsidRPr="00CF3D63">
        <w:rPr>
          <w:sz w:val="22"/>
          <w:szCs w:val="22"/>
        </w:rPr>
        <w:t xml:space="preserve">and their member companies </w:t>
      </w:r>
      <w:r w:rsidR="00420FBC" w:rsidRPr="00CF3D63">
        <w:rPr>
          <w:sz w:val="22"/>
          <w:szCs w:val="22"/>
        </w:rPr>
        <w:t xml:space="preserve">appreciate the </w:t>
      </w:r>
      <w:r w:rsidR="009B4970" w:rsidRPr="00CF3D63">
        <w:rPr>
          <w:sz w:val="22"/>
          <w:szCs w:val="22"/>
        </w:rPr>
        <w:t xml:space="preserve">general </w:t>
      </w:r>
      <w:r w:rsidR="00420FBC" w:rsidRPr="00CF3D63">
        <w:rPr>
          <w:sz w:val="22"/>
          <w:szCs w:val="22"/>
        </w:rPr>
        <w:t xml:space="preserve">intent of the </w:t>
      </w:r>
      <w:r w:rsidR="009B4970" w:rsidRPr="00CF3D63">
        <w:rPr>
          <w:sz w:val="22"/>
          <w:szCs w:val="22"/>
        </w:rPr>
        <w:t xml:space="preserve">APF </w:t>
      </w:r>
      <w:r w:rsidR="00CE52C7" w:rsidRPr="00CF3D63">
        <w:rPr>
          <w:sz w:val="22"/>
          <w:szCs w:val="22"/>
        </w:rPr>
        <w:t xml:space="preserve">that was discussed by LATF during the National Meeting. </w:t>
      </w:r>
      <w:r w:rsidR="00ED7CFF">
        <w:rPr>
          <w:sz w:val="22"/>
          <w:szCs w:val="22"/>
        </w:rPr>
        <w:t>Specifically</w:t>
      </w:r>
      <w:r w:rsidR="00CE52C7" w:rsidRPr="00CF3D63">
        <w:rPr>
          <w:sz w:val="22"/>
          <w:szCs w:val="22"/>
        </w:rPr>
        <w:t xml:space="preserve">, we agree that it is important </w:t>
      </w:r>
      <w:r w:rsidR="009B4970" w:rsidRPr="00CF3D63">
        <w:rPr>
          <w:sz w:val="22"/>
          <w:szCs w:val="22"/>
        </w:rPr>
        <w:t xml:space="preserve">to </w:t>
      </w:r>
      <w:r w:rsidR="00ED7CFF">
        <w:rPr>
          <w:sz w:val="22"/>
          <w:szCs w:val="22"/>
        </w:rPr>
        <w:t>en</w:t>
      </w:r>
      <w:r w:rsidR="009B4970" w:rsidRPr="00CF3D63">
        <w:rPr>
          <w:sz w:val="22"/>
          <w:szCs w:val="22"/>
        </w:rPr>
        <w:t>sure that blocks subject to Modified Coinsurance are accounted for properly during asset adequacy analysis.</w:t>
      </w:r>
      <w:r w:rsidR="00CE52C7" w:rsidRPr="00CF3D63">
        <w:rPr>
          <w:sz w:val="22"/>
          <w:szCs w:val="22"/>
        </w:rPr>
        <w:t xml:space="preserve"> </w:t>
      </w:r>
      <w:r w:rsidR="00C37369">
        <w:rPr>
          <w:sz w:val="22"/>
          <w:szCs w:val="22"/>
        </w:rPr>
        <w:t>During the discussion of the APF, i</w:t>
      </w:r>
      <w:r w:rsidR="00CE52C7" w:rsidRPr="00CF3D63">
        <w:rPr>
          <w:sz w:val="22"/>
          <w:szCs w:val="22"/>
        </w:rPr>
        <w:t xml:space="preserve">t was suggested that it is sometimes </w:t>
      </w:r>
      <w:r w:rsidR="00C37369">
        <w:rPr>
          <w:sz w:val="22"/>
          <w:szCs w:val="22"/>
        </w:rPr>
        <w:t>unclear</w:t>
      </w:r>
      <w:r w:rsidR="00CE52C7" w:rsidRPr="00CF3D63">
        <w:rPr>
          <w:sz w:val="22"/>
          <w:szCs w:val="22"/>
        </w:rPr>
        <w:t xml:space="preserve"> which company, </w:t>
      </w:r>
      <w:r w:rsidR="000B6C06" w:rsidRPr="00CF3D63">
        <w:rPr>
          <w:sz w:val="22"/>
          <w:szCs w:val="22"/>
        </w:rPr>
        <w:t xml:space="preserve">or </w:t>
      </w:r>
      <w:r w:rsidR="00CE52C7" w:rsidRPr="00CF3D63">
        <w:rPr>
          <w:sz w:val="22"/>
          <w:szCs w:val="22"/>
        </w:rPr>
        <w:t>if either</w:t>
      </w:r>
      <w:r w:rsidR="000B6C06" w:rsidRPr="00CF3D63">
        <w:rPr>
          <w:sz w:val="22"/>
          <w:szCs w:val="22"/>
        </w:rPr>
        <w:t xml:space="preserve"> company</w:t>
      </w:r>
      <w:r w:rsidR="00CE52C7" w:rsidRPr="00CF3D63">
        <w:rPr>
          <w:sz w:val="22"/>
          <w:szCs w:val="22"/>
        </w:rPr>
        <w:t xml:space="preserve">, </w:t>
      </w:r>
      <w:r w:rsidR="000B6C06" w:rsidRPr="00CF3D63">
        <w:rPr>
          <w:sz w:val="22"/>
          <w:szCs w:val="22"/>
        </w:rPr>
        <w:t xml:space="preserve">has performed the necessary </w:t>
      </w:r>
      <w:r w:rsidR="003837B6" w:rsidRPr="00CF3D63">
        <w:rPr>
          <w:sz w:val="22"/>
          <w:szCs w:val="22"/>
        </w:rPr>
        <w:t xml:space="preserve">asset adequacy </w:t>
      </w:r>
      <w:r w:rsidR="000B6C06" w:rsidRPr="00CF3D63">
        <w:rPr>
          <w:sz w:val="22"/>
          <w:szCs w:val="22"/>
        </w:rPr>
        <w:t>analysis.</w:t>
      </w:r>
      <w:r w:rsidR="00CE52C7" w:rsidRPr="00CF3D63">
        <w:rPr>
          <w:sz w:val="22"/>
          <w:szCs w:val="22"/>
        </w:rPr>
        <w:t xml:space="preserve"> We agree that in the case of material blocks subject to Modified Coinsurance, it should be clearly stated whether the ceding or assuming company is performing the asset adequacy analysis.</w:t>
      </w:r>
    </w:p>
    <w:p w14:paraId="5265CA80" w14:textId="77777777" w:rsidR="00CE52C7" w:rsidRPr="00CF3D63" w:rsidRDefault="00CE52C7" w:rsidP="0081387A">
      <w:pPr>
        <w:rPr>
          <w:sz w:val="22"/>
          <w:szCs w:val="22"/>
        </w:rPr>
      </w:pPr>
    </w:p>
    <w:p w14:paraId="0D70750D" w14:textId="605DAC97" w:rsidR="00C35209" w:rsidRPr="00CF3D63" w:rsidRDefault="00C37369" w:rsidP="0081387A">
      <w:pPr>
        <w:rPr>
          <w:sz w:val="22"/>
          <w:szCs w:val="22"/>
        </w:rPr>
      </w:pPr>
      <w:r>
        <w:rPr>
          <w:sz w:val="22"/>
          <w:szCs w:val="22"/>
        </w:rPr>
        <w:t>As</w:t>
      </w:r>
      <w:r w:rsidR="00C35209" w:rsidRPr="00CF3D63">
        <w:rPr>
          <w:sz w:val="22"/>
          <w:szCs w:val="22"/>
        </w:rPr>
        <w:t xml:space="preserve"> currently drafted, </w:t>
      </w:r>
      <w:r w:rsidR="009B4970" w:rsidRPr="00CF3D63">
        <w:rPr>
          <w:sz w:val="22"/>
          <w:szCs w:val="22"/>
        </w:rPr>
        <w:t xml:space="preserve">the APF </w:t>
      </w:r>
      <w:r w:rsidR="00873CBC" w:rsidRPr="00CF3D63">
        <w:rPr>
          <w:sz w:val="22"/>
          <w:szCs w:val="22"/>
        </w:rPr>
        <w:t xml:space="preserve">appears to be </w:t>
      </w:r>
      <w:r w:rsidR="00245044" w:rsidRPr="00CF3D63">
        <w:rPr>
          <w:sz w:val="22"/>
          <w:szCs w:val="22"/>
        </w:rPr>
        <w:t xml:space="preserve">suggesting </w:t>
      </w:r>
      <w:r w:rsidR="00C35209" w:rsidRPr="00CF3D63">
        <w:rPr>
          <w:sz w:val="22"/>
          <w:szCs w:val="22"/>
        </w:rPr>
        <w:t>that ceding companies must perform this analysis on such blocks for which they have fully reinsured the risk.</w:t>
      </w:r>
      <w:r w:rsidR="004C5D7F">
        <w:rPr>
          <w:sz w:val="22"/>
          <w:szCs w:val="22"/>
        </w:rPr>
        <w:t xml:space="preserve"> AHIP has several </w:t>
      </w:r>
      <w:r w:rsidR="00DF723A" w:rsidRPr="00CF3D63">
        <w:rPr>
          <w:sz w:val="22"/>
          <w:szCs w:val="22"/>
        </w:rPr>
        <w:t>concerns regarding the current draft of APF 2019-34:</w:t>
      </w:r>
    </w:p>
    <w:p w14:paraId="63FABCC6" w14:textId="77777777" w:rsidR="00F23631" w:rsidRPr="00CF3D63" w:rsidRDefault="00F23631" w:rsidP="0081387A">
      <w:pPr>
        <w:rPr>
          <w:sz w:val="22"/>
          <w:szCs w:val="22"/>
        </w:rPr>
      </w:pPr>
    </w:p>
    <w:p w14:paraId="5BD53F7A" w14:textId="154B34AD" w:rsidR="00DF723A" w:rsidRPr="0081387A" w:rsidRDefault="00DF723A" w:rsidP="0081387A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81387A">
        <w:rPr>
          <w:sz w:val="22"/>
          <w:szCs w:val="22"/>
        </w:rPr>
        <w:t>The wording in the second paragraph of the Guidance Note</w:t>
      </w:r>
      <w:r w:rsidR="00E175D2" w:rsidRPr="0081387A">
        <w:rPr>
          <w:sz w:val="22"/>
          <w:szCs w:val="22"/>
        </w:rPr>
        <w:t xml:space="preserve"> appears inconsistent with current VM-30, Sections 3.A.</w:t>
      </w:r>
      <w:r w:rsidR="00245044" w:rsidRPr="0081387A">
        <w:rPr>
          <w:sz w:val="22"/>
          <w:szCs w:val="22"/>
        </w:rPr>
        <w:t>6</w:t>
      </w:r>
      <w:r w:rsidR="00E175D2" w:rsidRPr="0081387A">
        <w:rPr>
          <w:sz w:val="22"/>
          <w:szCs w:val="22"/>
        </w:rPr>
        <w:t xml:space="preserve"> and</w:t>
      </w:r>
      <w:r w:rsidR="00245044" w:rsidRPr="0081387A">
        <w:rPr>
          <w:sz w:val="22"/>
          <w:szCs w:val="22"/>
        </w:rPr>
        <w:t xml:space="preserve"> 3.B</w:t>
      </w:r>
      <w:r w:rsidR="00873CBC" w:rsidRPr="0081387A">
        <w:rPr>
          <w:sz w:val="22"/>
          <w:szCs w:val="22"/>
        </w:rPr>
        <w:t>. These referenced sections of VM-30 do allow for the appointed actuary to: a) rely upon other experts for data, assumptions, projections</w:t>
      </w:r>
      <w:r w:rsidR="005628A6">
        <w:rPr>
          <w:sz w:val="22"/>
          <w:szCs w:val="22"/>
        </w:rPr>
        <w:t>,</w:t>
      </w:r>
      <w:r w:rsidR="00873CBC" w:rsidRPr="0081387A">
        <w:rPr>
          <w:sz w:val="22"/>
          <w:szCs w:val="22"/>
        </w:rPr>
        <w:t xml:space="preserve"> and analysis, and b) rely on and include as a part of his or her own memorandum, memoranda prepared and signed by other actuaries who are qualified.   </w:t>
      </w:r>
    </w:p>
    <w:p w14:paraId="2380B46A" w14:textId="1F6B738C" w:rsidR="00F23631" w:rsidRPr="0081387A" w:rsidRDefault="00F23631" w:rsidP="0081387A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81387A">
        <w:rPr>
          <w:sz w:val="22"/>
          <w:szCs w:val="22"/>
        </w:rPr>
        <w:t xml:space="preserve">The first paragraph of the Guidance Note </w:t>
      </w:r>
      <w:r w:rsidR="001B1961">
        <w:rPr>
          <w:sz w:val="22"/>
          <w:szCs w:val="22"/>
        </w:rPr>
        <w:t>includes</w:t>
      </w:r>
      <w:r w:rsidRPr="0081387A">
        <w:rPr>
          <w:sz w:val="22"/>
          <w:szCs w:val="22"/>
        </w:rPr>
        <w:t xml:space="preserve"> a sentence that states: </w:t>
      </w:r>
      <w:r w:rsidR="001B1961">
        <w:rPr>
          <w:sz w:val="22"/>
          <w:szCs w:val="22"/>
        </w:rPr>
        <w:t>“</w:t>
      </w:r>
      <w:r w:rsidRPr="0081387A">
        <w:rPr>
          <w:sz w:val="22"/>
          <w:szCs w:val="22"/>
        </w:rPr>
        <w:t xml:space="preserve">The result of the asset adequacy analysis must be reported in the ceding company’s actuarial </w:t>
      </w:r>
      <w:r w:rsidR="000B6C06" w:rsidRPr="0081387A">
        <w:rPr>
          <w:sz w:val="22"/>
          <w:szCs w:val="22"/>
        </w:rPr>
        <w:t>m</w:t>
      </w:r>
      <w:r w:rsidRPr="0081387A">
        <w:rPr>
          <w:sz w:val="22"/>
          <w:szCs w:val="22"/>
        </w:rPr>
        <w:t>emorandum.</w:t>
      </w:r>
      <w:r w:rsidR="001B1961">
        <w:rPr>
          <w:sz w:val="22"/>
          <w:szCs w:val="22"/>
        </w:rPr>
        <w:t>”</w:t>
      </w:r>
      <w:r w:rsidRPr="0081387A">
        <w:rPr>
          <w:sz w:val="22"/>
          <w:szCs w:val="22"/>
        </w:rPr>
        <w:t xml:space="preserve"> It should be noted that the assuming company’s analysis may not be always be </w:t>
      </w:r>
      <w:r w:rsidR="00873CBC" w:rsidRPr="0081387A">
        <w:rPr>
          <w:sz w:val="22"/>
          <w:szCs w:val="22"/>
        </w:rPr>
        <w:t xml:space="preserve">administratively </w:t>
      </w:r>
      <w:r w:rsidRPr="0081387A">
        <w:rPr>
          <w:sz w:val="22"/>
          <w:szCs w:val="22"/>
        </w:rPr>
        <w:t>available in a timely manner for inclusion in the ceding company’s actuarial memorandum.</w:t>
      </w:r>
    </w:p>
    <w:p w14:paraId="76B021DA" w14:textId="3DBD4D7C" w:rsidR="00C35209" w:rsidRPr="00CF3D63" w:rsidRDefault="00C35209" w:rsidP="0081387A">
      <w:pPr>
        <w:rPr>
          <w:sz w:val="22"/>
          <w:szCs w:val="22"/>
        </w:rPr>
      </w:pPr>
      <w:r w:rsidRPr="00CF3D63">
        <w:rPr>
          <w:sz w:val="22"/>
          <w:szCs w:val="22"/>
        </w:rPr>
        <w:lastRenderedPageBreak/>
        <w:t>Please note that the</w:t>
      </w:r>
      <w:r w:rsidR="003837B6" w:rsidRPr="00CF3D63">
        <w:rPr>
          <w:sz w:val="22"/>
          <w:szCs w:val="22"/>
        </w:rPr>
        <w:t xml:space="preserve"> topic of Modified Coinsurance blocks is addressed in the</w:t>
      </w:r>
      <w:r w:rsidRPr="00CF3D63">
        <w:rPr>
          <w:sz w:val="22"/>
          <w:szCs w:val="22"/>
        </w:rPr>
        <w:t xml:space="preserve"> American Academy of Actuaries</w:t>
      </w:r>
      <w:r w:rsidR="008F477B">
        <w:rPr>
          <w:sz w:val="22"/>
          <w:szCs w:val="22"/>
        </w:rPr>
        <w:t>’</w:t>
      </w:r>
      <w:r w:rsidRPr="00CF3D63">
        <w:rPr>
          <w:sz w:val="22"/>
          <w:szCs w:val="22"/>
        </w:rPr>
        <w:t xml:space="preserve"> </w:t>
      </w:r>
      <w:hyperlink r:id="rId12" w:history="1">
        <w:r w:rsidRPr="00060AC6">
          <w:rPr>
            <w:rStyle w:val="Hyperlink"/>
            <w:sz w:val="22"/>
            <w:szCs w:val="22"/>
          </w:rPr>
          <w:t>Practice Note on Asset Adequacy Analysis</w:t>
        </w:r>
      </w:hyperlink>
      <w:r w:rsidRPr="00CF3D63">
        <w:rPr>
          <w:sz w:val="22"/>
          <w:szCs w:val="22"/>
        </w:rPr>
        <w:t xml:space="preserve">. Page 32 of the Practice Note </w:t>
      </w:r>
      <w:r w:rsidR="00060AC6">
        <w:rPr>
          <w:sz w:val="22"/>
          <w:szCs w:val="22"/>
        </w:rPr>
        <w:t>includes</w:t>
      </w:r>
      <w:r w:rsidRPr="00CF3D63">
        <w:rPr>
          <w:sz w:val="22"/>
          <w:szCs w:val="22"/>
        </w:rPr>
        <w:t xml:space="preserve"> the following Q&amp;A</w:t>
      </w:r>
      <w:r w:rsidR="003837B6" w:rsidRPr="00CF3D63">
        <w:rPr>
          <w:sz w:val="22"/>
          <w:szCs w:val="22"/>
        </w:rPr>
        <w:t xml:space="preserve"> on this topic</w:t>
      </w:r>
      <w:r w:rsidRPr="00CF3D63">
        <w:rPr>
          <w:sz w:val="22"/>
          <w:szCs w:val="22"/>
        </w:rPr>
        <w:t xml:space="preserve">: </w:t>
      </w:r>
    </w:p>
    <w:p w14:paraId="16F06315" w14:textId="77777777" w:rsidR="00C35209" w:rsidRPr="00CF3D63" w:rsidRDefault="00C35209" w:rsidP="0081387A">
      <w:pPr>
        <w:rPr>
          <w:sz w:val="22"/>
          <w:szCs w:val="22"/>
        </w:rPr>
      </w:pPr>
    </w:p>
    <w:p w14:paraId="09A13C2E" w14:textId="77777777" w:rsidR="00C35209" w:rsidRPr="00CF3D63" w:rsidRDefault="00C35209" w:rsidP="008548F3">
      <w:pPr>
        <w:ind w:left="1080"/>
        <w:rPr>
          <w:b/>
          <w:bCs/>
          <w:sz w:val="22"/>
          <w:szCs w:val="22"/>
        </w:rPr>
      </w:pPr>
      <w:r w:rsidRPr="00CF3D63">
        <w:rPr>
          <w:b/>
          <w:bCs/>
          <w:sz w:val="22"/>
          <w:szCs w:val="22"/>
        </w:rPr>
        <w:t>Q31. How is modified coinsurance treated in asset adequacy analysis?</w:t>
      </w:r>
    </w:p>
    <w:p w14:paraId="098E7918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The AOMR focuses on whether reserves are included or excluded from the analysis.</w:t>
      </w:r>
    </w:p>
    <w:p w14:paraId="39C85307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However, in the case of modified coinsurance, the risks and the potential profits and losses</w:t>
      </w:r>
    </w:p>
    <w:p w14:paraId="55260E0E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may not accrue to the same statutory entity that holds the reserves on its balance sheet.</w:t>
      </w:r>
    </w:p>
    <w:p w14:paraId="2FF6191C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Many actuaries believe it is preferable for the asset adequacy analysis to occur in the</w:t>
      </w:r>
    </w:p>
    <w:p w14:paraId="0F2E21D7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statutory entity where the risks are present. This might mean performing CFT on assumed</w:t>
      </w:r>
    </w:p>
    <w:p w14:paraId="77D4E056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modified coinsurance, even though the assuming company does not hold the reserve</w:t>
      </w:r>
    </w:p>
    <w:p w14:paraId="3CAF3C07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balance or the assets on its balance sheet. Conversely, it might mean not performing CFT</w:t>
      </w:r>
    </w:p>
    <w:p w14:paraId="299EAAE4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on ceded modified coinsurance even though the reserves and assets are reported on the</w:t>
      </w:r>
    </w:p>
    <w:p w14:paraId="470EB835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ceding company’s balance sheet. Nevertheless, this does not necessarily mean that those</w:t>
      </w:r>
    </w:p>
    <w:p w14:paraId="1ABD98C1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reserves are excluded from asset adequacy analysis. They might be reported in the opinion</w:t>
      </w:r>
    </w:p>
    <w:p w14:paraId="7699F33C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as being included in the analysis but as representing minimal asset risk (because the risks</w:t>
      </w:r>
    </w:p>
    <w:p w14:paraId="0B153DCF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have been ceded to another company). Although the ceding company may not have to</w:t>
      </w:r>
    </w:p>
    <w:p w14:paraId="48F0EF29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perform CFT on ceded modified coinsurance, some actuaries do review the rating and the</w:t>
      </w:r>
    </w:p>
    <w:p w14:paraId="5E13E43D" w14:textId="7777777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CFT work done by the assuming company to confirm that the risk to the ceding company</w:t>
      </w:r>
    </w:p>
    <w:p w14:paraId="237006E3" w14:textId="3C27EB07" w:rsidR="00C35209" w:rsidRPr="00CF3D63" w:rsidRDefault="00C35209" w:rsidP="008548F3">
      <w:pPr>
        <w:ind w:left="1080"/>
        <w:rPr>
          <w:sz w:val="22"/>
          <w:szCs w:val="22"/>
        </w:rPr>
      </w:pPr>
      <w:r w:rsidRPr="00CF3D63">
        <w:rPr>
          <w:sz w:val="22"/>
          <w:szCs w:val="22"/>
        </w:rPr>
        <w:t>is indeed minimal.</w:t>
      </w:r>
    </w:p>
    <w:p w14:paraId="631AC661" w14:textId="36DE77C6" w:rsidR="00C35209" w:rsidRPr="00CF3D63" w:rsidRDefault="00C35209" w:rsidP="0081387A">
      <w:pPr>
        <w:rPr>
          <w:sz w:val="22"/>
          <w:szCs w:val="22"/>
        </w:rPr>
      </w:pPr>
    </w:p>
    <w:p w14:paraId="0FA5A9FE" w14:textId="15D53B08" w:rsidR="00873CBC" w:rsidRPr="00CF3D63" w:rsidRDefault="008E5C7E" w:rsidP="006012D8">
      <w:pPr>
        <w:rPr>
          <w:sz w:val="22"/>
          <w:szCs w:val="22"/>
        </w:rPr>
      </w:pPr>
      <w:r w:rsidRPr="00CF3D63">
        <w:rPr>
          <w:sz w:val="22"/>
          <w:szCs w:val="22"/>
        </w:rPr>
        <w:t>T</w:t>
      </w:r>
      <w:r w:rsidR="00873CBC" w:rsidRPr="00CF3D63">
        <w:rPr>
          <w:sz w:val="22"/>
          <w:szCs w:val="22"/>
        </w:rPr>
        <w:t>he Academy</w:t>
      </w:r>
      <w:r w:rsidR="006012D8">
        <w:rPr>
          <w:sz w:val="22"/>
          <w:szCs w:val="22"/>
        </w:rPr>
        <w:t>’s</w:t>
      </w:r>
      <w:r w:rsidR="00873CBC" w:rsidRPr="00CF3D63">
        <w:rPr>
          <w:sz w:val="22"/>
          <w:szCs w:val="22"/>
        </w:rPr>
        <w:t xml:space="preserve"> Practice Note </w:t>
      </w:r>
      <w:r w:rsidRPr="00CF3D63">
        <w:rPr>
          <w:sz w:val="22"/>
          <w:szCs w:val="22"/>
        </w:rPr>
        <w:t xml:space="preserve">acknowledges that many actuaries believe the asset adequacy analysis should occur in the entity where the risks are present. </w:t>
      </w:r>
      <w:r w:rsidR="006012D8">
        <w:rPr>
          <w:sz w:val="22"/>
          <w:szCs w:val="22"/>
        </w:rPr>
        <w:t>To</w:t>
      </w:r>
      <w:r w:rsidRPr="00CF3D63">
        <w:rPr>
          <w:sz w:val="22"/>
          <w:szCs w:val="22"/>
        </w:rPr>
        <w:t xml:space="preserve"> </w:t>
      </w:r>
      <w:r w:rsidR="003837B6" w:rsidRPr="00CF3D63">
        <w:rPr>
          <w:sz w:val="22"/>
          <w:szCs w:val="22"/>
        </w:rPr>
        <w:t xml:space="preserve">both </w:t>
      </w:r>
      <w:r w:rsidRPr="00CF3D63">
        <w:rPr>
          <w:sz w:val="22"/>
          <w:szCs w:val="22"/>
        </w:rPr>
        <w:t xml:space="preserve">satisfy the previously </w:t>
      </w:r>
      <w:r w:rsidR="003837B6" w:rsidRPr="00CF3D63">
        <w:rPr>
          <w:sz w:val="22"/>
          <w:szCs w:val="22"/>
        </w:rPr>
        <w:t>LATF-</w:t>
      </w:r>
      <w:r w:rsidRPr="00CF3D63">
        <w:rPr>
          <w:sz w:val="22"/>
          <w:szCs w:val="22"/>
        </w:rPr>
        <w:t xml:space="preserve">discussed intent and maintain consistency with the Practice Note, </w:t>
      </w:r>
      <w:r w:rsidR="000B6C06" w:rsidRPr="00CF3D63">
        <w:rPr>
          <w:sz w:val="22"/>
          <w:szCs w:val="22"/>
        </w:rPr>
        <w:t xml:space="preserve">we </w:t>
      </w:r>
      <w:r w:rsidR="006012D8">
        <w:rPr>
          <w:sz w:val="22"/>
          <w:szCs w:val="22"/>
        </w:rPr>
        <w:t>recommend</w:t>
      </w:r>
      <w:r w:rsidR="000B6C06" w:rsidRPr="00CF3D63">
        <w:rPr>
          <w:sz w:val="22"/>
          <w:szCs w:val="22"/>
        </w:rPr>
        <w:t xml:space="preserve"> </w:t>
      </w:r>
      <w:r w:rsidR="006012D8">
        <w:rPr>
          <w:sz w:val="22"/>
          <w:szCs w:val="22"/>
        </w:rPr>
        <w:t>revising</w:t>
      </w:r>
      <w:r w:rsidR="000B6C06" w:rsidRPr="00CF3D63">
        <w:rPr>
          <w:sz w:val="22"/>
          <w:szCs w:val="22"/>
        </w:rPr>
        <w:t xml:space="preserve"> Section 4 of the APF as follows:</w:t>
      </w:r>
    </w:p>
    <w:p w14:paraId="531EDB7B" w14:textId="77777777" w:rsidR="00C35209" w:rsidRPr="00CF3D63" w:rsidRDefault="00C35209" w:rsidP="006012D8">
      <w:pPr>
        <w:rPr>
          <w:sz w:val="22"/>
          <w:szCs w:val="22"/>
        </w:rPr>
      </w:pPr>
    </w:p>
    <w:p w14:paraId="005BC033" w14:textId="46464A4D" w:rsidR="00F23631" w:rsidRPr="006012D8" w:rsidRDefault="00F23631" w:rsidP="006012D8">
      <w:pPr>
        <w:jc w:val="both"/>
        <w:rPr>
          <w:color w:val="C00000"/>
          <w:sz w:val="22"/>
          <w:szCs w:val="22"/>
        </w:rPr>
      </w:pPr>
      <w:r w:rsidRPr="006012D8">
        <w:rPr>
          <w:color w:val="C00000"/>
          <w:sz w:val="22"/>
          <w:szCs w:val="22"/>
        </w:rPr>
        <w:t>Section 4:  Modified Coinsurance Reserves</w:t>
      </w:r>
    </w:p>
    <w:p w14:paraId="5AE916F4" w14:textId="77777777" w:rsidR="00F23631" w:rsidRPr="006012D8" w:rsidRDefault="00F23631" w:rsidP="006012D8">
      <w:pPr>
        <w:jc w:val="both"/>
        <w:rPr>
          <w:color w:val="C00000"/>
          <w:sz w:val="22"/>
          <w:szCs w:val="22"/>
        </w:rPr>
      </w:pPr>
    </w:p>
    <w:p w14:paraId="3B2271D9" w14:textId="7F5FCAA6" w:rsidR="00F23631" w:rsidRPr="006012D8" w:rsidRDefault="00F23631" w:rsidP="006012D8">
      <w:pPr>
        <w:ind w:left="1080" w:hanging="360"/>
        <w:jc w:val="both"/>
        <w:rPr>
          <w:color w:val="C00000"/>
          <w:sz w:val="22"/>
          <w:szCs w:val="22"/>
        </w:rPr>
      </w:pPr>
      <w:r w:rsidRPr="006012D8">
        <w:rPr>
          <w:color w:val="C00000"/>
          <w:sz w:val="22"/>
          <w:szCs w:val="22"/>
        </w:rPr>
        <w:t xml:space="preserve">1.  </w:t>
      </w:r>
      <w:r w:rsidR="0010322B" w:rsidRPr="006012D8">
        <w:rPr>
          <w:color w:val="C00000"/>
          <w:sz w:val="22"/>
          <w:szCs w:val="22"/>
        </w:rPr>
        <w:t>Reserves for a</w:t>
      </w:r>
      <w:r w:rsidRPr="006012D8">
        <w:rPr>
          <w:color w:val="C00000"/>
          <w:sz w:val="22"/>
          <w:szCs w:val="22"/>
        </w:rPr>
        <w:t xml:space="preserve"> </w:t>
      </w:r>
      <w:r w:rsidR="008E5C7E" w:rsidRPr="006012D8">
        <w:rPr>
          <w:color w:val="C00000"/>
          <w:sz w:val="22"/>
          <w:szCs w:val="22"/>
        </w:rPr>
        <w:t xml:space="preserve">material </w:t>
      </w:r>
      <w:r w:rsidRPr="006012D8">
        <w:rPr>
          <w:color w:val="C00000"/>
          <w:sz w:val="22"/>
          <w:szCs w:val="22"/>
        </w:rPr>
        <w:t xml:space="preserve">block of business that </w:t>
      </w:r>
      <w:r w:rsidR="008E5C7E" w:rsidRPr="006012D8">
        <w:rPr>
          <w:color w:val="C00000"/>
          <w:sz w:val="22"/>
          <w:szCs w:val="22"/>
        </w:rPr>
        <w:t>is reinsured</w:t>
      </w:r>
      <w:r w:rsidRPr="006012D8">
        <w:rPr>
          <w:color w:val="C00000"/>
          <w:sz w:val="22"/>
          <w:szCs w:val="22"/>
        </w:rPr>
        <w:t xml:space="preserve"> under a modified coinsurance agreement</w:t>
      </w:r>
      <w:r w:rsidR="008E5C7E" w:rsidRPr="006012D8">
        <w:rPr>
          <w:color w:val="C00000"/>
          <w:sz w:val="22"/>
          <w:szCs w:val="22"/>
        </w:rPr>
        <w:t xml:space="preserve"> remain subject to asset adequacy analysis (Section 3.B).  </w:t>
      </w:r>
      <w:r w:rsidRPr="006012D8">
        <w:rPr>
          <w:color w:val="C00000"/>
          <w:sz w:val="22"/>
          <w:szCs w:val="22"/>
        </w:rPr>
        <w:t xml:space="preserve"> </w:t>
      </w:r>
    </w:p>
    <w:p w14:paraId="33766694" w14:textId="77777777" w:rsidR="00F23631" w:rsidRPr="006012D8" w:rsidRDefault="00F23631" w:rsidP="006012D8">
      <w:pPr>
        <w:jc w:val="both"/>
        <w:rPr>
          <w:color w:val="C00000"/>
          <w:sz w:val="22"/>
          <w:szCs w:val="22"/>
        </w:rPr>
      </w:pPr>
    </w:p>
    <w:p w14:paraId="4A1A682C" w14:textId="5EE6E7D2" w:rsidR="00F23631" w:rsidRPr="006012D8" w:rsidRDefault="00F23631" w:rsidP="006012D8">
      <w:pPr>
        <w:ind w:left="1080" w:hanging="360"/>
        <w:jc w:val="both"/>
        <w:rPr>
          <w:color w:val="C00000"/>
          <w:sz w:val="22"/>
          <w:szCs w:val="22"/>
        </w:rPr>
      </w:pPr>
      <w:r w:rsidRPr="006012D8">
        <w:rPr>
          <w:color w:val="C00000"/>
          <w:sz w:val="22"/>
          <w:szCs w:val="22"/>
        </w:rPr>
        <w:t xml:space="preserve">2.  </w:t>
      </w:r>
      <w:r w:rsidR="00FD61AC" w:rsidRPr="006012D8">
        <w:rPr>
          <w:color w:val="C00000"/>
          <w:sz w:val="22"/>
          <w:szCs w:val="22"/>
        </w:rPr>
        <w:t xml:space="preserve"> </w:t>
      </w:r>
      <w:r w:rsidR="0010322B" w:rsidRPr="006012D8">
        <w:rPr>
          <w:color w:val="C00000"/>
          <w:sz w:val="22"/>
          <w:szCs w:val="22"/>
        </w:rPr>
        <w:t xml:space="preserve">The asset adequacy analysis for such blocks may be </w:t>
      </w:r>
      <w:r w:rsidR="003E2432" w:rsidRPr="006012D8">
        <w:rPr>
          <w:color w:val="C00000"/>
          <w:sz w:val="22"/>
          <w:szCs w:val="22"/>
        </w:rPr>
        <w:t xml:space="preserve">performed by either the ceding company or the assuming company.  The actuarial memorandum for both the ceding and assuming companies should clearly state which entity is performing the analysis. </w:t>
      </w:r>
    </w:p>
    <w:p w14:paraId="721B3506" w14:textId="77777777" w:rsidR="00F23631" w:rsidRPr="006012D8" w:rsidRDefault="00F23631" w:rsidP="006012D8">
      <w:pPr>
        <w:jc w:val="both"/>
        <w:rPr>
          <w:color w:val="C00000"/>
          <w:sz w:val="22"/>
          <w:szCs w:val="22"/>
        </w:rPr>
      </w:pPr>
      <w:r w:rsidRPr="006012D8">
        <w:rPr>
          <w:color w:val="C00000"/>
          <w:sz w:val="22"/>
          <w:szCs w:val="22"/>
        </w:rPr>
        <w:tab/>
      </w:r>
      <w:r w:rsidRPr="006012D8">
        <w:rPr>
          <w:color w:val="C00000"/>
          <w:sz w:val="22"/>
          <w:szCs w:val="22"/>
        </w:rPr>
        <w:tab/>
      </w:r>
    </w:p>
    <w:p w14:paraId="0FBCE77D" w14:textId="4633355C" w:rsidR="00F23631" w:rsidRPr="006012D8" w:rsidRDefault="00F23631" w:rsidP="006012D8">
      <w:pPr>
        <w:ind w:left="2160"/>
        <w:jc w:val="both"/>
        <w:rPr>
          <w:color w:val="C00000"/>
          <w:sz w:val="22"/>
          <w:szCs w:val="22"/>
        </w:rPr>
      </w:pPr>
      <w:r w:rsidRPr="006012D8">
        <w:rPr>
          <w:b/>
          <w:color w:val="C00000"/>
          <w:sz w:val="22"/>
          <w:szCs w:val="22"/>
        </w:rPr>
        <w:t xml:space="preserve">Guidance Note:  </w:t>
      </w:r>
      <w:r w:rsidR="003E2432" w:rsidRPr="006012D8">
        <w:rPr>
          <w:color w:val="C00000"/>
          <w:sz w:val="22"/>
          <w:szCs w:val="22"/>
        </w:rPr>
        <w:t xml:space="preserve">In accordance </w:t>
      </w:r>
      <w:r w:rsidRPr="006012D8">
        <w:rPr>
          <w:color w:val="C00000"/>
          <w:sz w:val="22"/>
          <w:szCs w:val="22"/>
        </w:rPr>
        <w:t>with Section 3.A.6, the appointed actuary may</w:t>
      </w:r>
      <w:r w:rsidR="00FD61AC" w:rsidRPr="006012D8">
        <w:rPr>
          <w:color w:val="C00000"/>
          <w:sz w:val="22"/>
          <w:szCs w:val="22"/>
        </w:rPr>
        <w:t xml:space="preserve"> </w:t>
      </w:r>
      <w:r w:rsidRPr="006012D8">
        <w:rPr>
          <w:color w:val="C00000"/>
          <w:sz w:val="22"/>
          <w:szCs w:val="22"/>
        </w:rPr>
        <w:t xml:space="preserve">rely on </w:t>
      </w:r>
      <w:r w:rsidR="003E2432" w:rsidRPr="006012D8">
        <w:rPr>
          <w:color w:val="C00000"/>
          <w:sz w:val="22"/>
          <w:szCs w:val="22"/>
        </w:rPr>
        <w:t>other experts</w:t>
      </w:r>
      <w:r w:rsidRPr="006012D8">
        <w:rPr>
          <w:color w:val="C00000"/>
          <w:sz w:val="22"/>
          <w:szCs w:val="22"/>
        </w:rPr>
        <w:t xml:space="preserve"> for data, assumptions</w:t>
      </w:r>
      <w:r w:rsidR="003E2432" w:rsidRPr="006012D8">
        <w:rPr>
          <w:color w:val="C00000"/>
          <w:sz w:val="22"/>
          <w:szCs w:val="22"/>
        </w:rPr>
        <w:t xml:space="preserve">, projections and analysis.  </w:t>
      </w:r>
      <w:r w:rsidRPr="006012D8">
        <w:rPr>
          <w:color w:val="C00000"/>
          <w:sz w:val="22"/>
          <w:szCs w:val="22"/>
        </w:rPr>
        <w:t>Similarly, in accordance with Section</w:t>
      </w:r>
      <w:r w:rsidR="00FD61AC" w:rsidRPr="006012D8">
        <w:rPr>
          <w:color w:val="C00000"/>
          <w:sz w:val="22"/>
          <w:szCs w:val="22"/>
        </w:rPr>
        <w:t xml:space="preserve"> </w:t>
      </w:r>
      <w:r w:rsidRPr="006012D8">
        <w:rPr>
          <w:color w:val="C00000"/>
          <w:sz w:val="22"/>
          <w:szCs w:val="22"/>
        </w:rPr>
        <w:t>3.B.2,</w:t>
      </w:r>
      <w:r w:rsidR="00FD61AC" w:rsidRPr="006012D8">
        <w:rPr>
          <w:color w:val="C00000"/>
          <w:sz w:val="22"/>
          <w:szCs w:val="22"/>
        </w:rPr>
        <w:t xml:space="preserve"> </w:t>
      </w:r>
      <w:r w:rsidR="0042648A" w:rsidRPr="006012D8">
        <w:rPr>
          <w:color w:val="C00000"/>
          <w:sz w:val="22"/>
          <w:szCs w:val="22"/>
        </w:rPr>
        <w:t>the</w:t>
      </w:r>
      <w:r w:rsidRPr="006012D8">
        <w:rPr>
          <w:color w:val="C00000"/>
          <w:sz w:val="22"/>
          <w:szCs w:val="22"/>
        </w:rPr>
        <w:t xml:space="preserve"> appointed actuary may rely on</w:t>
      </w:r>
      <w:r w:rsidR="0042648A" w:rsidRPr="006012D8">
        <w:rPr>
          <w:color w:val="C00000"/>
          <w:sz w:val="22"/>
          <w:szCs w:val="22"/>
        </w:rPr>
        <w:t xml:space="preserve">, and include as a part of his or her own memorandum, memoranda prepared and signed by other qualified actuaries.  </w:t>
      </w:r>
    </w:p>
    <w:p w14:paraId="2D963DC4" w14:textId="518E3AA3" w:rsidR="00BF7971" w:rsidRPr="00CF3D63" w:rsidRDefault="00BF7971" w:rsidP="006012D8">
      <w:pPr>
        <w:pStyle w:val="Default"/>
        <w:tabs>
          <w:tab w:val="center" w:pos="4680"/>
        </w:tabs>
        <w:rPr>
          <w:color w:val="auto"/>
          <w:sz w:val="22"/>
          <w:szCs w:val="22"/>
        </w:rPr>
      </w:pPr>
    </w:p>
    <w:p w14:paraId="27049429" w14:textId="59B3BE3D" w:rsidR="00422784" w:rsidRPr="00CF3D63" w:rsidRDefault="00970254" w:rsidP="006012D8">
      <w:pPr>
        <w:pStyle w:val="Default"/>
        <w:rPr>
          <w:sz w:val="22"/>
          <w:szCs w:val="22"/>
        </w:rPr>
      </w:pPr>
      <w:r w:rsidRPr="00CF3D63">
        <w:rPr>
          <w:sz w:val="22"/>
          <w:szCs w:val="22"/>
        </w:rPr>
        <w:t xml:space="preserve">We </w:t>
      </w:r>
      <w:r w:rsidR="00900F14" w:rsidRPr="00CF3D63">
        <w:rPr>
          <w:sz w:val="22"/>
          <w:szCs w:val="22"/>
        </w:rPr>
        <w:t>thank you for your consideration of these comment</w:t>
      </w:r>
      <w:r w:rsidR="00031AFA" w:rsidRPr="00CF3D63">
        <w:rPr>
          <w:sz w:val="22"/>
          <w:szCs w:val="22"/>
        </w:rPr>
        <w:t>s</w:t>
      </w:r>
      <w:r w:rsidR="00900F14" w:rsidRPr="00CF3D63">
        <w:rPr>
          <w:sz w:val="22"/>
          <w:szCs w:val="22"/>
        </w:rPr>
        <w:t xml:space="preserve"> and </w:t>
      </w:r>
      <w:r w:rsidRPr="00CF3D63">
        <w:rPr>
          <w:sz w:val="22"/>
          <w:szCs w:val="22"/>
        </w:rPr>
        <w:t xml:space="preserve">would be happy to address any questions the </w:t>
      </w:r>
      <w:r w:rsidR="00900F14" w:rsidRPr="00CF3D63">
        <w:rPr>
          <w:sz w:val="22"/>
          <w:szCs w:val="22"/>
        </w:rPr>
        <w:t>Task Force may have</w:t>
      </w:r>
      <w:r w:rsidRPr="00CF3D63">
        <w:rPr>
          <w:sz w:val="22"/>
          <w:szCs w:val="22"/>
        </w:rPr>
        <w:t>.</w:t>
      </w:r>
    </w:p>
    <w:p w14:paraId="75B4C341" w14:textId="77777777" w:rsidR="00422784" w:rsidRPr="00CF3D63" w:rsidRDefault="00422784" w:rsidP="0081387A">
      <w:pPr>
        <w:pStyle w:val="Default"/>
        <w:rPr>
          <w:sz w:val="22"/>
          <w:szCs w:val="22"/>
        </w:rPr>
      </w:pPr>
    </w:p>
    <w:p w14:paraId="32B39711" w14:textId="77777777" w:rsidR="00B30702" w:rsidRPr="00CF3D63" w:rsidRDefault="00B30702" w:rsidP="0081387A">
      <w:pPr>
        <w:pStyle w:val="Default"/>
        <w:rPr>
          <w:sz w:val="22"/>
          <w:szCs w:val="22"/>
        </w:rPr>
      </w:pPr>
      <w:r w:rsidRPr="00CF3D63">
        <w:rPr>
          <w:sz w:val="22"/>
          <w:szCs w:val="22"/>
        </w:rPr>
        <w:t>Sincerely,</w:t>
      </w:r>
    </w:p>
    <w:p w14:paraId="2EB723CB" w14:textId="77777777" w:rsidR="00B30702" w:rsidRPr="00CF3D63" w:rsidRDefault="00B30702" w:rsidP="0081387A">
      <w:pPr>
        <w:pStyle w:val="Default"/>
        <w:rPr>
          <w:sz w:val="22"/>
          <w:szCs w:val="22"/>
        </w:rPr>
      </w:pPr>
    </w:p>
    <w:p w14:paraId="42E4FA90" w14:textId="77777777" w:rsidR="00B30702" w:rsidRPr="00CF3D63" w:rsidRDefault="00B30702" w:rsidP="0081387A">
      <w:pPr>
        <w:pStyle w:val="Default"/>
        <w:rPr>
          <w:sz w:val="22"/>
          <w:szCs w:val="22"/>
        </w:rPr>
      </w:pPr>
    </w:p>
    <w:p w14:paraId="395FD30C" w14:textId="0B4B2494" w:rsidR="00900F14" w:rsidRDefault="006A2EB0" w:rsidP="0081387A">
      <w:pPr>
        <w:rPr>
          <w:sz w:val="22"/>
          <w:szCs w:val="22"/>
        </w:rPr>
      </w:pPr>
      <w:r w:rsidRPr="00CF3D63">
        <w:rPr>
          <w:sz w:val="22"/>
          <w:szCs w:val="22"/>
        </w:rPr>
        <w:t xml:space="preserve">Ray Nelson, Consultant </w:t>
      </w:r>
    </w:p>
    <w:p w14:paraId="7C631835" w14:textId="38ACDDDA" w:rsidR="00572C70" w:rsidRPr="00CF3D63" w:rsidRDefault="00572C70" w:rsidP="0081387A">
      <w:pPr>
        <w:rPr>
          <w:sz w:val="22"/>
          <w:szCs w:val="22"/>
        </w:rPr>
      </w:pPr>
      <w:r>
        <w:rPr>
          <w:sz w:val="22"/>
          <w:szCs w:val="22"/>
        </w:rPr>
        <w:t>America’s Health Insurance Plans</w:t>
      </w:r>
    </w:p>
    <w:p w14:paraId="6890E50E" w14:textId="77777777" w:rsidR="00125FF3" w:rsidRPr="00CF3D63" w:rsidRDefault="00125FF3" w:rsidP="0081387A">
      <w:pPr>
        <w:rPr>
          <w:sz w:val="22"/>
          <w:szCs w:val="22"/>
        </w:rPr>
      </w:pPr>
    </w:p>
    <w:p w14:paraId="19B02833" w14:textId="4B866A5B" w:rsidR="00125FF3" w:rsidRPr="00CF3D63" w:rsidRDefault="00125FF3" w:rsidP="0081387A">
      <w:pPr>
        <w:rPr>
          <w:sz w:val="22"/>
          <w:szCs w:val="22"/>
        </w:rPr>
      </w:pPr>
      <w:r w:rsidRPr="00CF3D63">
        <w:rPr>
          <w:sz w:val="22"/>
          <w:szCs w:val="22"/>
        </w:rPr>
        <w:t>cc:</w:t>
      </w:r>
      <w:r w:rsidR="00900F14" w:rsidRPr="00CF3D63">
        <w:rPr>
          <w:sz w:val="22"/>
          <w:szCs w:val="22"/>
        </w:rPr>
        <w:t xml:space="preserve">  </w:t>
      </w:r>
      <w:r w:rsidR="003837B6" w:rsidRPr="00CF3D63">
        <w:rPr>
          <w:sz w:val="22"/>
          <w:szCs w:val="22"/>
        </w:rPr>
        <w:t>Heather Jerbi</w:t>
      </w:r>
      <w:r w:rsidR="006A2EB0" w:rsidRPr="00CF3D63">
        <w:rPr>
          <w:sz w:val="22"/>
          <w:szCs w:val="22"/>
        </w:rPr>
        <w:t xml:space="preserve"> - </w:t>
      </w:r>
      <w:r w:rsidR="00900F14" w:rsidRPr="00CF3D63">
        <w:rPr>
          <w:sz w:val="22"/>
          <w:szCs w:val="22"/>
        </w:rPr>
        <w:t>AHIP</w:t>
      </w:r>
    </w:p>
    <w:p w14:paraId="1602E567" w14:textId="53B0A3FC" w:rsidR="00762F7D" w:rsidRPr="00CF3D63" w:rsidRDefault="00125FF3" w:rsidP="0081387A">
      <w:pPr>
        <w:rPr>
          <w:sz w:val="22"/>
          <w:szCs w:val="22"/>
        </w:rPr>
      </w:pPr>
      <w:r w:rsidRPr="00CF3D63">
        <w:rPr>
          <w:sz w:val="22"/>
          <w:szCs w:val="22"/>
        </w:rPr>
        <w:t xml:space="preserve">       </w:t>
      </w:r>
    </w:p>
    <w:sectPr w:rsidR="00762F7D" w:rsidRPr="00CF3D63" w:rsidSect="003837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354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71D9" w14:textId="77777777" w:rsidR="00A57DC0" w:rsidRDefault="00A57DC0" w:rsidP="00B83D16">
      <w:r>
        <w:separator/>
      </w:r>
    </w:p>
  </w:endnote>
  <w:endnote w:type="continuationSeparator" w:id="0">
    <w:p w14:paraId="3BD6D368" w14:textId="77777777" w:rsidR="00A57DC0" w:rsidRDefault="00A57DC0" w:rsidP="00B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7338" w14:textId="77777777" w:rsidR="008E722A" w:rsidRDefault="008E7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B6F2" w14:textId="77777777" w:rsidR="008E722A" w:rsidRDefault="008E7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BAC0" w14:textId="77777777" w:rsidR="008E722A" w:rsidRDefault="008E7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3245" w14:textId="77777777" w:rsidR="00A57DC0" w:rsidRDefault="00A57DC0" w:rsidP="00B83D16">
      <w:r>
        <w:separator/>
      </w:r>
    </w:p>
  </w:footnote>
  <w:footnote w:type="continuationSeparator" w:id="0">
    <w:p w14:paraId="2F5472AD" w14:textId="77777777" w:rsidR="00A57DC0" w:rsidRDefault="00A57DC0" w:rsidP="00B83D16">
      <w:r>
        <w:continuationSeparator/>
      </w:r>
    </w:p>
  </w:footnote>
  <w:footnote w:id="1">
    <w:p w14:paraId="04C6F57D" w14:textId="783C951A" w:rsidR="00E50A8C" w:rsidRDefault="00E50A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1611" w:rsidRPr="00E4420B">
        <w:rPr>
          <w:sz w:val="18"/>
          <w:szCs w:val="18"/>
        </w:rPr>
        <w:t xml:space="preserve">AHIP is the national association whose members provide coverage for health care and related services to </w:t>
      </w:r>
      <w:r w:rsidR="00101611">
        <w:rPr>
          <w:sz w:val="18"/>
          <w:szCs w:val="18"/>
        </w:rPr>
        <w:t>hundreds of</w:t>
      </w:r>
      <w:r w:rsidR="00101611" w:rsidRPr="00E4420B">
        <w:rPr>
          <w:sz w:val="18"/>
          <w:szCs w:val="18"/>
        </w:rPr>
        <w:t xml:space="preserve"> millions of Americans every day. Through these offerings, we improve and protect the health and financial security of consumers, families, businesses, communities</w:t>
      </w:r>
      <w:r w:rsidR="001B1961">
        <w:rPr>
          <w:sz w:val="18"/>
          <w:szCs w:val="18"/>
        </w:rPr>
        <w:t>,</w:t>
      </w:r>
      <w:r w:rsidR="00101611" w:rsidRPr="00E4420B">
        <w:rPr>
          <w:sz w:val="18"/>
          <w:szCs w:val="18"/>
        </w:rPr>
        <w:t xml:space="preserve"> and the nation. We are committed to market-based solutions and public-private partnerships that improve affordability, value, access, and well-being for consumers. </w:t>
      </w:r>
      <w:r w:rsidR="00101611" w:rsidRPr="00E4420B">
        <w:rPr>
          <w:color w:val="000000"/>
          <w:sz w:val="18"/>
          <w:szCs w:val="18"/>
          <w:shd w:val="clear" w:color="auto" w:fill="FFFFFF"/>
        </w:rPr>
        <w:t xml:space="preserve">Visit </w:t>
      </w:r>
      <w:hyperlink r:id="rId1" w:history="1">
        <w:r w:rsidR="00101611" w:rsidRPr="00E4420B">
          <w:rPr>
            <w:rStyle w:val="Hyperlink"/>
            <w:color w:val="44546A"/>
            <w:sz w:val="18"/>
            <w:szCs w:val="18"/>
            <w:shd w:val="clear" w:color="auto" w:fill="FFFFFF"/>
          </w:rPr>
          <w:t>www.ahip.org</w:t>
        </w:r>
      </w:hyperlink>
      <w:r w:rsidR="00101611" w:rsidRPr="00E4420B">
        <w:rPr>
          <w:color w:val="44546A"/>
          <w:sz w:val="18"/>
          <w:szCs w:val="18"/>
          <w:shd w:val="clear" w:color="auto" w:fill="FFFFFF"/>
        </w:rPr>
        <w:t xml:space="preserve"> </w:t>
      </w:r>
      <w:r w:rsidR="00101611" w:rsidRPr="00E4420B">
        <w:rPr>
          <w:color w:val="000000"/>
          <w:sz w:val="18"/>
          <w:szCs w:val="18"/>
          <w:shd w:val="clear" w:color="auto" w:fill="FFFFFF"/>
        </w:rPr>
        <w:t>for more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E2C5" w14:textId="77777777" w:rsidR="008E722A" w:rsidRDefault="008E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901755"/>
      <w:docPartObj>
        <w:docPartGallery w:val="Watermarks"/>
        <w:docPartUnique/>
      </w:docPartObj>
    </w:sdtPr>
    <w:sdtEndPr/>
    <w:sdtContent>
      <w:p w14:paraId="2EA7778F" w14:textId="25CF42D9" w:rsidR="00295B8D" w:rsidRDefault="002E4F8D">
        <w:pPr>
          <w:pStyle w:val="Header"/>
        </w:pPr>
        <w:r>
          <w:rPr>
            <w:noProof/>
          </w:rPr>
          <w:pict w14:anchorId="1E0406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9A27167" w14:textId="77777777" w:rsidR="00295B8D" w:rsidRDefault="00295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68D7" w14:textId="7CE238EE" w:rsidR="001C06EE" w:rsidRDefault="001C06E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2E5515" wp14:editId="7682FF56">
          <wp:simplePos x="0" y="0"/>
          <wp:positionH relativeFrom="column">
            <wp:posOffset>-1009650</wp:posOffset>
          </wp:positionH>
          <wp:positionV relativeFrom="page">
            <wp:posOffset>0</wp:posOffset>
          </wp:positionV>
          <wp:extent cx="7772400" cy="1828800"/>
          <wp:effectExtent l="19050" t="0" r="0" b="0"/>
          <wp:wrapNone/>
          <wp:docPr id="5" name="Picture 5" descr=":::::::Desktop:•AHIP_Inranet_Templates:links:2 PMS AHIP Letterhead to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Desktop:•AHIP_Inranet_Templates:links:2 PMS AHIP Letterhead top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DCEA81" w14:textId="77777777" w:rsidR="001C06EE" w:rsidRDefault="001C06EE">
    <w:pPr>
      <w:pStyle w:val="Header"/>
    </w:pPr>
  </w:p>
  <w:p w14:paraId="6D1D2E01" w14:textId="77777777" w:rsidR="001C06EE" w:rsidRDefault="001C06EE">
    <w:pPr>
      <w:pStyle w:val="Header"/>
    </w:pPr>
  </w:p>
  <w:p w14:paraId="137ABFB9" w14:textId="77777777" w:rsidR="001C06EE" w:rsidRDefault="001C06EE">
    <w:pPr>
      <w:pStyle w:val="Header"/>
    </w:pPr>
  </w:p>
  <w:p w14:paraId="6719CA49" w14:textId="77777777" w:rsidR="001C06EE" w:rsidRDefault="001C06EE">
    <w:pPr>
      <w:pStyle w:val="Header"/>
    </w:pPr>
  </w:p>
  <w:p w14:paraId="6372478E" w14:textId="77777777" w:rsidR="001C06EE" w:rsidRDefault="001C06EE">
    <w:pPr>
      <w:pStyle w:val="Header"/>
    </w:pPr>
  </w:p>
  <w:p w14:paraId="32300826" w14:textId="77777777" w:rsidR="001C06EE" w:rsidRDefault="001C06EE">
    <w:pPr>
      <w:pStyle w:val="Header"/>
    </w:pPr>
  </w:p>
  <w:p w14:paraId="77B5736A" w14:textId="77777777" w:rsidR="001C06EE" w:rsidRDefault="001C0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6AD"/>
    <w:multiLevelType w:val="hybridMultilevel"/>
    <w:tmpl w:val="C44ABD04"/>
    <w:lvl w:ilvl="0" w:tplc="EB327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6D1"/>
    <w:multiLevelType w:val="hybridMultilevel"/>
    <w:tmpl w:val="C3029F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087782"/>
    <w:multiLevelType w:val="hybridMultilevel"/>
    <w:tmpl w:val="463E1BFE"/>
    <w:lvl w:ilvl="0" w:tplc="7F765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210A"/>
    <w:multiLevelType w:val="hybridMultilevel"/>
    <w:tmpl w:val="7870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76D9"/>
    <w:multiLevelType w:val="hybridMultilevel"/>
    <w:tmpl w:val="74484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81DAE"/>
    <w:multiLevelType w:val="hybridMultilevel"/>
    <w:tmpl w:val="C11CC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579B3"/>
    <w:multiLevelType w:val="hybridMultilevel"/>
    <w:tmpl w:val="85EC4D6A"/>
    <w:lvl w:ilvl="0" w:tplc="80407B6C"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6118206F"/>
    <w:multiLevelType w:val="hybridMultilevel"/>
    <w:tmpl w:val="1558485C"/>
    <w:lvl w:ilvl="0" w:tplc="1FB02296"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78DD7E10"/>
    <w:multiLevelType w:val="hybridMultilevel"/>
    <w:tmpl w:val="FC54E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5B"/>
    <w:rsid w:val="000033A5"/>
    <w:rsid w:val="00031AFA"/>
    <w:rsid w:val="000373A0"/>
    <w:rsid w:val="000402A2"/>
    <w:rsid w:val="00040AED"/>
    <w:rsid w:val="00060AC6"/>
    <w:rsid w:val="00080BD8"/>
    <w:rsid w:val="00093902"/>
    <w:rsid w:val="00094DF9"/>
    <w:rsid w:val="000B6C06"/>
    <w:rsid w:val="000D7EAF"/>
    <w:rsid w:val="000F5CCD"/>
    <w:rsid w:val="000F6884"/>
    <w:rsid w:val="00101611"/>
    <w:rsid w:val="00102954"/>
    <w:rsid w:val="0010322B"/>
    <w:rsid w:val="00112687"/>
    <w:rsid w:val="00113657"/>
    <w:rsid w:val="00125FF3"/>
    <w:rsid w:val="00127DD1"/>
    <w:rsid w:val="00155369"/>
    <w:rsid w:val="00170299"/>
    <w:rsid w:val="00171E95"/>
    <w:rsid w:val="00175786"/>
    <w:rsid w:val="00177F15"/>
    <w:rsid w:val="00194E2A"/>
    <w:rsid w:val="001A147B"/>
    <w:rsid w:val="001A39AF"/>
    <w:rsid w:val="001B1961"/>
    <w:rsid w:val="001C06EE"/>
    <w:rsid w:val="001C120B"/>
    <w:rsid w:val="001D12CA"/>
    <w:rsid w:val="001F223D"/>
    <w:rsid w:val="00232BBF"/>
    <w:rsid w:val="00233E50"/>
    <w:rsid w:val="0023415D"/>
    <w:rsid w:val="00245044"/>
    <w:rsid w:val="00262394"/>
    <w:rsid w:val="00295B8D"/>
    <w:rsid w:val="002A0F4B"/>
    <w:rsid w:val="002A67E1"/>
    <w:rsid w:val="002C179D"/>
    <w:rsid w:val="002D0137"/>
    <w:rsid w:val="002D1A6C"/>
    <w:rsid w:val="002D7A28"/>
    <w:rsid w:val="002E4F8D"/>
    <w:rsid w:val="002E54BD"/>
    <w:rsid w:val="00307530"/>
    <w:rsid w:val="00314217"/>
    <w:rsid w:val="003267EA"/>
    <w:rsid w:val="00337C37"/>
    <w:rsid w:val="00350D00"/>
    <w:rsid w:val="0035275B"/>
    <w:rsid w:val="00362416"/>
    <w:rsid w:val="003669F7"/>
    <w:rsid w:val="0037113B"/>
    <w:rsid w:val="0038299C"/>
    <w:rsid w:val="003837B6"/>
    <w:rsid w:val="00383D3C"/>
    <w:rsid w:val="00390A11"/>
    <w:rsid w:val="003946EF"/>
    <w:rsid w:val="003A3549"/>
    <w:rsid w:val="003A42C4"/>
    <w:rsid w:val="003A5630"/>
    <w:rsid w:val="003A5901"/>
    <w:rsid w:val="003C7442"/>
    <w:rsid w:val="003D52DE"/>
    <w:rsid w:val="003E1E58"/>
    <w:rsid w:val="003E2432"/>
    <w:rsid w:val="00401D75"/>
    <w:rsid w:val="00405A9A"/>
    <w:rsid w:val="00420FBC"/>
    <w:rsid w:val="00422784"/>
    <w:rsid w:val="0042648A"/>
    <w:rsid w:val="004278EA"/>
    <w:rsid w:val="0047056C"/>
    <w:rsid w:val="00473919"/>
    <w:rsid w:val="004820BE"/>
    <w:rsid w:val="00486EC4"/>
    <w:rsid w:val="004A05ED"/>
    <w:rsid w:val="004A62BF"/>
    <w:rsid w:val="004B4EC8"/>
    <w:rsid w:val="004C5D7F"/>
    <w:rsid w:val="004D1C58"/>
    <w:rsid w:val="004E158A"/>
    <w:rsid w:val="004F38DC"/>
    <w:rsid w:val="00513145"/>
    <w:rsid w:val="00514995"/>
    <w:rsid w:val="005222B0"/>
    <w:rsid w:val="00524ABB"/>
    <w:rsid w:val="00524B0E"/>
    <w:rsid w:val="005402EF"/>
    <w:rsid w:val="005628A6"/>
    <w:rsid w:val="0056731E"/>
    <w:rsid w:val="00572C70"/>
    <w:rsid w:val="005909E4"/>
    <w:rsid w:val="005C407B"/>
    <w:rsid w:val="005C6F66"/>
    <w:rsid w:val="005D0CBF"/>
    <w:rsid w:val="005D426B"/>
    <w:rsid w:val="006012D8"/>
    <w:rsid w:val="006165B9"/>
    <w:rsid w:val="006210EB"/>
    <w:rsid w:val="00623452"/>
    <w:rsid w:val="00633588"/>
    <w:rsid w:val="00634451"/>
    <w:rsid w:val="00642322"/>
    <w:rsid w:val="00643E98"/>
    <w:rsid w:val="00662E4E"/>
    <w:rsid w:val="00673099"/>
    <w:rsid w:val="00673A8F"/>
    <w:rsid w:val="00675D9B"/>
    <w:rsid w:val="00690456"/>
    <w:rsid w:val="006A2724"/>
    <w:rsid w:val="006A2EB0"/>
    <w:rsid w:val="006A3B2A"/>
    <w:rsid w:val="006A4377"/>
    <w:rsid w:val="006A5793"/>
    <w:rsid w:val="006B66C0"/>
    <w:rsid w:val="006D5832"/>
    <w:rsid w:val="006E626A"/>
    <w:rsid w:val="007131CE"/>
    <w:rsid w:val="0071488D"/>
    <w:rsid w:val="00715925"/>
    <w:rsid w:val="00720959"/>
    <w:rsid w:val="00723DC2"/>
    <w:rsid w:val="0072411C"/>
    <w:rsid w:val="00727786"/>
    <w:rsid w:val="00730C68"/>
    <w:rsid w:val="00746012"/>
    <w:rsid w:val="007621AB"/>
    <w:rsid w:val="00762F7D"/>
    <w:rsid w:val="007658A7"/>
    <w:rsid w:val="00766251"/>
    <w:rsid w:val="00767701"/>
    <w:rsid w:val="0077620B"/>
    <w:rsid w:val="00781980"/>
    <w:rsid w:val="00790E7D"/>
    <w:rsid w:val="007A2CF8"/>
    <w:rsid w:val="007A6501"/>
    <w:rsid w:val="007A6B94"/>
    <w:rsid w:val="007C76E0"/>
    <w:rsid w:val="007F7E09"/>
    <w:rsid w:val="00801E68"/>
    <w:rsid w:val="0081387A"/>
    <w:rsid w:val="008357FB"/>
    <w:rsid w:val="00851C19"/>
    <w:rsid w:val="008548F3"/>
    <w:rsid w:val="00864E7B"/>
    <w:rsid w:val="00873CBC"/>
    <w:rsid w:val="00874EF5"/>
    <w:rsid w:val="00877A7C"/>
    <w:rsid w:val="008842C5"/>
    <w:rsid w:val="00884D95"/>
    <w:rsid w:val="008A49F3"/>
    <w:rsid w:val="008A4D06"/>
    <w:rsid w:val="008C00F1"/>
    <w:rsid w:val="008C2F4F"/>
    <w:rsid w:val="008C7F9E"/>
    <w:rsid w:val="008E2540"/>
    <w:rsid w:val="008E380C"/>
    <w:rsid w:val="008E5274"/>
    <w:rsid w:val="008E5C7E"/>
    <w:rsid w:val="008E65EB"/>
    <w:rsid w:val="008E722A"/>
    <w:rsid w:val="008F477B"/>
    <w:rsid w:val="00900F14"/>
    <w:rsid w:val="00923EF1"/>
    <w:rsid w:val="00925CA2"/>
    <w:rsid w:val="009419E3"/>
    <w:rsid w:val="00950FC2"/>
    <w:rsid w:val="0096064B"/>
    <w:rsid w:val="00970254"/>
    <w:rsid w:val="00970AFE"/>
    <w:rsid w:val="009A442D"/>
    <w:rsid w:val="009B4970"/>
    <w:rsid w:val="009B68FE"/>
    <w:rsid w:val="009C158B"/>
    <w:rsid w:val="009D35B2"/>
    <w:rsid w:val="009F01D2"/>
    <w:rsid w:val="00A137A4"/>
    <w:rsid w:val="00A20D4A"/>
    <w:rsid w:val="00A27A8F"/>
    <w:rsid w:val="00A31FA6"/>
    <w:rsid w:val="00A36708"/>
    <w:rsid w:val="00A44524"/>
    <w:rsid w:val="00A54687"/>
    <w:rsid w:val="00A57DC0"/>
    <w:rsid w:val="00A700D0"/>
    <w:rsid w:val="00A96CA8"/>
    <w:rsid w:val="00AA01AE"/>
    <w:rsid w:val="00AD1901"/>
    <w:rsid w:val="00AD4A37"/>
    <w:rsid w:val="00AD504E"/>
    <w:rsid w:val="00B1547A"/>
    <w:rsid w:val="00B30702"/>
    <w:rsid w:val="00B40676"/>
    <w:rsid w:val="00B511A7"/>
    <w:rsid w:val="00B77513"/>
    <w:rsid w:val="00B83D16"/>
    <w:rsid w:val="00B8426A"/>
    <w:rsid w:val="00BA03FF"/>
    <w:rsid w:val="00BA0DA8"/>
    <w:rsid w:val="00BA757E"/>
    <w:rsid w:val="00BB79D7"/>
    <w:rsid w:val="00BD53B9"/>
    <w:rsid w:val="00BE1FAA"/>
    <w:rsid w:val="00BE4C42"/>
    <w:rsid w:val="00BF35D5"/>
    <w:rsid w:val="00BF6628"/>
    <w:rsid w:val="00BF7971"/>
    <w:rsid w:val="00C1440A"/>
    <w:rsid w:val="00C35209"/>
    <w:rsid w:val="00C37369"/>
    <w:rsid w:val="00CA3435"/>
    <w:rsid w:val="00CA6FCA"/>
    <w:rsid w:val="00CA702B"/>
    <w:rsid w:val="00CE52C7"/>
    <w:rsid w:val="00CF3D63"/>
    <w:rsid w:val="00CF5151"/>
    <w:rsid w:val="00CF7781"/>
    <w:rsid w:val="00CF77CC"/>
    <w:rsid w:val="00D03030"/>
    <w:rsid w:val="00D0582C"/>
    <w:rsid w:val="00D21877"/>
    <w:rsid w:val="00D237A7"/>
    <w:rsid w:val="00D37DCA"/>
    <w:rsid w:val="00D45A35"/>
    <w:rsid w:val="00D539C6"/>
    <w:rsid w:val="00D67970"/>
    <w:rsid w:val="00D72DEF"/>
    <w:rsid w:val="00DB28B4"/>
    <w:rsid w:val="00DB59C1"/>
    <w:rsid w:val="00DB6A2E"/>
    <w:rsid w:val="00DC0F48"/>
    <w:rsid w:val="00DC5126"/>
    <w:rsid w:val="00DC666B"/>
    <w:rsid w:val="00DE53C0"/>
    <w:rsid w:val="00DE663A"/>
    <w:rsid w:val="00DF723A"/>
    <w:rsid w:val="00E175D2"/>
    <w:rsid w:val="00E335F3"/>
    <w:rsid w:val="00E4244C"/>
    <w:rsid w:val="00E50A8C"/>
    <w:rsid w:val="00E65641"/>
    <w:rsid w:val="00E7568E"/>
    <w:rsid w:val="00E77FF2"/>
    <w:rsid w:val="00E80754"/>
    <w:rsid w:val="00EB2A83"/>
    <w:rsid w:val="00EB5AFF"/>
    <w:rsid w:val="00EC34BB"/>
    <w:rsid w:val="00ED265B"/>
    <w:rsid w:val="00ED7CFF"/>
    <w:rsid w:val="00EE45EA"/>
    <w:rsid w:val="00EF3568"/>
    <w:rsid w:val="00F16E11"/>
    <w:rsid w:val="00F176D6"/>
    <w:rsid w:val="00F23631"/>
    <w:rsid w:val="00F252E1"/>
    <w:rsid w:val="00F26C8F"/>
    <w:rsid w:val="00F272BF"/>
    <w:rsid w:val="00F4516A"/>
    <w:rsid w:val="00F471BC"/>
    <w:rsid w:val="00F50DB0"/>
    <w:rsid w:val="00FA0A87"/>
    <w:rsid w:val="00FA5823"/>
    <w:rsid w:val="00FC39B4"/>
    <w:rsid w:val="00FD61AC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4D2CADFE"/>
  <w15:docId w15:val="{08D39DDF-175A-4321-B985-FB1986F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3588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58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3588"/>
    <w:rPr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33588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BF6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D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D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C8"/>
  </w:style>
  <w:style w:type="character" w:styleId="FootnoteReference">
    <w:name w:val="footnote reference"/>
    <w:basedOn w:val="DefaultParagraphFont"/>
    <w:uiPriority w:val="99"/>
    <w:semiHidden/>
    <w:unhideWhenUsed/>
    <w:rsid w:val="004B4EC8"/>
    <w:rPr>
      <w:vertAlign w:val="superscript"/>
    </w:rPr>
  </w:style>
  <w:style w:type="table" w:styleId="TableGrid">
    <w:name w:val="Table Grid"/>
    <w:basedOn w:val="TableNormal"/>
    <w:uiPriority w:val="59"/>
    <w:rsid w:val="0076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F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F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C5126"/>
  </w:style>
  <w:style w:type="character" w:customStyle="1" w:styleId="eop">
    <w:name w:val="eop"/>
    <w:basedOn w:val="DefaultParagraphFont"/>
    <w:rsid w:val="00DC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uary.org/sites/default/files/files/publications/Asset_Adequacy_PN_09251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mazyck@na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ip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gallaher\AppData\Local\Microsoft\Windows\Temporary%20Internet%20Files\Content.Outlook\7PDTZAX2\:::::::Desktop:&#8226;AHIP_Inranet_Templates:links:2%20PMS%20AHIP%20Letterhead%20top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414FC3C4AC5429AE655775A7920A8" ma:contentTypeVersion="12" ma:contentTypeDescription="Create a new document." ma:contentTypeScope="" ma:versionID="c9b5a708a806b1ad37db1ac51463d141">
  <xsd:schema xmlns:xsd="http://www.w3.org/2001/XMLSchema" xmlns:xs="http://www.w3.org/2001/XMLSchema" xmlns:p="http://schemas.microsoft.com/office/2006/metadata/properties" xmlns:ns1="http://schemas.microsoft.com/sharepoint/v3" xmlns:ns2="63060b29-1455-4e9f-b6e8-83ad139c9361" xmlns:ns3="43a65a49-897d-4a9b-b12c-154380ecedd2" targetNamespace="http://schemas.microsoft.com/office/2006/metadata/properties" ma:root="true" ma:fieldsID="fc788f1e6e71b57f319d180065ba8b8e" ns1:_="" ns2:_="" ns3:_="">
    <xsd:import namespace="http://schemas.microsoft.com/sharepoint/v3"/>
    <xsd:import namespace="63060b29-1455-4e9f-b6e8-83ad139c9361"/>
    <xsd:import namespace="43a65a49-897d-4a9b-b12c-154380ecedd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60b29-1455-4e9f-b6e8-83ad139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5a49-897d-4a9b-b12c-154380ece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8EAD-0EAB-442F-B8DF-17BCAF7C978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3060b29-1455-4e9f-b6e8-83ad139c9361"/>
    <ds:schemaRef ds:uri="43a65a49-897d-4a9b-b12c-154380eced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46FB22-1A39-4106-B384-DF268F6E4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2389-8B41-4CE1-A953-F4712A211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60b29-1455-4e9f-b6e8-83ad139c9361"/>
    <ds:schemaRef ds:uri="43a65a49-897d-4a9b-b12c-154380ece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4229B-FF36-422D-8AA4-EECCF6D5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 Weller</dc:creator>
  <cp:lastModifiedBy>Ray Nelson</cp:lastModifiedBy>
  <cp:revision>31</cp:revision>
  <cp:lastPrinted>2020-09-17T19:41:00Z</cp:lastPrinted>
  <dcterms:created xsi:type="dcterms:W3CDTF">2020-09-14T19:18:00Z</dcterms:created>
  <dcterms:modified xsi:type="dcterms:W3CDTF">2020-09-17T19:46:00Z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0x01010033B414FC3C4AC5429AE655775A7920A8</vt:lpwstr>
  </property>
</Properties>
</file>