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E8EC" w14:textId="77777777" w:rsidR="00016EA9" w:rsidRDefault="00016EA9" w:rsidP="00621F0E">
      <w:pPr>
        <w:pStyle w:val="Heading3"/>
        <w:spacing w:before="155"/>
        <w:ind w:left="220"/>
        <w:rPr>
          <w:spacing w:val="-1"/>
        </w:rPr>
      </w:pPr>
    </w:p>
    <w:p w14:paraId="748C8D35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12249C" w14:textId="77777777" w:rsidR="00016EA9" w:rsidRPr="00016EA9" w:rsidRDefault="00016EA9" w:rsidP="00016EA9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EA9">
        <w:rPr>
          <w:rFonts w:ascii="Times New Roman" w:eastAsia="Times New Roman" w:hAnsi="Times New Roman" w:cs="Times New Roman"/>
          <w:b/>
          <w:sz w:val="28"/>
          <w:szCs w:val="28"/>
        </w:rPr>
        <w:t>Life Actuarial (A) Task Force/ Health Actuarial (B) Task Force</w:t>
      </w:r>
    </w:p>
    <w:p w14:paraId="06136658" w14:textId="77777777" w:rsidR="00016EA9" w:rsidRPr="00016EA9" w:rsidRDefault="00016EA9" w:rsidP="00016EA9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EA9">
        <w:rPr>
          <w:rFonts w:ascii="Times New Roman" w:eastAsia="Times New Roman" w:hAnsi="Times New Roman" w:cs="Times New Roman"/>
          <w:b/>
          <w:sz w:val="24"/>
          <w:szCs w:val="24"/>
        </w:rPr>
        <w:t>Amendment Proposal Form</w:t>
      </w:r>
    </w:p>
    <w:p w14:paraId="3149E023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A2871F5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1.</w:t>
      </w:r>
      <w:r w:rsidRPr="001B2812">
        <w:rPr>
          <w:rFonts w:ascii="Times New Roman" w:eastAsia="Times New Roman" w:hAnsi="Times New Roman" w:cs="Times New Roman"/>
        </w:rPr>
        <w:tab/>
        <w:t xml:space="preserve">Identify yourself, your </w:t>
      </w:r>
      <w:proofErr w:type="gramStart"/>
      <w:r w:rsidRPr="001B2812">
        <w:rPr>
          <w:rFonts w:ascii="Times New Roman" w:eastAsia="Times New Roman" w:hAnsi="Times New Roman" w:cs="Times New Roman"/>
        </w:rPr>
        <w:t>affiliation</w:t>
      </w:r>
      <w:proofErr w:type="gramEnd"/>
      <w:r w:rsidRPr="001B2812">
        <w:rPr>
          <w:rFonts w:ascii="Times New Roman" w:eastAsia="Times New Roman" w:hAnsi="Times New Roman" w:cs="Times New Roman"/>
        </w:rPr>
        <w:t xml:space="preserve"> and a very brief description (title) of the issue.</w:t>
      </w:r>
    </w:p>
    <w:p w14:paraId="7CA8BCA3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ab/>
      </w:r>
    </w:p>
    <w:p w14:paraId="7059A423" w14:textId="77777777" w:rsidR="003B1A2D" w:rsidRPr="001B2812" w:rsidRDefault="007675D7" w:rsidP="0030314B">
      <w:pPr>
        <w:widowControl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Joint submission by:</w:t>
      </w:r>
      <w:r>
        <w:rPr>
          <w:rFonts w:ascii="Times New Roman" w:hAnsi="Times New Roman" w:cs="Times New Roman"/>
        </w:rPr>
        <w:br/>
        <w:t xml:space="preserve">                 -- </w:t>
      </w:r>
      <w:r w:rsidR="00B94694" w:rsidRPr="001B2812">
        <w:rPr>
          <w:rFonts w:ascii="Times New Roman" w:hAnsi="Times New Roman" w:cs="Times New Roman"/>
        </w:rPr>
        <w:t>Staff of Office of Principle-Based Reserving, California Department of Insurance</w:t>
      </w:r>
      <w:r w:rsidR="0030314B" w:rsidRPr="001B2812">
        <w:rPr>
          <w:rFonts w:ascii="Times New Roman" w:eastAsia="Times New Roman" w:hAnsi="Times New Roman" w:cs="Times New Roman"/>
        </w:rPr>
        <w:br/>
        <w:t xml:space="preserve">                 </w:t>
      </w:r>
      <w:r>
        <w:rPr>
          <w:rFonts w:ascii="Times New Roman" w:eastAsia="Times New Roman" w:hAnsi="Times New Roman" w:cs="Times New Roman"/>
        </w:rPr>
        <w:t>-- Texas Department of Insurance</w:t>
      </w:r>
      <w:r w:rsidR="001B2812">
        <w:rPr>
          <w:rFonts w:ascii="Times New Roman" w:eastAsia="Times New Roman" w:hAnsi="Times New Roman" w:cs="Times New Roman"/>
        </w:rPr>
        <w:t xml:space="preserve"> </w:t>
      </w:r>
    </w:p>
    <w:p w14:paraId="39FAB459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</w:p>
    <w:p w14:paraId="61E587E2" w14:textId="77777777" w:rsidR="00016EA9" w:rsidRPr="001B2812" w:rsidRDefault="00016EA9" w:rsidP="00016EA9">
      <w:pPr>
        <w:widowControl/>
        <w:ind w:left="720" w:hanging="720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2.</w:t>
      </w:r>
      <w:r w:rsidRPr="001B2812">
        <w:rPr>
          <w:rFonts w:ascii="Times New Roman" w:eastAsia="Times New Roman" w:hAnsi="Times New Roman" w:cs="Times New Roman"/>
        </w:rPr>
        <w:tab/>
        <w:t>Identify the document, including the date if the document is “released for comment,” and the location in the document where the amendment is proposed:</w:t>
      </w:r>
    </w:p>
    <w:p w14:paraId="3D9AC2DE" w14:textId="77777777" w:rsidR="00016EA9" w:rsidRPr="001B2812" w:rsidRDefault="00016EA9" w:rsidP="00016EA9">
      <w:pPr>
        <w:widowControl/>
        <w:ind w:left="720" w:hanging="720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ab/>
      </w:r>
    </w:p>
    <w:p w14:paraId="75328959" w14:textId="77777777" w:rsidR="001B2812" w:rsidRPr="001B2812" w:rsidRDefault="001B2812" w:rsidP="001B2812">
      <w:pPr>
        <w:kinsoku w:val="0"/>
        <w:overflowPunct w:val="0"/>
        <w:autoSpaceDE w:val="0"/>
        <w:autoSpaceDN w:val="0"/>
        <w:adjustRightInd w:val="0"/>
        <w:ind w:right="4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3E51F9" w:rsidRPr="001B2812">
        <w:rPr>
          <w:rFonts w:ascii="Times New Roman" w:eastAsia="Times New Roman" w:hAnsi="Times New Roman" w:cs="Times New Roman"/>
        </w:rPr>
        <w:t xml:space="preserve">Valuation Manual (January 1, </w:t>
      </w:r>
      <w:proofErr w:type="gramStart"/>
      <w:r w:rsidR="003E51F9" w:rsidRPr="001B2812">
        <w:rPr>
          <w:rFonts w:ascii="Times New Roman" w:eastAsia="Times New Roman" w:hAnsi="Times New Roman" w:cs="Times New Roman"/>
        </w:rPr>
        <w:t>20</w:t>
      </w:r>
      <w:r w:rsidR="00983240">
        <w:rPr>
          <w:rFonts w:ascii="Times New Roman" w:eastAsia="Times New Roman" w:hAnsi="Times New Roman" w:cs="Times New Roman"/>
        </w:rPr>
        <w:t>2</w:t>
      </w:r>
      <w:r w:rsidR="003E5FC6">
        <w:rPr>
          <w:rFonts w:ascii="Times New Roman" w:eastAsia="Times New Roman" w:hAnsi="Times New Roman" w:cs="Times New Roman"/>
        </w:rPr>
        <w:t>2</w:t>
      </w:r>
      <w:proofErr w:type="gramEnd"/>
      <w:r w:rsidR="003E51F9" w:rsidRPr="001B2812">
        <w:rPr>
          <w:rFonts w:ascii="Times New Roman" w:eastAsia="Times New Roman" w:hAnsi="Times New Roman" w:cs="Times New Roman"/>
        </w:rPr>
        <w:t xml:space="preserve"> edition),</w:t>
      </w:r>
      <w:r>
        <w:rPr>
          <w:rFonts w:ascii="Times New Roman" w:eastAsia="Times New Roman" w:hAnsi="Times New Roman" w:cs="Times New Roman"/>
        </w:rPr>
        <w:t xml:space="preserve"> </w:t>
      </w:r>
      <w:r w:rsidR="00983240">
        <w:rPr>
          <w:rFonts w:ascii="Times New Roman" w:eastAsia="Times New Roman" w:hAnsi="Times New Roman" w:cs="Times New Roman"/>
        </w:rPr>
        <w:t>VM-20 Section</w:t>
      </w:r>
      <w:r w:rsidR="00497674">
        <w:rPr>
          <w:rFonts w:ascii="Times New Roman" w:eastAsia="Times New Roman" w:hAnsi="Times New Roman" w:cs="Times New Roman"/>
        </w:rPr>
        <w:t xml:space="preserve"> </w:t>
      </w:r>
      <w:r w:rsidR="003E5FC6">
        <w:rPr>
          <w:rFonts w:ascii="Times New Roman" w:eastAsia="Times New Roman" w:hAnsi="Times New Roman" w:cs="Times New Roman"/>
        </w:rPr>
        <w:t>9.C.6.</w:t>
      </w:r>
      <w:r w:rsidR="006F116E">
        <w:rPr>
          <w:rFonts w:ascii="Times New Roman" w:eastAsia="Times New Roman" w:hAnsi="Times New Roman" w:cs="Times New Roman"/>
        </w:rPr>
        <w:t>e</w:t>
      </w:r>
      <w:r w:rsidR="003E5FC6">
        <w:rPr>
          <w:rFonts w:ascii="Times New Roman" w:eastAsia="Times New Roman" w:hAnsi="Times New Roman" w:cs="Times New Roman"/>
        </w:rPr>
        <w:t xml:space="preserve">, </w:t>
      </w:r>
      <w:r w:rsidR="00D37572">
        <w:rPr>
          <w:rFonts w:ascii="Times New Roman" w:eastAsia="Times New Roman" w:hAnsi="Times New Roman" w:cs="Times New Roman"/>
        </w:rPr>
        <w:t>VM-20 Section</w:t>
      </w:r>
      <w:r w:rsidR="00D37572">
        <w:rPr>
          <w:rFonts w:ascii="Times New Roman" w:eastAsia="Times New Roman" w:hAnsi="Times New Roman" w:cs="Times New Roman"/>
        </w:rPr>
        <w:br/>
        <w:t xml:space="preserve">              9.C.7, </w:t>
      </w:r>
      <w:r w:rsidR="003E5FC6">
        <w:rPr>
          <w:rFonts w:ascii="Times New Roman" w:eastAsia="Times New Roman" w:hAnsi="Times New Roman" w:cs="Times New Roman"/>
        </w:rPr>
        <w:t>VM-31 Section 3.D.3.</w:t>
      </w:r>
      <w:r w:rsidR="001A6C8E">
        <w:rPr>
          <w:rFonts w:ascii="Times New Roman" w:eastAsia="Times New Roman" w:hAnsi="Times New Roman" w:cs="Times New Roman"/>
        </w:rPr>
        <w:t>o</w:t>
      </w:r>
      <w:r w:rsidR="003E5FC6">
        <w:rPr>
          <w:rFonts w:ascii="Times New Roman" w:eastAsia="Times New Roman" w:hAnsi="Times New Roman" w:cs="Times New Roman"/>
        </w:rPr>
        <w:t>.</w:t>
      </w:r>
      <w:r w:rsidR="002B0D9A">
        <w:rPr>
          <w:rFonts w:ascii="Times New Roman" w:eastAsia="Times New Roman" w:hAnsi="Times New Roman" w:cs="Times New Roman"/>
        </w:rPr>
        <w:t xml:space="preserve"> </w:t>
      </w:r>
    </w:p>
    <w:p w14:paraId="2ECC1F35" w14:textId="77777777" w:rsidR="00CA698D" w:rsidRPr="001B2812" w:rsidRDefault="00CA698D" w:rsidP="00CA698D">
      <w:pPr>
        <w:widowControl/>
        <w:ind w:left="720"/>
        <w:jc w:val="both"/>
        <w:rPr>
          <w:rFonts w:ascii="Times New Roman" w:eastAsia="Times New Roman" w:hAnsi="Times New Roman" w:cs="Times New Roman"/>
        </w:rPr>
      </w:pPr>
    </w:p>
    <w:p w14:paraId="67D6021A" w14:textId="77777777" w:rsidR="00016EA9" w:rsidRPr="001B2812" w:rsidRDefault="00016EA9" w:rsidP="00016EA9">
      <w:pPr>
        <w:widowControl/>
        <w:ind w:left="720" w:hanging="720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3.</w:t>
      </w:r>
      <w:r w:rsidRPr="001B2812">
        <w:rPr>
          <w:rFonts w:ascii="Times New Roman" w:eastAsia="Times New Roman" w:hAnsi="Times New Roman" w:cs="Times New Roman"/>
        </w:rPr>
        <w:tab/>
        <w:t xml:space="preserve">Show what changes are needed by providing a red-line version of the original verbiage with deletions and identify the verbiage to be deleted, </w:t>
      </w:r>
      <w:proofErr w:type="gramStart"/>
      <w:r w:rsidRPr="001B2812">
        <w:rPr>
          <w:rFonts w:ascii="Times New Roman" w:eastAsia="Times New Roman" w:hAnsi="Times New Roman" w:cs="Times New Roman"/>
        </w:rPr>
        <w:t>inserted</w:t>
      </w:r>
      <w:proofErr w:type="gramEnd"/>
      <w:r w:rsidRPr="001B2812">
        <w:rPr>
          <w:rFonts w:ascii="Times New Roman" w:eastAsia="Times New Roman" w:hAnsi="Times New Roman" w:cs="Times New Roman"/>
        </w:rPr>
        <w:t xml:space="preserve"> or changed by providing a red-line (turn on “track changes” in Word®) version of the verbiage. (You may do this through an attachment.)</w:t>
      </w:r>
    </w:p>
    <w:p w14:paraId="181B9516" w14:textId="77777777" w:rsidR="00016EA9" w:rsidRPr="001B2812" w:rsidRDefault="00016EA9" w:rsidP="00016EA9">
      <w:pPr>
        <w:widowControl/>
        <w:ind w:left="1152" w:hanging="576"/>
        <w:jc w:val="both"/>
        <w:rPr>
          <w:rFonts w:ascii="Times New Roman" w:eastAsia="Times New Roman" w:hAnsi="Times New Roman" w:cs="Times New Roman"/>
        </w:rPr>
      </w:pPr>
    </w:p>
    <w:p w14:paraId="75332735" w14:textId="77777777" w:rsidR="00016EA9" w:rsidRPr="001B2812" w:rsidRDefault="00016EA9" w:rsidP="00016EA9">
      <w:pPr>
        <w:widowControl/>
        <w:ind w:left="1152" w:hanging="432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See attached</w:t>
      </w:r>
      <w:r w:rsidR="00B94694" w:rsidRPr="001B2812">
        <w:rPr>
          <w:rFonts w:ascii="Times New Roman" w:eastAsia="Times New Roman" w:hAnsi="Times New Roman" w:cs="Times New Roman"/>
        </w:rPr>
        <w:t xml:space="preserve"> Appendix</w:t>
      </w:r>
      <w:r w:rsidR="00CA698D" w:rsidRPr="001B2812">
        <w:rPr>
          <w:rFonts w:ascii="Times New Roman" w:eastAsia="Times New Roman" w:hAnsi="Times New Roman" w:cs="Times New Roman"/>
        </w:rPr>
        <w:t xml:space="preserve">.  </w:t>
      </w:r>
      <w:r w:rsidR="00AA22F0" w:rsidRPr="001B2812">
        <w:rPr>
          <w:rFonts w:ascii="Times New Roman" w:eastAsia="Times New Roman" w:hAnsi="Times New Roman" w:cs="Times New Roman"/>
          <w:b/>
        </w:rPr>
        <w:t xml:space="preserve"> </w:t>
      </w:r>
    </w:p>
    <w:p w14:paraId="467421A0" w14:textId="77777777" w:rsidR="00016EA9" w:rsidRPr="001B2812" w:rsidRDefault="00016EA9" w:rsidP="00016EA9">
      <w:pPr>
        <w:widowControl/>
        <w:ind w:left="1152" w:hanging="576"/>
        <w:jc w:val="both"/>
        <w:rPr>
          <w:rFonts w:ascii="Times New Roman" w:eastAsia="Times New Roman" w:hAnsi="Times New Roman" w:cs="Times New Roman"/>
        </w:rPr>
      </w:pPr>
    </w:p>
    <w:p w14:paraId="703ADD40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4.</w:t>
      </w:r>
      <w:r w:rsidRPr="001B2812">
        <w:rPr>
          <w:rFonts w:ascii="Times New Roman" w:eastAsia="Times New Roman" w:hAnsi="Times New Roman" w:cs="Times New Roman"/>
        </w:rPr>
        <w:tab/>
        <w:t>State the reason for the proposed amendment? (You may do this through an attachment.)</w:t>
      </w:r>
    </w:p>
    <w:p w14:paraId="1D46D032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</w:p>
    <w:p w14:paraId="40ADD007" w14:textId="77777777" w:rsidR="00B94694" w:rsidRPr="001B2812" w:rsidRDefault="00B94694" w:rsidP="00B94694">
      <w:pPr>
        <w:widowControl/>
        <w:ind w:left="1152" w:hanging="432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See attached Appendix</w:t>
      </w:r>
      <w:r w:rsidR="00D238C7" w:rsidRPr="001B2812">
        <w:rPr>
          <w:rFonts w:ascii="Times New Roman" w:eastAsia="Times New Roman" w:hAnsi="Times New Roman" w:cs="Times New Roman"/>
        </w:rPr>
        <w:t>.</w:t>
      </w:r>
    </w:p>
    <w:p w14:paraId="6712696B" w14:textId="77777777" w:rsidR="00B94694" w:rsidRDefault="00B94694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486315A6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6EA9">
        <w:rPr>
          <w:rFonts w:ascii="Times New Roman" w:eastAsia="Times New Roman" w:hAnsi="Times New Roman" w:cs="Times New Roman"/>
          <w:sz w:val="20"/>
          <w:szCs w:val="20"/>
          <w:u w:val="single"/>
        </w:rPr>
        <w:t>NAIC Staff Comments</w:t>
      </w:r>
      <w:r w:rsidRPr="00016EA9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C424ABD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068D5BC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0DC5C0B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6EA9">
        <w:rPr>
          <w:rFonts w:ascii="Times New Roman" w:eastAsia="Times New Roman" w:hAnsi="Times New Roman" w:cs="Times New Roman"/>
          <w:sz w:val="16"/>
          <w:szCs w:val="16"/>
        </w:rPr>
        <w:t>W:\National Meetings\201</w:t>
      </w:r>
      <w:r w:rsidR="003E51F9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016EA9">
        <w:rPr>
          <w:rFonts w:ascii="Times New Roman" w:eastAsia="Times New Roman" w:hAnsi="Times New Roman" w:cs="Times New Roman"/>
          <w:sz w:val="16"/>
          <w:szCs w:val="16"/>
        </w:rPr>
        <w:t>\...\TF\LHA\</w:t>
      </w:r>
    </w:p>
    <w:p w14:paraId="262CB11D" w14:textId="77777777" w:rsidR="003E4C40" w:rsidRDefault="0079069A">
      <w:pPr>
        <w:widowControl/>
        <w:spacing w:after="160" w:line="259" w:lineRule="auto"/>
        <w:rPr>
          <w:spacing w:val="-1"/>
        </w:rPr>
        <w:sectPr w:rsidR="003E4C40">
          <w:headerReference w:type="even" r:id="rId8"/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pacing w:val="-1"/>
        </w:rPr>
        <w:br w:type="page"/>
      </w:r>
    </w:p>
    <w:p w14:paraId="0C6E26B1" w14:textId="77777777" w:rsidR="00701C0A" w:rsidRPr="00701C0A" w:rsidRDefault="00701C0A" w:rsidP="00701C0A">
      <w:pPr>
        <w:pStyle w:val="Heading4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</w:pPr>
      <w:bookmarkStart w:id="0" w:name="Appendix_2:_Mortality_Claims_Questionnai"/>
      <w:bookmarkStart w:id="1" w:name="_bookmark100"/>
      <w:bookmarkStart w:id="2" w:name="Appendix_5:_Mortality_Statistical_Report"/>
      <w:bookmarkStart w:id="3" w:name="Appendix_6:_Policyholder_Behavior_Data_F"/>
      <w:bookmarkStart w:id="4" w:name="bookmark0"/>
      <w:bookmarkEnd w:id="0"/>
      <w:bookmarkEnd w:id="1"/>
      <w:bookmarkEnd w:id="2"/>
      <w:bookmarkEnd w:id="3"/>
      <w:bookmarkEnd w:id="4"/>
      <w:r w:rsidRPr="00701C0A"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lastRenderedPageBreak/>
        <w:t>Appendix</w:t>
      </w:r>
    </w:p>
    <w:p w14:paraId="78CEF903" w14:textId="77777777" w:rsidR="00401682" w:rsidRDefault="00401682" w:rsidP="00401682">
      <w:pPr>
        <w:pStyle w:val="Heading4"/>
      </w:pPr>
      <w:r>
        <w:t xml:space="preserve">ISSUE: </w:t>
      </w:r>
    </w:p>
    <w:p w14:paraId="3733E871" w14:textId="77777777" w:rsidR="00401682" w:rsidRDefault="00401682" w:rsidP="00794254">
      <w:pPr>
        <w:widowControl/>
        <w:rPr>
          <w:b/>
          <w:bCs/>
          <w:i/>
          <w:iCs/>
        </w:rPr>
      </w:pPr>
    </w:p>
    <w:p w14:paraId="5D6916BC" w14:textId="77777777" w:rsidR="001B2812" w:rsidRDefault="003E5FC6" w:rsidP="00401682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It has been observed that adding the prescribed mortality margins for some Life/LTC combination products cause modeled reserves to decrease rather than increase. </w:t>
      </w:r>
      <w:r w:rsidR="00135DAD">
        <w:rPr>
          <w:rFonts w:ascii="Times New Roman" w:eastAsia="Times New Roman" w:hAnsi="Times New Roman" w:cs="Times New Roman"/>
        </w:rPr>
        <w:t xml:space="preserve"> </w:t>
      </w:r>
      <w:r w:rsidR="00983240">
        <w:rPr>
          <w:rFonts w:ascii="Times New Roman" w:eastAsia="Times New Roman" w:hAnsi="Times New Roman" w:cs="Times New Roman"/>
        </w:rPr>
        <w:t xml:space="preserve">   </w:t>
      </w:r>
    </w:p>
    <w:p w14:paraId="239A026A" w14:textId="77777777" w:rsidR="001C7E52" w:rsidRPr="008155C4" w:rsidRDefault="001C7E52" w:rsidP="00401682"/>
    <w:p w14:paraId="665B675C" w14:textId="77777777" w:rsidR="00401682" w:rsidRDefault="00401682" w:rsidP="00401682">
      <w:pPr>
        <w:pStyle w:val="Heading4"/>
      </w:pPr>
      <w:r>
        <w:t>SECTION:</w:t>
      </w:r>
    </w:p>
    <w:p w14:paraId="5B991FDE" w14:textId="77777777" w:rsidR="001B2812" w:rsidRPr="001B2812" w:rsidRDefault="001B2812" w:rsidP="00135DAD"/>
    <w:p w14:paraId="1C68739F" w14:textId="77777777" w:rsidR="007675D7" w:rsidRPr="001B2812" w:rsidRDefault="007675D7" w:rsidP="007675D7">
      <w:pPr>
        <w:kinsoku w:val="0"/>
        <w:overflowPunct w:val="0"/>
        <w:autoSpaceDE w:val="0"/>
        <w:autoSpaceDN w:val="0"/>
        <w:adjustRightInd w:val="0"/>
        <w:ind w:right="4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VM-20 Section 9.C.6.</w:t>
      </w:r>
      <w:r w:rsidR="006F116E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 w:rsidR="00D15CDF">
        <w:rPr>
          <w:rFonts w:ascii="Times New Roman" w:eastAsia="Times New Roman" w:hAnsi="Times New Roman" w:cs="Times New Roman"/>
        </w:rPr>
        <w:t xml:space="preserve">VM-20 Section 9.C.7, </w:t>
      </w:r>
      <w:r>
        <w:rPr>
          <w:rFonts w:ascii="Times New Roman" w:eastAsia="Times New Roman" w:hAnsi="Times New Roman" w:cs="Times New Roman"/>
        </w:rPr>
        <w:t>VM-31 Section 3.D.3.</w:t>
      </w:r>
      <w:r w:rsidR="00D15CDF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. </w:t>
      </w:r>
      <w:r w:rsidR="006F116E">
        <w:rPr>
          <w:rFonts w:ascii="Times New Roman" w:eastAsia="Times New Roman" w:hAnsi="Times New Roman" w:cs="Times New Roman"/>
        </w:rPr>
        <w:t xml:space="preserve"> </w:t>
      </w:r>
    </w:p>
    <w:p w14:paraId="6E286AC8" w14:textId="77777777" w:rsidR="001C7E52" w:rsidRPr="008155C4" w:rsidRDefault="001C7E52" w:rsidP="00401682"/>
    <w:p w14:paraId="1F957A90" w14:textId="77777777" w:rsidR="00401682" w:rsidRDefault="00401682" w:rsidP="00401682">
      <w:pPr>
        <w:pStyle w:val="Heading4"/>
      </w:pPr>
      <w:r>
        <w:t>REDLINE:</w:t>
      </w:r>
    </w:p>
    <w:p w14:paraId="448B9C30" w14:textId="77777777" w:rsidR="001B2812" w:rsidRDefault="001B2812" w:rsidP="00BD3A82"/>
    <w:p w14:paraId="3AF3A7EB" w14:textId="77777777" w:rsidR="00996137" w:rsidRDefault="006F116E" w:rsidP="00996137">
      <w:pPr>
        <w:rPr>
          <w:rFonts w:ascii="Times New Roman" w:eastAsia="Times New Roman" w:hAnsi="Times New Roman"/>
          <w:b/>
          <w:bCs/>
          <w:iCs/>
          <w:u w:val="single"/>
        </w:rPr>
      </w:pPr>
      <w:r>
        <w:rPr>
          <w:rFonts w:ascii="Times New Roman" w:eastAsia="Times New Roman" w:hAnsi="Times New Roman"/>
          <w:b/>
          <w:bCs/>
          <w:iCs/>
          <w:u w:val="single"/>
        </w:rPr>
        <w:t xml:space="preserve">(New) </w:t>
      </w:r>
      <w:r w:rsidR="00857140">
        <w:rPr>
          <w:rFonts w:ascii="Times New Roman" w:eastAsia="Times New Roman" w:hAnsi="Times New Roman"/>
          <w:b/>
          <w:bCs/>
          <w:iCs/>
          <w:u w:val="single"/>
        </w:rPr>
        <w:t>VM-20 S</w:t>
      </w:r>
      <w:r w:rsidR="00996137">
        <w:rPr>
          <w:rFonts w:ascii="Times New Roman" w:eastAsia="Times New Roman" w:hAnsi="Times New Roman"/>
          <w:b/>
          <w:bCs/>
          <w:iCs/>
          <w:u w:val="single"/>
        </w:rPr>
        <w:t xml:space="preserve">ection </w:t>
      </w:r>
      <w:r w:rsidR="007675D7">
        <w:rPr>
          <w:rFonts w:ascii="Times New Roman" w:eastAsia="Times New Roman" w:hAnsi="Times New Roman"/>
          <w:b/>
          <w:bCs/>
          <w:iCs/>
          <w:u w:val="single"/>
        </w:rPr>
        <w:t>9.C.6.</w:t>
      </w:r>
      <w:r>
        <w:rPr>
          <w:rFonts w:ascii="Times New Roman" w:eastAsia="Times New Roman" w:hAnsi="Times New Roman"/>
          <w:b/>
          <w:bCs/>
          <w:iCs/>
          <w:u w:val="single"/>
        </w:rPr>
        <w:t>e</w:t>
      </w:r>
    </w:p>
    <w:p w14:paraId="307DAAFA" w14:textId="77777777" w:rsidR="00996137" w:rsidRDefault="00996137" w:rsidP="00BD3A82"/>
    <w:p w14:paraId="60151308" w14:textId="77777777" w:rsidR="006F116E" w:rsidRPr="003E4C40" w:rsidRDefault="006F116E" w:rsidP="003E4C40">
      <w:pPr>
        <w:ind w:left="720"/>
        <w:jc w:val="both"/>
        <w:rPr>
          <w:ins w:id="5" w:author="Bock, Benjamin" w:date="2021-08-27T07:55:00Z"/>
          <w:rFonts w:ascii="Times New Roman" w:hAnsi="Times New Roman" w:cs="Times New Roman"/>
          <w:color w:val="000000"/>
        </w:rPr>
      </w:pPr>
      <w:ins w:id="6" w:author="Bock, Benjamin" w:date="2021-08-27T07:55:00Z">
        <w:r>
          <w:rPr>
            <w:color w:val="000000"/>
          </w:rPr>
          <w:t>e</w:t>
        </w:r>
      </w:ins>
      <w:ins w:id="7" w:author="Bock, Benjamin" w:date="2021-08-27T07:56:00Z">
        <w:r>
          <w:rPr>
            <w:color w:val="000000"/>
          </w:rPr>
          <w:t>.</w:t>
        </w:r>
      </w:ins>
      <w:ins w:id="8" w:author="Bock, Benjamin" w:date="2021-08-27T07:55:00Z">
        <w:r>
          <w:rPr>
            <w:color w:val="000000"/>
          </w:rPr>
          <w:t xml:space="preserve">   </w:t>
        </w:r>
        <w:proofErr w:type="gramStart"/>
        <w:r w:rsidRPr="003E4C40">
          <w:rPr>
            <w:rFonts w:ascii="Times New Roman" w:hAnsi="Times New Roman" w:cs="Times New Roman"/>
            <w:color w:val="000000"/>
          </w:rPr>
          <w:t>In the event that</w:t>
        </w:r>
        <w:proofErr w:type="gramEnd"/>
        <w:r w:rsidRPr="003E4C40">
          <w:rPr>
            <w:rFonts w:ascii="Times New Roman" w:hAnsi="Times New Roman" w:cs="Times New Roman"/>
            <w:color w:val="000000"/>
          </w:rPr>
          <w:t xml:space="preserve"> the prescribed mortality margins set forth above do not produce a reserve increase of </w:t>
        </w:r>
      </w:ins>
      <w:ins w:id="9" w:author="Bock, Benjamin" w:date="2021-08-27T07:56:00Z">
        <w:r w:rsidRPr="003E4C40">
          <w:rPr>
            <w:rFonts w:ascii="Times New Roman" w:hAnsi="Times New Roman" w:cs="Times New Roman"/>
            <w:color w:val="000000"/>
          </w:rPr>
          <w:t>adequate</w:t>
        </w:r>
      </w:ins>
      <w:ins w:id="10" w:author="Bock, Benjamin" w:date="2021-08-27T07:55:00Z">
        <w:r w:rsidRPr="003E4C40">
          <w:rPr>
            <w:rFonts w:ascii="Times New Roman" w:hAnsi="Times New Roman" w:cs="Times New Roman"/>
            <w:color w:val="000000"/>
          </w:rPr>
          <w:t xml:space="preserve"> magnitude – and in particular when the prescribed margins produce a decrease in the reserve – the actuary shall derive and use margins that do produce a</w:t>
        </w:r>
      </w:ins>
      <w:ins w:id="11" w:author="Bock, Benjamin" w:date="2021-08-27T07:57:00Z">
        <w:r w:rsidRPr="003E4C40">
          <w:rPr>
            <w:rFonts w:ascii="Times New Roman" w:hAnsi="Times New Roman" w:cs="Times New Roman"/>
            <w:color w:val="000000"/>
          </w:rPr>
          <w:t>n</w:t>
        </w:r>
      </w:ins>
      <w:ins w:id="12" w:author="Bock, Benjamin" w:date="2021-08-27T07:55:00Z">
        <w:r w:rsidRPr="003E4C40">
          <w:rPr>
            <w:rFonts w:ascii="Times New Roman" w:hAnsi="Times New Roman" w:cs="Times New Roman"/>
            <w:color w:val="000000"/>
          </w:rPr>
          <w:t xml:space="preserve"> </w:t>
        </w:r>
      </w:ins>
      <w:ins w:id="13" w:author="Bock, Benjamin" w:date="2021-08-27T07:57:00Z">
        <w:r w:rsidRPr="003E4C40">
          <w:rPr>
            <w:rFonts w:ascii="Times New Roman" w:hAnsi="Times New Roman" w:cs="Times New Roman"/>
            <w:color w:val="000000"/>
          </w:rPr>
          <w:t>appropriately conservative</w:t>
        </w:r>
      </w:ins>
      <w:ins w:id="14" w:author="Bock, Benjamin" w:date="2021-08-27T07:55:00Z">
        <w:r w:rsidRPr="003E4C40">
          <w:rPr>
            <w:rFonts w:ascii="Times New Roman" w:hAnsi="Times New Roman" w:cs="Times New Roman"/>
            <w:color w:val="000000"/>
          </w:rPr>
          <w:t xml:space="preserve"> result.</w:t>
        </w:r>
      </w:ins>
    </w:p>
    <w:p w14:paraId="23880E6C" w14:textId="77777777" w:rsidR="006F116E" w:rsidRPr="003E4C40" w:rsidRDefault="006F116E" w:rsidP="006F116E">
      <w:pPr>
        <w:ind w:left="720"/>
        <w:rPr>
          <w:ins w:id="15" w:author="Bock, Benjamin" w:date="2021-08-27T07:55:00Z"/>
          <w:rFonts w:ascii="Times New Roman" w:hAnsi="Times New Roman" w:cs="Times New Roman"/>
          <w:color w:val="000000"/>
        </w:rPr>
      </w:pPr>
    </w:p>
    <w:p w14:paraId="359E0A05" w14:textId="1F180818" w:rsidR="006F116E" w:rsidRPr="003E4C40" w:rsidRDefault="006F116E" w:rsidP="003E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ins w:id="16" w:author="Bock, Benjamin" w:date="2021-08-27T07:55:00Z"/>
          <w:rFonts w:ascii="Times New Roman" w:hAnsi="Times New Roman" w:cs="Times New Roman"/>
          <w:color w:val="000000"/>
        </w:rPr>
      </w:pPr>
      <w:ins w:id="17" w:author="Bock, Benjamin" w:date="2021-08-27T07:55:00Z">
        <w:r w:rsidRPr="003E4C40">
          <w:rPr>
            <w:rFonts w:ascii="Times New Roman" w:hAnsi="Times New Roman" w:cs="Times New Roman"/>
            <w:color w:val="000000"/>
          </w:rPr>
          <w:t>Guidance Note: This can occur, for example, when a rider -- such as a long</w:t>
        </w:r>
      </w:ins>
      <w:r w:rsidR="003E4C40">
        <w:rPr>
          <w:rFonts w:ascii="Times New Roman" w:hAnsi="Times New Roman" w:cs="Times New Roman"/>
          <w:color w:val="000000"/>
        </w:rPr>
        <w:t>-</w:t>
      </w:r>
      <w:ins w:id="18" w:author="Bock, Benjamin" w:date="2021-08-27T07:55:00Z">
        <w:r w:rsidRPr="003E4C40">
          <w:rPr>
            <w:rFonts w:ascii="Times New Roman" w:hAnsi="Times New Roman" w:cs="Times New Roman"/>
            <w:color w:val="000000"/>
          </w:rPr>
          <w:t xml:space="preserve">term care rider -- is being valued together with the base policy, pursuant to Section II, Subsection 6 of the </w:t>
        </w:r>
        <w:r w:rsidRPr="003E4C40">
          <w:rPr>
            <w:rFonts w:ascii="Times New Roman" w:hAnsi="Times New Roman" w:cs="Times New Roman"/>
            <w:i/>
            <w:iCs/>
            <w:color w:val="000000"/>
          </w:rPr>
          <w:t xml:space="preserve">Valuation Manual.   </w:t>
        </w:r>
        <w:r w:rsidRPr="003E4C40">
          <w:rPr>
            <w:rFonts w:ascii="Times New Roman" w:hAnsi="Times New Roman" w:cs="Times New Roman"/>
            <w:color w:val="000000"/>
          </w:rPr>
          <w:t xml:space="preserve">Reductions to mortality rates, rather than additions, would potentially be needed in such cases. Such a product/rider combination would likely need to be in its own separate mortality segment. </w:t>
        </w:r>
      </w:ins>
      <w:ins w:id="19" w:author="Bock, Benjamin" w:date="2021-08-27T07:58:00Z">
        <w:r w:rsidRPr="003E4C40">
          <w:rPr>
            <w:rFonts w:ascii="Times New Roman" w:hAnsi="Times New Roman" w:cs="Times New Roman"/>
            <w:color w:val="000000"/>
          </w:rPr>
          <w:t xml:space="preserve"> </w:t>
        </w:r>
      </w:ins>
      <w:ins w:id="20" w:author="Bock, Benjamin" w:date="2021-08-27T08:48:00Z">
        <w:r w:rsidR="00C56440" w:rsidRPr="003E4C40">
          <w:rPr>
            <w:rFonts w:ascii="Times New Roman" w:hAnsi="Times New Roman" w:cs="Times New Roman"/>
            <w:color w:val="000000"/>
          </w:rPr>
          <w:t xml:space="preserve">In the case of the </w:t>
        </w:r>
      </w:ins>
      <w:ins w:id="21" w:author="Bock, Benjamin" w:date="2021-08-27T08:49:00Z">
        <w:r w:rsidR="00C56440" w:rsidRPr="003E4C40">
          <w:rPr>
            <w:rFonts w:ascii="Times New Roman" w:hAnsi="Times New Roman" w:cs="Times New Roman"/>
            <w:color w:val="000000"/>
          </w:rPr>
          <w:t>product/</w:t>
        </w:r>
      </w:ins>
      <w:ins w:id="22" w:author="Bock, Benjamin" w:date="2021-08-27T08:48:00Z">
        <w:r w:rsidR="00C56440" w:rsidRPr="003E4C40">
          <w:rPr>
            <w:rFonts w:ascii="Times New Roman" w:hAnsi="Times New Roman" w:cs="Times New Roman"/>
            <w:color w:val="000000"/>
          </w:rPr>
          <w:t>rider</w:t>
        </w:r>
      </w:ins>
      <w:ins w:id="23" w:author="Bock, Benjamin" w:date="2021-08-27T08:49:00Z">
        <w:r w:rsidR="00C56440" w:rsidRPr="003E4C40">
          <w:rPr>
            <w:rFonts w:ascii="Times New Roman" w:hAnsi="Times New Roman" w:cs="Times New Roman"/>
            <w:color w:val="000000"/>
          </w:rPr>
          <w:t xml:space="preserve"> combination</w:t>
        </w:r>
      </w:ins>
      <w:ins w:id="24" w:author="Bock, Benjamin" w:date="2021-08-27T08:48:00Z">
        <w:r w:rsidR="00C56440" w:rsidRPr="003E4C40">
          <w:rPr>
            <w:rFonts w:ascii="Times New Roman" w:hAnsi="Times New Roman" w:cs="Times New Roman"/>
            <w:color w:val="000000"/>
          </w:rPr>
          <w:t>, a</w:t>
        </w:r>
      </w:ins>
      <w:ins w:id="25" w:author="Bock, Benjamin" w:date="2021-08-27T07:58:00Z">
        <w:r w:rsidRPr="003E4C40">
          <w:rPr>
            <w:rFonts w:ascii="Times New Roman" w:hAnsi="Times New Roman" w:cs="Times New Roman"/>
            <w:color w:val="000000"/>
          </w:rPr>
          <w:t xml:space="preserve">n adequate magnitude for a reserve increase </w:t>
        </w:r>
      </w:ins>
      <w:ins w:id="26" w:author="Bock, Benjamin" w:date="2021-08-27T07:59:00Z">
        <w:r w:rsidRPr="003E4C40">
          <w:rPr>
            <w:rFonts w:ascii="Times New Roman" w:hAnsi="Times New Roman" w:cs="Times New Roman"/>
            <w:color w:val="000000"/>
          </w:rPr>
          <w:t xml:space="preserve">can be thought of </w:t>
        </w:r>
      </w:ins>
      <w:ins w:id="27" w:author="Bock, Benjamin" w:date="2021-08-27T08:44:00Z">
        <w:r w:rsidR="00D15CDF" w:rsidRPr="003E4C40">
          <w:rPr>
            <w:rFonts w:ascii="Times New Roman" w:hAnsi="Times New Roman" w:cs="Times New Roman"/>
            <w:color w:val="000000"/>
          </w:rPr>
          <w:t>in terms of</w:t>
        </w:r>
      </w:ins>
      <w:ins w:id="28" w:author="Bock, Benjamin" w:date="2021-08-27T07:58:00Z">
        <w:r w:rsidRPr="003E4C40">
          <w:rPr>
            <w:rFonts w:ascii="Times New Roman" w:hAnsi="Times New Roman" w:cs="Times New Roman"/>
            <w:color w:val="000000"/>
          </w:rPr>
          <w:t xml:space="preserve"> </w:t>
        </w:r>
      </w:ins>
      <w:ins w:id="29" w:author="Bock, Benjamin" w:date="2021-08-27T07:59:00Z">
        <w:r w:rsidRPr="003E4C40">
          <w:rPr>
            <w:rFonts w:ascii="Times New Roman" w:hAnsi="Times New Roman" w:cs="Times New Roman"/>
            <w:color w:val="000000"/>
          </w:rPr>
          <w:t>the size</w:t>
        </w:r>
      </w:ins>
      <w:ins w:id="30" w:author="Bock, Benjamin" w:date="2021-08-27T07:58:00Z">
        <w:r w:rsidRPr="003E4C40">
          <w:rPr>
            <w:rFonts w:ascii="Times New Roman" w:hAnsi="Times New Roman" w:cs="Times New Roman"/>
            <w:color w:val="000000"/>
          </w:rPr>
          <w:t xml:space="preserve"> of res</w:t>
        </w:r>
      </w:ins>
      <w:ins w:id="31" w:author="Bock, Benjamin" w:date="2021-08-27T07:59:00Z">
        <w:r w:rsidRPr="003E4C40">
          <w:rPr>
            <w:rFonts w:ascii="Times New Roman" w:hAnsi="Times New Roman" w:cs="Times New Roman"/>
            <w:color w:val="000000"/>
          </w:rPr>
          <w:t>e</w:t>
        </w:r>
      </w:ins>
      <w:ins w:id="32" w:author="Bock, Benjamin" w:date="2021-08-27T07:58:00Z">
        <w:r w:rsidRPr="003E4C40">
          <w:rPr>
            <w:rFonts w:ascii="Times New Roman" w:hAnsi="Times New Roman" w:cs="Times New Roman"/>
            <w:color w:val="000000"/>
          </w:rPr>
          <w:t>rve i</w:t>
        </w:r>
      </w:ins>
      <w:ins w:id="33" w:author="Bock, Benjamin" w:date="2021-08-27T07:59:00Z">
        <w:r w:rsidRPr="003E4C40">
          <w:rPr>
            <w:rFonts w:ascii="Times New Roman" w:hAnsi="Times New Roman" w:cs="Times New Roman"/>
            <w:color w:val="000000"/>
          </w:rPr>
          <w:t>n</w:t>
        </w:r>
      </w:ins>
      <w:ins w:id="34" w:author="Bock, Benjamin" w:date="2021-08-27T07:58:00Z">
        <w:r w:rsidRPr="003E4C40">
          <w:rPr>
            <w:rFonts w:ascii="Times New Roman" w:hAnsi="Times New Roman" w:cs="Times New Roman"/>
            <w:color w:val="000000"/>
          </w:rPr>
          <w:t>creas</w:t>
        </w:r>
      </w:ins>
      <w:ins w:id="35" w:author="Bock, Benjamin" w:date="2021-08-27T08:00:00Z">
        <w:r w:rsidRPr="003E4C40">
          <w:rPr>
            <w:rFonts w:ascii="Times New Roman" w:hAnsi="Times New Roman" w:cs="Times New Roman"/>
            <w:color w:val="000000"/>
          </w:rPr>
          <w:t>e</w:t>
        </w:r>
      </w:ins>
      <w:ins w:id="36" w:author="Bock, Benjamin" w:date="2021-08-27T07:58:00Z">
        <w:r w:rsidRPr="003E4C40">
          <w:rPr>
            <w:rFonts w:ascii="Times New Roman" w:hAnsi="Times New Roman" w:cs="Times New Roman"/>
            <w:color w:val="000000"/>
          </w:rPr>
          <w:t xml:space="preserve"> that wou</w:t>
        </w:r>
      </w:ins>
      <w:ins w:id="37" w:author="Bock, Benjamin" w:date="2021-08-27T08:00:00Z">
        <w:r w:rsidRPr="003E4C40">
          <w:rPr>
            <w:rFonts w:ascii="Times New Roman" w:hAnsi="Times New Roman" w:cs="Times New Roman"/>
            <w:color w:val="000000"/>
          </w:rPr>
          <w:t>l</w:t>
        </w:r>
      </w:ins>
      <w:ins w:id="38" w:author="Bock, Benjamin" w:date="2021-08-27T07:58:00Z">
        <w:r w:rsidRPr="003E4C40">
          <w:rPr>
            <w:rFonts w:ascii="Times New Roman" w:hAnsi="Times New Roman" w:cs="Times New Roman"/>
            <w:color w:val="000000"/>
          </w:rPr>
          <w:t>d occur for the p</w:t>
        </w:r>
      </w:ins>
      <w:ins w:id="39" w:author="Bock, Benjamin" w:date="2021-08-27T08:06:00Z">
        <w:r w:rsidR="00AB69C6" w:rsidRPr="003E4C40">
          <w:rPr>
            <w:rFonts w:ascii="Times New Roman" w:hAnsi="Times New Roman" w:cs="Times New Roman"/>
            <w:color w:val="000000"/>
          </w:rPr>
          <w:t>roduct</w:t>
        </w:r>
      </w:ins>
      <w:ins w:id="40" w:author="Bock, Benjamin" w:date="2021-08-27T07:58:00Z">
        <w:r w:rsidRPr="003E4C40">
          <w:rPr>
            <w:rFonts w:ascii="Times New Roman" w:hAnsi="Times New Roman" w:cs="Times New Roman"/>
            <w:color w:val="000000"/>
          </w:rPr>
          <w:t xml:space="preserve"> </w:t>
        </w:r>
      </w:ins>
      <w:ins w:id="41" w:author="Bock, Benjamin" w:date="2021-08-27T08:01:00Z">
        <w:r w:rsidRPr="003E4C40">
          <w:rPr>
            <w:rFonts w:ascii="Times New Roman" w:hAnsi="Times New Roman" w:cs="Times New Roman"/>
            <w:color w:val="000000"/>
          </w:rPr>
          <w:t xml:space="preserve">using the tabular prescribed margins </w:t>
        </w:r>
      </w:ins>
      <w:ins w:id="42" w:author="Bock, Benjamin" w:date="2021-08-27T07:58:00Z">
        <w:r w:rsidRPr="003E4C40">
          <w:rPr>
            <w:rFonts w:ascii="Times New Roman" w:hAnsi="Times New Roman" w:cs="Times New Roman"/>
            <w:color w:val="000000"/>
          </w:rPr>
          <w:t>i</w:t>
        </w:r>
      </w:ins>
      <w:ins w:id="43" w:author="Bock, Benjamin" w:date="2021-08-27T08:00:00Z">
        <w:r w:rsidRPr="003E4C40">
          <w:rPr>
            <w:rFonts w:ascii="Times New Roman" w:hAnsi="Times New Roman" w:cs="Times New Roman"/>
            <w:color w:val="000000"/>
          </w:rPr>
          <w:t>f</w:t>
        </w:r>
      </w:ins>
      <w:ins w:id="44" w:author="Bock, Benjamin" w:date="2021-08-27T07:58:00Z">
        <w:r w:rsidRPr="003E4C40">
          <w:rPr>
            <w:rFonts w:ascii="Times New Roman" w:hAnsi="Times New Roman" w:cs="Times New Roman"/>
            <w:color w:val="000000"/>
          </w:rPr>
          <w:t xml:space="preserve"> t</w:t>
        </w:r>
      </w:ins>
      <w:ins w:id="45" w:author="Bock, Benjamin" w:date="2021-08-27T08:00:00Z">
        <w:r w:rsidRPr="003E4C40">
          <w:rPr>
            <w:rFonts w:ascii="Times New Roman" w:hAnsi="Times New Roman" w:cs="Times New Roman"/>
            <w:color w:val="000000"/>
          </w:rPr>
          <w:t>h</w:t>
        </w:r>
      </w:ins>
      <w:ins w:id="46" w:author="Bock, Benjamin" w:date="2021-08-27T07:58:00Z">
        <w:r w:rsidRPr="003E4C40">
          <w:rPr>
            <w:rFonts w:ascii="Times New Roman" w:hAnsi="Times New Roman" w:cs="Times New Roman"/>
            <w:color w:val="000000"/>
          </w:rPr>
          <w:t xml:space="preserve">e rider had not been </w:t>
        </w:r>
      </w:ins>
      <w:ins w:id="47" w:author="Bock, Benjamin" w:date="2021-08-27T08:00:00Z">
        <w:r w:rsidRPr="003E4C40">
          <w:rPr>
            <w:rFonts w:ascii="Times New Roman" w:hAnsi="Times New Roman" w:cs="Times New Roman"/>
            <w:color w:val="000000"/>
          </w:rPr>
          <w:t>p</w:t>
        </w:r>
      </w:ins>
      <w:ins w:id="48" w:author="Bock, Benjamin" w:date="2021-08-27T07:58:00Z">
        <w:r w:rsidRPr="003E4C40">
          <w:rPr>
            <w:rFonts w:ascii="Times New Roman" w:hAnsi="Times New Roman" w:cs="Times New Roman"/>
            <w:color w:val="000000"/>
          </w:rPr>
          <w:t>res</w:t>
        </w:r>
      </w:ins>
      <w:ins w:id="49" w:author="Bock, Benjamin" w:date="2021-08-27T08:00:00Z">
        <w:r w:rsidRPr="003E4C40">
          <w:rPr>
            <w:rFonts w:ascii="Times New Roman" w:hAnsi="Times New Roman" w:cs="Times New Roman"/>
            <w:color w:val="000000"/>
          </w:rPr>
          <w:t>e</w:t>
        </w:r>
      </w:ins>
      <w:ins w:id="50" w:author="Bock, Benjamin" w:date="2021-08-27T07:58:00Z">
        <w:r w:rsidRPr="003E4C40">
          <w:rPr>
            <w:rFonts w:ascii="Times New Roman" w:hAnsi="Times New Roman" w:cs="Times New Roman"/>
            <w:color w:val="000000"/>
          </w:rPr>
          <w:t xml:space="preserve">nt.  </w:t>
        </w:r>
      </w:ins>
    </w:p>
    <w:p w14:paraId="0AF331EB" w14:textId="77777777" w:rsidR="006F116E" w:rsidRDefault="006F116E" w:rsidP="006F116E">
      <w:pPr>
        <w:ind w:left="720"/>
        <w:rPr>
          <w:ins w:id="51" w:author="Bock, Benjamin" w:date="2021-08-27T07:55:00Z"/>
          <w:color w:val="000000"/>
        </w:rPr>
      </w:pPr>
    </w:p>
    <w:p w14:paraId="2ECEBE84" w14:textId="77777777" w:rsidR="001A6C8E" w:rsidRDefault="001A6C8E" w:rsidP="001A6C8E">
      <w:pPr>
        <w:rPr>
          <w:rFonts w:ascii="Times New Roman" w:eastAsia="Times New Roman" w:hAnsi="Times New Roman"/>
          <w:b/>
          <w:bCs/>
          <w:iCs/>
          <w:u w:val="single"/>
        </w:rPr>
      </w:pPr>
      <w:r>
        <w:rPr>
          <w:rFonts w:ascii="Times New Roman" w:eastAsia="Times New Roman" w:hAnsi="Times New Roman"/>
          <w:b/>
          <w:bCs/>
          <w:iCs/>
          <w:u w:val="single"/>
        </w:rPr>
        <w:t>VM-20 Section 9.C.7.a</w:t>
      </w:r>
    </w:p>
    <w:p w14:paraId="4C6FA5FE" w14:textId="77777777" w:rsidR="001A6C8E" w:rsidRDefault="001A6C8E" w:rsidP="001A6C8E">
      <w:pPr>
        <w:rPr>
          <w:ins w:id="52" w:author="Bock, Benjamin" w:date="2021-08-27T08:25:00Z"/>
          <w:rFonts w:ascii="Times New Roman" w:eastAsia="Times New Roman" w:hAnsi="Times New Roman"/>
          <w:b/>
          <w:bCs/>
          <w:iCs/>
          <w:u w:val="single"/>
        </w:rPr>
      </w:pPr>
    </w:p>
    <w:p w14:paraId="723FEB85" w14:textId="77777777" w:rsidR="004D3D6E" w:rsidRPr="00465680" w:rsidRDefault="004D3D6E" w:rsidP="004D3D6E">
      <w:pPr>
        <w:keepNext/>
        <w:autoSpaceDE w:val="0"/>
        <w:autoSpaceDN w:val="0"/>
        <w:adjustRightInd w:val="0"/>
        <w:spacing w:after="220"/>
        <w:ind w:left="2160" w:hanging="720"/>
        <w:jc w:val="both"/>
        <w:rPr>
          <w:rFonts w:ascii="Times New Roman" w:eastAsia="Times New Roman" w:hAnsi="Times New Roman"/>
          <w:color w:val="000000"/>
        </w:rPr>
      </w:pPr>
      <w:r w:rsidRPr="00465680">
        <w:rPr>
          <w:rFonts w:ascii="Times New Roman" w:eastAsia="Times New Roman" w:hAnsi="Times New Roman"/>
        </w:rPr>
        <w:t>a.</w:t>
      </w:r>
      <w:r w:rsidRPr="00465680">
        <w:rPr>
          <w:rFonts w:ascii="Times New Roman" w:eastAsia="Times New Roman" w:hAnsi="Times New Roman"/>
        </w:rPr>
        <w:tab/>
        <w:t>If applicable industry basic tables are used in lieu of company experience</w:t>
      </w:r>
      <w:r>
        <w:rPr>
          <w:rFonts w:ascii="Times New Roman" w:eastAsia="Times New Roman" w:hAnsi="Times New Roman"/>
        </w:rPr>
        <w:t xml:space="preserve"> as the anticipated experience assumptions</w:t>
      </w:r>
      <w:r w:rsidRPr="00465680">
        <w:rPr>
          <w:rFonts w:ascii="Times New Roman" w:eastAsia="Times New Roman" w:hAnsi="Times New Roman"/>
        </w:rPr>
        <w:t xml:space="preserve">, </w:t>
      </w:r>
      <w:r w:rsidRPr="0069603E">
        <w:rPr>
          <w:rFonts w:ascii="Times New Roman" w:eastAsia="Times New Roman" w:hAnsi="Times New Roman"/>
        </w:rPr>
        <w:t>or if the level of credibility of the data as provided in Section 9.C.</w:t>
      </w:r>
      <w:r>
        <w:rPr>
          <w:rFonts w:ascii="Times New Roman" w:eastAsia="Times New Roman" w:hAnsi="Times New Roman"/>
        </w:rPr>
        <w:t>5</w:t>
      </w:r>
      <w:r w:rsidRPr="0069603E">
        <w:rPr>
          <w:rFonts w:ascii="Times New Roman" w:eastAsia="Times New Roman" w:hAnsi="Times New Roman"/>
        </w:rPr>
        <w:t xml:space="preserve"> is less than 20%,</w:t>
      </w:r>
      <w:r>
        <w:rPr>
          <w:rFonts w:ascii="Times New Roman" w:eastAsia="Times New Roman" w:hAnsi="Times New Roman"/>
        </w:rPr>
        <w:t xml:space="preserve"> </w:t>
      </w:r>
      <w:r w:rsidRPr="00465680">
        <w:rPr>
          <w:rFonts w:ascii="Times New Roman" w:eastAsia="Times New Roman" w:hAnsi="Times New Roman"/>
        </w:rPr>
        <w:t xml:space="preserve">the prudent estimate assumptions for each mortality segment shall equal the respective mortality rates in the applicable industry basic </w:t>
      </w:r>
      <w:r w:rsidRPr="00465680">
        <w:rPr>
          <w:rFonts w:ascii="Times New Roman" w:eastAsia="Times New Roman" w:hAnsi="Times New Roman"/>
          <w:color w:val="000000"/>
        </w:rPr>
        <w:t xml:space="preserve">tables as provided in Section 9.C.3, </w:t>
      </w:r>
      <w:r w:rsidRPr="008E50CD">
        <w:rPr>
          <w:rFonts w:ascii="Times New Roman" w:hAnsi="Times New Roman"/>
        </w:rPr>
        <w:t>including any applicable improvement pursuant to Section 9.C.</w:t>
      </w:r>
      <w:r w:rsidRPr="002B06BE">
        <w:rPr>
          <w:rFonts w:ascii="Times New Roman" w:hAnsi="Times New Roman"/>
        </w:rPr>
        <w:t>3</w:t>
      </w:r>
      <w:r w:rsidRPr="008E50CD">
        <w:rPr>
          <w:rFonts w:ascii="Times New Roman" w:hAnsi="Times New Roman"/>
        </w:rPr>
        <w:t xml:space="preserve">.g, </w:t>
      </w:r>
      <w:r w:rsidRPr="00465680">
        <w:rPr>
          <w:rFonts w:ascii="Times New Roman" w:eastAsia="Times New Roman" w:hAnsi="Times New Roman"/>
          <w:color w:val="000000"/>
        </w:rPr>
        <w:t>plus the prescribed margin as provided in Section 9.C.</w:t>
      </w:r>
      <w:r>
        <w:rPr>
          <w:rFonts w:ascii="Times New Roman" w:eastAsia="Times New Roman" w:hAnsi="Times New Roman"/>
          <w:color w:val="000000"/>
        </w:rPr>
        <w:t>6</w:t>
      </w:r>
      <w:r w:rsidRPr="00465680">
        <w:rPr>
          <w:rFonts w:ascii="Times New Roman" w:eastAsia="Times New Roman" w:hAnsi="Times New Roman"/>
          <w:color w:val="000000"/>
        </w:rPr>
        <w:t>.c</w:t>
      </w:r>
      <w:r>
        <w:rPr>
          <w:rFonts w:ascii="Times New Roman" w:eastAsia="Times New Roman" w:hAnsi="Times New Roman"/>
          <w:color w:val="000000"/>
        </w:rPr>
        <w:t>,</w:t>
      </w:r>
      <w:r w:rsidRPr="00465680">
        <w:t xml:space="preserve"> </w:t>
      </w:r>
      <w:ins w:id="53" w:author="Bock, Benjamin" w:date="2021-08-27T08:27:00Z">
        <w:r w:rsidR="00D37572" w:rsidRPr="003E4C40">
          <w:rPr>
            <w:rFonts w:ascii="Times New Roman" w:hAnsi="Times New Roman" w:cs="Times New Roman"/>
          </w:rPr>
          <w:t>and further adjusted</w:t>
        </w:r>
        <w:r w:rsidR="00D37572">
          <w:t xml:space="preserve"> </w:t>
        </w:r>
        <w:r w:rsidR="00D37572" w:rsidRPr="003E4C40">
          <w:rPr>
            <w:rFonts w:ascii="Times New Roman" w:hAnsi="Times New Roman" w:cs="Times New Roman"/>
          </w:rPr>
          <w:t>by</w:t>
        </w:r>
      </w:ins>
      <w:del w:id="54" w:author="Bock, Benjamin" w:date="2021-08-27T08:27:00Z">
        <w:r w:rsidRPr="00D10FA0" w:rsidDel="00D37572">
          <w:rPr>
            <w:rFonts w:ascii="Times New Roman" w:hAnsi="Times New Roman"/>
          </w:rPr>
          <w:delText>plus</w:delText>
        </w:r>
      </w:del>
      <w:r w:rsidRPr="00D10FA0">
        <w:rPr>
          <w:rFonts w:ascii="Times New Roman" w:hAnsi="Times New Roman"/>
        </w:rPr>
        <w:t xml:space="preserve"> any applicable </w:t>
      </w:r>
      <w:del w:id="55" w:author="Bock, Benjamin" w:date="2021-08-27T08:27:00Z">
        <w:r w:rsidRPr="00D10FA0" w:rsidDel="00D37572">
          <w:rPr>
            <w:rFonts w:ascii="Times New Roman" w:hAnsi="Times New Roman"/>
          </w:rPr>
          <w:delText xml:space="preserve">additional </w:delText>
        </w:r>
      </w:del>
      <w:r w:rsidRPr="00D10FA0">
        <w:rPr>
          <w:rFonts w:ascii="Times New Roman" w:hAnsi="Times New Roman"/>
        </w:rPr>
        <w:t xml:space="preserve">margin </w:t>
      </w:r>
      <w:ins w:id="56" w:author="Bock, Benjamin" w:date="2021-08-27T08:27:00Z">
        <w:r w:rsidR="00D37572">
          <w:rPr>
            <w:rFonts w:ascii="Times New Roman" w:hAnsi="Times New Roman"/>
          </w:rPr>
          <w:t xml:space="preserve">changes </w:t>
        </w:r>
      </w:ins>
      <w:r w:rsidRPr="007B0CA9">
        <w:rPr>
          <w:rFonts w:ascii="Times New Roman" w:hAnsi="Times New Roman"/>
        </w:rPr>
        <w:t>pursuant to</w:t>
      </w:r>
      <w:r w:rsidRPr="0075442B">
        <w:rPr>
          <w:rFonts w:ascii="Times New Roman" w:hAnsi="Times New Roman"/>
        </w:rPr>
        <w:t xml:space="preserve"> Section 9.C.</w:t>
      </w:r>
      <w:r>
        <w:rPr>
          <w:rFonts w:ascii="Times New Roman" w:hAnsi="Times New Roman"/>
        </w:rPr>
        <w:t>6</w:t>
      </w:r>
      <w:r w:rsidRPr="0075442B">
        <w:rPr>
          <w:rFonts w:ascii="Times New Roman" w:hAnsi="Times New Roman"/>
        </w:rPr>
        <w:t xml:space="preserve">.d.v </w:t>
      </w:r>
      <w:r w:rsidRPr="007B0CA9">
        <w:rPr>
          <w:rFonts w:ascii="Times New Roman" w:hAnsi="Times New Roman"/>
        </w:rPr>
        <w:t>and/or Section</w:t>
      </w:r>
      <w:r>
        <w:rPr>
          <w:rFonts w:ascii="Times New Roman" w:hAnsi="Times New Roman"/>
        </w:rPr>
        <w:t xml:space="preserve"> </w:t>
      </w:r>
      <w:r w:rsidRPr="00D10FA0">
        <w:rPr>
          <w:rFonts w:ascii="Times New Roman" w:hAnsi="Times New Roman"/>
        </w:rPr>
        <w:t>9.C.</w:t>
      </w:r>
      <w:r>
        <w:rPr>
          <w:rFonts w:ascii="Times New Roman" w:hAnsi="Times New Roman"/>
        </w:rPr>
        <w:t>6</w:t>
      </w:r>
      <w:r w:rsidRPr="00D10FA0">
        <w:rPr>
          <w:rFonts w:ascii="Times New Roman" w:hAnsi="Times New Roman"/>
        </w:rPr>
        <w:t>.d.vi</w:t>
      </w:r>
      <w:ins w:id="57" w:author="Bock, Benjamin" w:date="2021-08-27T08:27:00Z">
        <w:r w:rsidR="00D37572">
          <w:rPr>
            <w:rFonts w:ascii="Times New Roman" w:hAnsi="Times New Roman"/>
          </w:rPr>
          <w:t xml:space="preserve"> and/or Section 9.C.6.e</w:t>
        </w:r>
      </w:ins>
      <w:r w:rsidRPr="00D10FA0">
        <w:rPr>
          <w:rFonts w:ascii="Times New Roman" w:hAnsi="Times New Roman"/>
        </w:rPr>
        <w:t>.</w:t>
      </w:r>
    </w:p>
    <w:p w14:paraId="193B3CE3" w14:textId="77777777" w:rsidR="00D37572" w:rsidRDefault="00D37572" w:rsidP="00D37572">
      <w:pPr>
        <w:rPr>
          <w:rFonts w:ascii="Times New Roman" w:eastAsia="Times New Roman" w:hAnsi="Times New Roman"/>
          <w:b/>
          <w:bCs/>
          <w:iCs/>
          <w:u w:val="single"/>
        </w:rPr>
      </w:pPr>
      <w:r>
        <w:rPr>
          <w:rFonts w:ascii="Times New Roman" w:eastAsia="Times New Roman" w:hAnsi="Times New Roman"/>
          <w:b/>
          <w:bCs/>
          <w:iCs/>
          <w:u w:val="single"/>
        </w:rPr>
        <w:t>VM-20 Section 9.C.7.b.v</w:t>
      </w:r>
    </w:p>
    <w:p w14:paraId="109B95C7" w14:textId="77777777" w:rsidR="00D37572" w:rsidRDefault="00D37572" w:rsidP="00D37572">
      <w:pPr>
        <w:rPr>
          <w:rFonts w:ascii="Times New Roman" w:eastAsia="Times New Roman" w:hAnsi="Times New Roman"/>
          <w:b/>
          <w:bCs/>
          <w:iCs/>
          <w:u w:val="single"/>
        </w:rPr>
      </w:pPr>
    </w:p>
    <w:p w14:paraId="3BCDA772" w14:textId="77777777" w:rsidR="00D37572" w:rsidRPr="003F0157" w:rsidRDefault="00D37572" w:rsidP="00D37572">
      <w:pPr>
        <w:tabs>
          <w:tab w:val="left" w:pos="9270"/>
        </w:tabs>
        <w:spacing w:after="220"/>
        <w:ind w:left="2160" w:hanging="720"/>
        <w:jc w:val="both"/>
        <w:rPr>
          <w:rFonts w:ascii="Times New Roman" w:eastAsia="Times New Roman" w:hAnsi="Times New Roman"/>
        </w:rPr>
      </w:pPr>
      <w:r w:rsidRPr="003F0157">
        <w:rPr>
          <w:rFonts w:ascii="Times New Roman" w:eastAsia="Times New Roman" w:hAnsi="Times New Roman"/>
        </w:rPr>
        <w:t>v.</w:t>
      </w:r>
      <w:r w:rsidRPr="003F0157">
        <w:rPr>
          <w:rFonts w:ascii="Times New Roman" w:eastAsia="Times New Roman" w:hAnsi="Times New Roman"/>
        </w:rPr>
        <w:tab/>
        <w:t>For each policy in a given mortality segment, from the start of the projection through policy duration E, the prudent estimate mortality assumptions are the company experience mortality rates (as defined in Section 9.C.2)</w:t>
      </w:r>
      <w:r>
        <w:rPr>
          <w:rFonts w:ascii="Times New Roman" w:eastAsia="Times New Roman" w:hAnsi="Times New Roman"/>
        </w:rPr>
        <w:t>,</w:t>
      </w:r>
      <w:r w:rsidRPr="003F0157">
        <w:rPr>
          <w:rFonts w:ascii="Times New Roman" w:eastAsia="Times New Roman" w:hAnsi="Times New Roman"/>
        </w:rPr>
        <w:t xml:space="preserve"> plus the prescribed margin pursuant to Section 9.C.</w:t>
      </w:r>
      <w:r>
        <w:rPr>
          <w:rFonts w:ascii="Times New Roman" w:eastAsia="Times New Roman" w:hAnsi="Times New Roman"/>
        </w:rPr>
        <w:t>6</w:t>
      </w:r>
      <w:r w:rsidRPr="003F0157">
        <w:rPr>
          <w:rFonts w:ascii="Times New Roman" w:eastAsia="Times New Roman" w:hAnsi="Times New Roman"/>
        </w:rPr>
        <w:t xml:space="preserve">.b, </w:t>
      </w:r>
      <w:ins w:id="58" w:author="Bock, Benjamin" w:date="2021-08-27T08:32:00Z">
        <w:r>
          <w:rPr>
            <w:rFonts w:ascii="Times New Roman" w:eastAsia="Times New Roman" w:hAnsi="Times New Roman"/>
          </w:rPr>
          <w:t>and further adjusted by</w:t>
        </w:r>
      </w:ins>
      <w:del w:id="59" w:author="Bock, Benjamin" w:date="2021-08-27T08:32:00Z">
        <w:r w:rsidRPr="003F0157" w:rsidDel="00D37572">
          <w:rPr>
            <w:rFonts w:ascii="Times New Roman" w:eastAsia="Times New Roman" w:hAnsi="Times New Roman"/>
          </w:rPr>
          <w:delText>plus</w:delText>
        </w:r>
      </w:del>
      <w:r w:rsidRPr="003F0157">
        <w:rPr>
          <w:rFonts w:ascii="Times New Roman" w:eastAsia="Times New Roman" w:hAnsi="Times New Roman"/>
        </w:rPr>
        <w:t xml:space="preserve"> any </w:t>
      </w:r>
      <w:ins w:id="60" w:author="Bock, Benjamin" w:date="2021-08-27T08:32:00Z">
        <w:r>
          <w:rPr>
            <w:rFonts w:ascii="Times New Roman" w:eastAsia="Times New Roman" w:hAnsi="Times New Roman"/>
          </w:rPr>
          <w:t>applicable</w:t>
        </w:r>
      </w:ins>
      <w:del w:id="61" w:author="Bock, Benjamin" w:date="2021-08-27T08:32:00Z">
        <w:r w:rsidRPr="003F0157" w:rsidDel="00D37572">
          <w:rPr>
            <w:rFonts w:ascii="Times New Roman" w:eastAsia="Times New Roman" w:hAnsi="Times New Roman"/>
          </w:rPr>
          <w:delText>additional</w:delText>
        </w:r>
      </w:del>
      <w:r w:rsidRPr="003F0157">
        <w:rPr>
          <w:rFonts w:ascii="Times New Roman" w:eastAsia="Times New Roman" w:hAnsi="Times New Roman"/>
        </w:rPr>
        <w:t xml:space="preserve"> margin </w:t>
      </w:r>
      <w:ins w:id="62" w:author="Bock, Benjamin" w:date="2021-08-27T08:32:00Z">
        <w:r>
          <w:rPr>
            <w:rFonts w:ascii="Times New Roman" w:eastAsia="Times New Roman" w:hAnsi="Times New Roman"/>
          </w:rPr>
          <w:t xml:space="preserve">changes </w:t>
        </w:r>
      </w:ins>
      <w:r w:rsidRPr="003F0157">
        <w:rPr>
          <w:rFonts w:ascii="Times New Roman" w:eastAsia="Times New Roman" w:hAnsi="Times New Roman"/>
        </w:rPr>
        <w:t>pursuant to Section 9.C.</w:t>
      </w:r>
      <w:r>
        <w:rPr>
          <w:rFonts w:ascii="Times New Roman" w:eastAsia="Times New Roman" w:hAnsi="Times New Roman"/>
        </w:rPr>
        <w:t>6</w:t>
      </w:r>
      <w:r w:rsidRPr="003F0157">
        <w:rPr>
          <w:rFonts w:ascii="Times New Roman" w:eastAsia="Times New Roman" w:hAnsi="Times New Roman"/>
        </w:rPr>
        <w:t>.d</w:t>
      </w:r>
      <w:ins w:id="63" w:author="Bock, Benjamin" w:date="2021-08-27T08:32:00Z">
        <w:r>
          <w:rPr>
            <w:rFonts w:ascii="Times New Roman" w:eastAsia="Times New Roman" w:hAnsi="Times New Roman"/>
          </w:rPr>
          <w:t xml:space="preserve"> or Section 9.C.6.e</w:t>
        </w:r>
      </w:ins>
      <w:r w:rsidRPr="003F0157">
        <w:rPr>
          <w:rFonts w:ascii="Times New Roman" w:eastAsia="Times New Roman" w:hAnsi="Times New Roman"/>
        </w:rPr>
        <w:t xml:space="preserve">. </w:t>
      </w:r>
    </w:p>
    <w:p w14:paraId="5B9D8413" w14:textId="77777777" w:rsidR="00D37572" w:rsidRDefault="00D37572" w:rsidP="00D37572">
      <w:pPr>
        <w:rPr>
          <w:ins w:id="64" w:author="Bock, Benjamin" w:date="2021-08-27T08:30:00Z"/>
          <w:rFonts w:ascii="Times New Roman" w:eastAsia="Times New Roman" w:hAnsi="Times New Roman"/>
          <w:b/>
          <w:bCs/>
          <w:iCs/>
          <w:u w:val="single"/>
        </w:rPr>
      </w:pPr>
    </w:p>
    <w:p w14:paraId="44E0A791" w14:textId="77777777" w:rsidR="004D3D6E" w:rsidRDefault="004D3D6E" w:rsidP="001A6C8E">
      <w:pPr>
        <w:rPr>
          <w:rFonts w:ascii="Times New Roman" w:eastAsia="Times New Roman" w:hAnsi="Times New Roman"/>
          <w:b/>
          <w:bCs/>
          <w:iCs/>
          <w:u w:val="single"/>
        </w:rPr>
      </w:pPr>
    </w:p>
    <w:p w14:paraId="79893745" w14:textId="77777777" w:rsidR="006D6AC2" w:rsidRDefault="006D6AC2" w:rsidP="00996137">
      <w:pPr>
        <w:pStyle w:val="Default"/>
        <w:rPr>
          <w:ins w:id="65" w:author="Bock, Benjamin" w:date="2021-08-27T08:25:00Z"/>
          <w:sz w:val="22"/>
          <w:szCs w:val="22"/>
        </w:rPr>
      </w:pPr>
    </w:p>
    <w:p w14:paraId="201A4ADA" w14:textId="77777777" w:rsidR="001A6C8E" w:rsidRDefault="001A6C8E" w:rsidP="00996137">
      <w:pPr>
        <w:pStyle w:val="Default"/>
        <w:rPr>
          <w:sz w:val="22"/>
          <w:szCs w:val="22"/>
        </w:rPr>
      </w:pPr>
    </w:p>
    <w:p w14:paraId="2BB65F8B" w14:textId="77777777" w:rsidR="001A6C8E" w:rsidRDefault="001A6C8E" w:rsidP="001A6C8E">
      <w:pPr>
        <w:rPr>
          <w:rFonts w:ascii="Times New Roman" w:eastAsia="Times New Roman" w:hAnsi="Times New Roman"/>
          <w:b/>
          <w:bCs/>
          <w:iCs/>
          <w:u w:val="single"/>
        </w:rPr>
      </w:pPr>
      <w:r>
        <w:rPr>
          <w:rFonts w:ascii="Times New Roman" w:eastAsia="Times New Roman" w:hAnsi="Times New Roman"/>
          <w:b/>
          <w:bCs/>
          <w:iCs/>
          <w:u w:val="single"/>
        </w:rPr>
        <w:t>(New) VM-31 Section 3.D.3.o</w:t>
      </w:r>
    </w:p>
    <w:p w14:paraId="0E7C22E1" w14:textId="77777777" w:rsidR="00497674" w:rsidRPr="00497674" w:rsidRDefault="00497674" w:rsidP="0049767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B52BAE0" w14:textId="77777777" w:rsidR="00497674" w:rsidRDefault="001A6C8E" w:rsidP="00996137">
      <w:pPr>
        <w:pStyle w:val="Default"/>
        <w:rPr>
          <w:sz w:val="22"/>
          <w:szCs w:val="22"/>
        </w:rPr>
      </w:pPr>
      <w:ins w:id="66" w:author="Bock, Benjamin" w:date="2021-08-27T08:15:00Z">
        <w:r>
          <w:t xml:space="preserve">            o.  </w:t>
        </w:r>
      </w:ins>
      <w:ins w:id="67" w:author="Bock, Benjamin" w:date="2021-08-27T08:19:00Z">
        <w:r w:rsidRPr="003E4C40">
          <w:rPr>
            <w:u w:val="single"/>
          </w:rPr>
          <w:t>Adjustments to Prescribed Margins</w:t>
        </w:r>
        <w:r>
          <w:t xml:space="preserve"> - </w:t>
        </w:r>
      </w:ins>
      <w:ins w:id="68" w:author="Bock, Benjamin" w:date="2021-08-27T08:15:00Z">
        <w:r>
          <w:t xml:space="preserve">Description </w:t>
        </w:r>
      </w:ins>
      <w:ins w:id="69" w:author="Bock, Benjamin" w:date="2021-08-27T08:19:00Z">
        <w:r>
          <w:t>and rationale for</w:t>
        </w:r>
      </w:ins>
      <w:ins w:id="70" w:author="Bock, Benjamin" w:date="2021-08-27T08:15:00Z">
        <w:r>
          <w:t xml:space="preserve"> any adjustments made to prescribed mortality margins pursuant to VM-20 Section 9.C.6.d or 9.C.6.e.</w:t>
        </w:r>
      </w:ins>
    </w:p>
    <w:p w14:paraId="3FD7F280" w14:textId="77777777" w:rsidR="001A6C8E" w:rsidRDefault="001A6C8E" w:rsidP="00401682">
      <w:pPr>
        <w:pStyle w:val="Heading4"/>
        <w:rPr>
          <w:ins w:id="71" w:author="Bock, Benjamin" w:date="2021-08-27T08:19:00Z"/>
        </w:rPr>
      </w:pPr>
      <w:bookmarkStart w:id="72" w:name="Claim_Reserves"/>
      <w:bookmarkStart w:id="73" w:name="bookmark1"/>
      <w:bookmarkStart w:id="74" w:name="Riders_and_Supplemental_Benefits"/>
      <w:bookmarkStart w:id="75" w:name="Section_4:_Interest"/>
      <w:bookmarkStart w:id="76" w:name="bookmark4"/>
      <w:bookmarkStart w:id="77" w:name="VM-02:_Minimum_Nonforfeiture_Mortality_a"/>
      <w:bookmarkStart w:id="78" w:name="Table_of_Contents"/>
      <w:bookmarkStart w:id="79" w:name="Section_1:_Purpose"/>
      <w:bookmarkStart w:id="80" w:name="Section_2:_Applicability"/>
      <w:bookmarkStart w:id="81" w:name="Section_3:_Definitions"/>
      <w:bookmarkStart w:id="82" w:name="bookmark2"/>
      <w:bookmarkStart w:id="83" w:name="bookmark3"/>
      <w:bookmarkStart w:id="84" w:name="Section_5:_Mortality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14:paraId="5A7EEB25" w14:textId="77777777" w:rsidR="00401682" w:rsidRDefault="00401682" w:rsidP="00401682">
      <w:pPr>
        <w:pStyle w:val="Heading4"/>
      </w:pPr>
      <w:r>
        <w:t>REASONING:</w:t>
      </w:r>
    </w:p>
    <w:p w14:paraId="520FD1B1" w14:textId="77777777" w:rsidR="0019534D" w:rsidRDefault="0019534D" w:rsidP="00A53E0D"/>
    <w:p w14:paraId="43EC58AE" w14:textId="77777777" w:rsidR="00C56440" w:rsidRDefault="00C56440" w:rsidP="005D478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want to make sure that mortality margins always increase, rather than decreased, the modeled reserve.</w:t>
      </w:r>
    </w:p>
    <w:p w14:paraId="5D12DBD5" w14:textId="77777777" w:rsidR="005D4785" w:rsidRPr="005D4785" w:rsidRDefault="005D4785" w:rsidP="005D4785">
      <w:pPr>
        <w:rPr>
          <w:rFonts w:ascii="Times New Roman" w:hAnsi="Times New Roman" w:cs="Times New Roman"/>
        </w:rPr>
      </w:pPr>
    </w:p>
    <w:sectPr w:rsidR="005D4785" w:rsidRPr="005D4785" w:rsidSect="003E4C40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3688D" w14:textId="77777777" w:rsidR="0054151E" w:rsidRDefault="0054151E">
      <w:r>
        <w:separator/>
      </w:r>
    </w:p>
  </w:endnote>
  <w:endnote w:type="continuationSeparator" w:id="0">
    <w:p w14:paraId="5C23E4EE" w14:textId="77777777" w:rsidR="0054151E" w:rsidRDefault="0054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654D" w14:textId="77777777" w:rsidR="0054151E" w:rsidRDefault="0054151E">
      <w:r>
        <w:separator/>
      </w:r>
    </w:p>
  </w:footnote>
  <w:footnote w:type="continuationSeparator" w:id="0">
    <w:p w14:paraId="3A8A53EA" w14:textId="77777777" w:rsidR="0054151E" w:rsidRDefault="00541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A58D" w14:textId="77777777" w:rsidR="009A70EF" w:rsidRDefault="009A70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7C525D" wp14:editId="6F70896E">
              <wp:simplePos x="0" y="0"/>
              <wp:positionH relativeFrom="page">
                <wp:posOffset>673100</wp:posOffset>
              </wp:positionH>
              <wp:positionV relativeFrom="page">
                <wp:posOffset>459105</wp:posOffset>
              </wp:positionV>
              <wp:extent cx="370205" cy="139700"/>
              <wp:effectExtent l="0" t="1905" r="444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041E3" w14:textId="77777777" w:rsidR="009A70EF" w:rsidRDefault="009A70EF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VM-51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DFB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6.15pt;width:29.1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fArgIAAKg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" filled="f" stroked="f">
              <v:textbox inset="0,0,0,0">
                <w:txbxContent>
                  <w:p w:rsidR="009A70EF" w:rsidRDefault="009A70EF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VM-51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B554463" wp14:editId="212D5485">
              <wp:simplePos x="0" y="0"/>
              <wp:positionH relativeFrom="page">
                <wp:posOffset>2889250</wp:posOffset>
              </wp:positionH>
              <wp:positionV relativeFrom="page">
                <wp:posOffset>459105</wp:posOffset>
              </wp:positionV>
              <wp:extent cx="1536065" cy="139700"/>
              <wp:effectExtent l="3175" t="1905" r="381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0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33543" w14:textId="77777777" w:rsidR="009A70EF" w:rsidRDefault="009A70EF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Experience Reporting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Formats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9B43F" id="Text Box 3" o:spid="_x0000_s1027" type="#_x0000_t202" style="position:absolute;margin-left:227.5pt;margin-top:36.15pt;width:120.9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" filled="f" stroked="f">
              <v:textbox inset="0,0,0,0">
                <w:txbxContent>
                  <w:p w:rsidR="009A70EF" w:rsidRDefault="009A70EF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Experience Reporting</w:t>
                    </w:r>
                    <w:r>
                      <w:rPr>
                        <w:rFonts w:asci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Formats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CCCCCC"/>
      <w:tblLook w:val="01E0" w:firstRow="1" w:lastRow="1" w:firstColumn="1" w:lastColumn="1" w:noHBand="0" w:noVBand="0"/>
    </w:tblPr>
    <w:tblGrid>
      <w:gridCol w:w="1984"/>
      <w:gridCol w:w="1891"/>
      <w:gridCol w:w="1876"/>
      <w:gridCol w:w="3599"/>
    </w:tblGrid>
    <w:tr w:rsidR="003E4C40" w:rsidRPr="00016EA9" w14:paraId="4086D809" w14:textId="77777777" w:rsidTr="00E6369F">
      <w:trPr>
        <w:trHeight w:val="197"/>
        <w:jc w:val="center"/>
      </w:trPr>
      <w:tc>
        <w:tcPr>
          <w:tcW w:w="2088" w:type="dxa"/>
          <w:shd w:val="clear" w:color="auto" w:fill="CCCCCC"/>
        </w:tcPr>
        <w:p w14:paraId="0D36C1CE" w14:textId="77777777" w:rsidR="003E4C40" w:rsidRPr="00016EA9" w:rsidRDefault="003E4C40" w:rsidP="003E4C40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16EA9">
            <w:rPr>
              <w:rFonts w:ascii="Arial" w:eastAsia="Times New Roman" w:hAnsi="Arial" w:cs="Arial"/>
              <w:b/>
              <w:sz w:val="20"/>
              <w:szCs w:val="20"/>
            </w:rPr>
            <w:t xml:space="preserve">Dates: </w:t>
          </w:r>
          <w:r w:rsidRPr="00016EA9">
            <w:rPr>
              <w:rFonts w:ascii="Arial" w:eastAsia="Times New Roman" w:hAnsi="Arial" w:cs="Arial"/>
              <w:sz w:val="20"/>
              <w:szCs w:val="20"/>
            </w:rPr>
            <w:t>Received</w:t>
          </w:r>
        </w:p>
      </w:tc>
      <w:tc>
        <w:tcPr>
          <w:tcW w:w="1980" w:type="dxa"/>
          <w:shd w:val="clear" w:color="auto" w:fill="CCCCCC"/>
        </w:tcPr>
        <w:p w14:paraId="08B5C6EB" w14:textId="77777777" w:rsidR="003E4C40" w:rsidRPr="00016EA9" w:rsidRDefault="003E4C40" w:rsidP="003E4C40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16EA9">
            <w:rPr>
              <w:rFonts w:ascii="Arial" w:eastAsia="Times New Roman" w:hAnsi="Arial" w:cs="Arial"/>
              <w:sz w:val="20"/>
              <w:szCs w:val="20"/>
            </w:rPr>
            <w:t>Reviewed by Staff</w:t>
          </w:r>
        </w:p>
      </w:tc>
      <w:tc>
        <w:tcPr>
          <w:tcW w:w="1955" w:type="dxa"/>
          <w:shd w:val="clear" w:color="auto" w:fill="CCCCCC"/>
        </w:tcPr>
        <w:p w14:paraId="409CD8FF" w14:textId="77777777" w:rsidR="003E4C40" w:rsidRPr="00016EA9" w:rsidRDefault="003E4C40" w:rsidP="003E4C40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16EA9">
            <w:rPr>
              <w:rFonts w:ascii="Arial" w:eastAsia="Times New Roman" w:hAnsi="Arial" w:cs="Arial"/>
              <w:sz w:val="20"/>
              <w:szCs w:val="20"/>
            </w:rPr>
            <w:t>Distributed</w:t>
          </w:r>
        </w:p>
      </w:tc>
      <w:tc>
        <w:tcPr>
          <w:tcW w:w="3862" w:type="dxa"/>
          <w:shd w:val="clear" w:color="auto" w:fill="CCCCCC"/>
        </w:tcPr>
        <w:p w14:paraId="5C3D8E3E" w14:textId="77777777" w:rsidR="003E4C40" w:rsidRPr="00016EA9" w:rsidRDefault="003E4C40" w:rsidP="003E4C40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16EA9">
            <w:rPr>
              <w:rFonts w:ascii="Arial" w:eastAsia="Times New Roman" w:hAnsi="Arial" w:cs="Arial"/>
              <w:sz w:val="20"/>
              <w:szCs w:val="20"/>
            </w:rPr>
            <w:t>Considered</w:t>
          </w:r>
        </w:p>
      </w:tc>
    </w:tr>
    <w:tr w:rsidR="003E4C40" w:rsidRPr="00016EA9" w14:paraId="51584821" w14:textId="77777777" w:rsidTr="00E6369F">
      <w:trPr>
        <w:trHeight w:val="323"/>
        <w:jc w:val="center"/>
      </w:trPr>
      <w:tc>
        <w:tcPr>
          <w:tcW w:w="2088" w:type="dxa"/>
          <w:shd w:val="clear" w:color="auto" w:fill="CCCCCC"/>
        </w:tcPr>
        <w:p w14:paraId="101AA03F" w14:textId="18146E5C" w:rsidR="003E4C40" w:rsidRPr="00016EA9" w:rsidRDefault="003E4C40" w:rsidP="003E4C40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9/16/21</w:t>
          </w:r>
        </w:p>
      </w:tc>
      <w:tc>
        <w:tcPr>
          <w:tcW w:w="1980" w:type="dxa"/>
          <w:shd w:val="clear" w:color="auto" w:fill="CCCCCC"/>
        </w:tcPr>
        <w:p w14:paraId="68825598" w14:textId="726DE81A" w:rsidR="003E4C40" w:rsidRPr="00016EA9" w:rsidRDefault="003E4C40" w:rsidP="003E4C40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RM</w:t>
          </w:r>
        </w:p>
      </w:tc>
      <w:tc>
        <w:tcPr>
          <w:tcW w:w="1955" w:type="dxa"/>
          <w:shd w:val="clear" w:color="auto" w:fill="CCCCCC"/>
        </w:tcPr>
        <w:p w14:paraId="6B1A97B6" w14:textId="77777777" w:rsidR="003E4C40" w:rsidRPr="00016EA9" w:rsidRDefault="003E4C40" w:rsidP="003E4C40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862" w:type="dxa"/>
          <w:shd w:val="clear" w:color="auto" w:fill="CCCCCC"/>
        </w:tcPr>
        <w:p w14:paraId="763B05BE" w14:textId="77777777" w:rsidR="003E4C40" w:rsidRPr="00016EA9" w:rsidRDefault="003E4C40" w:rsidP="003E4C40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  <w:tr w:rsidR="003E4C40" w:rsidRPr="00016EA9" w14:paraId="5688F158" w14:textId="77777777" w:rsidTr="00E6369F">
      <w:trPr>
        <w:trHeight w:val="737"/>
        <w:jc w:val="center"/>
      </w:trPr>
      <w:tc>
        <w:tcPr>
          <w:tcW w:w="9885" w:type="dxa"/>
          <w:gridSpan w:val="4"/>
          <w:shd w:val="clear" w:color="auto" w:fill="CCCCCC"/>
        </w:tcPr>
        <w:p w14:paraId="42D3E870" w14:textId="4B44C769" w:rsidR="003E4C40" w:rsidRPr="00016EA9" w:rsidRDefault="003E4C40" w:rsidP="003E4C40">
          <w:pPr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16EA9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Notes:</w:t>
          </w:r>
          <w:r w:rsidRPr="00016EA9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APF 2021-13</w:t>
          </w:r>
        </w:p>
      </w:tc>
    </w:tr>
  </w:tbl>
  <w:p w14:paraId="7E7A4334" w14:textId="77777777" w:rsidR="009A70EF" w:rsidRPr="003E4C40" w:rsidRDefault="009A70EF" w:rsidP="003E4C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73BB" w14:textId="77777777" w:rsidR="003E4C40" w:rsidRPr="003E4C40" w:rsidRDefault="003E4C40" w:rsidP="003E4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1441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2161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974" w:hanging="721"/>
      </w:pPr>
    </w:lvl>
    <w:lvl w:ilvl="3">
      <w:numFmt w:val="bullet"/>
      <w:lvlText w:val="•"/>
      <w:lvlJc w:val="left"/>
      <w:pPr>
        <w:ind w:left="3787" w:hanging="721"/>
      </w:pPr>
    </w:lvl>
    <w:lvl w:ilvl="4">
      <w:numFmt w:val="bullet"/>
      <w:lvlText w:val="•"/>
      <w:lvlJc w:val="left"/>
      <w:pPr>
        <w:ind w:left="4601" w:hanging="721"/>
      </w:pPr>
    </w:lvl>
    <w:lvl w:ilvl="5">
      <w:numFmt w:val="bullet"/>
      <w:lvlText w:val="•"/>
      <w:lvlJc w:val="left"/>
      <w:pPr>
        <w:ind w:left="5414" w:hanging="721"/>
      </w:pPr>
    </w:lvl>
    <w:lvl w:ilvl="6">
      <w:numFmt w:val="bullet"/>
      <w:lvlText w:val="•"/>
      <w:lvlJc w:val="left"/>
      <w:pPr>
        <w:ind w:left="6227" w:hanging="721"/>
      </w:pPr>
    </w:lvl>
    <w:lvl w:ilvl="7">
      <w:numFmt w:val="bullet"/>
      <w:lvlText w:val="•"/>
      <w:lvlJc w:val="left"/>
      <w:pPr>
        <w:ind w:left="7041" w:hanging="721"/>
      </w:pPr>
    </w:lvl>
    <w:lvl w:ilvl="8">
      <w:numFmt w:val="bullet"/>
      <w:lvlText w:val="•"/>
      <w:lvlJc w:val="left"/>
      <w:pPr>
        <w:ind w:left="7854" w:hanging="721"/>
      </w:pPr>
    </w:lvl>
  </w:abstractNum>
  <w:abstractNum w:abstractNumId="1" w15:restartNumberingAfterBreak="0">
    <w:nsid w:val="11CF647B"/>
    <w:multiLevelType w:val="hybridMultilevel"/>
    <w:tmpl w:val="F464337E"/>
    <w:lvl w:ilvl="0" w:tplc="A938546A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209E78DE"/>
    <w:multiLevelType w:val="hybridMultilevel"/>
    <w:tmpl w:val="3E3A9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142A3"/>
    <w:multiLevelType w:val="hybridMultilevel"/>
    <w:tmpl w:val="4D24DFE0"/>
    <w:lvl w:ilvl="0" w:tplc="04090011">
      <w:start w:val="1"/>
      <w:numFmt w:val="decimal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9F014EE"/>
    <w:multiLevelType w:val="hybridMultilevel"/>
    <w:tmpl w:val="0E80B5A8"/>
    <w:lvl w:ilvl="0" w:tplc="04090015">
      <w:start w:val="2"/>
      <w:numFmt w:val="upperLetter"/>
      <w:lvlText w:val="%1."/>
      <w:lvlJc w:val="left"/>
      <w:pPr>
        <w:ind w:left="9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0" w:hanging="360"/>
      </w:pPr>
    </w:lvl>
    <w:lvl w:ilvl="2" w:tplc="0409001B" w:tentative="1">
      <w:start w:val="1"/>
      <w:numFmt w:val="lowerRoman"/>
      <w:lvlText w:val="%3."/>
      <w:lvlJc w:val="right"/>
      <w:pPr>
        <w:ind w:left="11250" w:hanging="180"/>
      </w:pPr>
    </w:lvl>
    <w:lvl w:ilvl="3" w:tplc="0409000F" w:tentative="1">
      <w:start w:val="1"/>
      <w:numFmt w:val="decimal"/>
      <w:lvlText w:val="%4."/>
      <w:lvlJc w:val="left"/>
      <w:pPr>
        <w:ind w:left="11970" w:hanging="360"/>
      </w:pPr>
    </w:lvl>
    <w:lvl w:ilvl="4" w:tplc="04090019" w:tentative="1">
      <w:start w:val="1"/>
      <w:numFmt w:val="lowerLetter"/>
      <w:lvlText w:val="%5."/>
      <w:lvlJc w:val="left"/>
      <w:pPr>
        <w:ind w:left="12690" w:hanging="360"/>
      </w:pPr>
    </w:lvl>
    <w:lvl w:ilvl="5" w:tplc="0409001B" w:tentative="1">
      <w:start w:val="1"/>
      <w:numFmt w:val="lowerRoman"/>
      <w:lvlText w:val="%6."/>
      <w:lvlJc w:val="right"/>
      <w:pPr>
        <w:ind w:left="13410" w:hanging="180"/>
      </w:pPr>
    </w:lvl>
    <w:lvl w:ilvl="6" w:tplc="0409000F" w:tentative="1">
      <w:start w:val="1"/>
      <w:numFmt w:val="decimal"/>
      <w:lvlText w:val="%7."/>
      <w:lvlJc w:val="left"/>
      <w:pPr>
        <w:ind w:left="14130" w:hanging="360"/>
      </w:pPr>
    </w:lvl>
    <w:lvl w:ilvl="7" w:tplc="04090019" w:tentative="1">
      <w:start w:val="1"/>
      <w:numFmt w:val="lowerLetter"/>
      <w:lvlText w:val="%8."/>
      <w:lvlJc w:val="left"/>
      <w:pPr>
        <w:ind w:left="14850" w:hanging="360"/>
      </w:pPr>
    </w:lvl>
    <w:lvl w:ilvl="8" w:tplc="0409001B" w:tentative="1">
      <w:start w:val="1"/>
      <w:numFmt w:val="lowerRoman"/>
      <w:lvlText w:val="%9."/>
      <w:lvlJc w:val="right"/>
      <w:pPr>
        <w:ind w:left="15570" w:hanging="180"/>
      </w:pPr>
    </w:lvl>
  </w:abstractNum>
  <w:abstractNum w:abstractNumId="5" w15:restartNumberingAfterBreak="0">
    <w:nsid w:val="2F7260B4"/>
    <w:multiLevelType w:val="hybridMultilevel"/>
    <w:tmpl w:val="56C2D85E"/>
    <w:lvl w:ilvl="0" w:tplc="10F4A580">
      <w:start w:val="1"/>
      <w:numFmt w:val="decimal"/>
      <w:lvlText w:val="%1)"/>
      <w:lvlJc w:val="left"/>
      <w:pPr>
        <w:ind w:left="381" w:hanging="245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95904CC0">
      <w:start w:val="1"/>
      <w:numFmt w:val="bullet"/>
      <w:lvlText w:val="•"/>
      <w:lvlJc w:val="left"/>
      <w:pPr>
        <w:ind w:left="893" w:hanging="245"/>
      </w:pPr>
      <w:rPr>
        <w:rFonts w:hint="default"/>
      </w:rPr>
    </w:lvl>
    <w:lvl w:ilvl="2" w:tplc="D71A978A">
      <w:start w:val="1"/>
      <w:numFmt w:val="bullet"/>
      <w:lvlText w:val="•"/>
      <w:lvlJc w:val="left"/>
      <w:pPr>
        <w:ind w:left="1404" w:hanging="245"/>
      </w:pPr>
      <w:rPr>
        <w:rFonts w:hint="default"/>
      </w:rPr>
    </w:lvl>
    <w:lvl w:ilvl="3" w:tplc="F0EE717A">
      <w:start w:val="1"/>
      <w:numFmt w:val="bullet"/>
      <w:lvlText w:val="•"/>
      <w:lvlJc w:val="left"/>
      <w:pPr>
        <w:ind w:left="1916" w:hanging="245"/>
      </w:pPr>
      <w:rPr>
        <w:rFonts w:hint="default"/>
      </w:rPr>
    </w:lvl>
    <w:lvl w:ilvl="4" w:tplc="CEA89954">
      <w:start w:val="1"/>
      <w:numFmt w:val="bullet"/>
      <w:lvlText w:val="•"/>
      <w:lvlJc w:val="left"/>
      <w:pPr>
        <w:ind w:left="2428" w:hanging="245"/>
      </w:pPr>
      <w:rPr>
        <w:rFonts w:hint="default"/>
      </w:rPr>
    </w:lvl>
    <w:lvl w:ilvl="5" w:tplc="D73A6E7A">
      <w:start w:val="1"/>
      <w:numFmt w:val="bullet"/>
      <w:lvlText w:val="•"/>
      <w:lvlJc w:val="left"/>
      <w:pPr>
        <w:ind w:left="2939" w:hanging="245"/>
      </w:pPr>
      <w:rPr>
        <w:rFonts w:hint="default"/>
      </w:rPr>
    </w:lvl>
    <w:lvl w:ilvl="6" w:tplc="B140724C">
      <w:start w:val="1"/>
      <w:numFmt w:val="bullet"/>
      <w:lvlText w:val="•"/>
      <w:lvlJc w:val="left"/>
      <w:pPr>
        <w:ind w:left="3451" w:hanging="245"/>
      </w:pPr>
      <w:rPr>
        <w:rFonts w:hint="default"/>
      </w:rPr>
    </w:lvl>
    <w:lvl w:ilvl="7" w:tplc="2CC00DBE">
      <w:start w:val="1"/>
      <w:numFmt w:val="bullet"/>
      <w:lvlText w:val="•"/>
      <w:lvlJc w:val="left"/>
      <w:pPr>
        <w:ind w:left="3963" w:hanging="245"/>
      </w:pPr>
      <w:rPr>
        <w:rFonts w:hint="default"/>
      </w:rPr>
    </w:lvl>
    <w:lvl w:ilvl="8" w:tplc="9F201256">
      <w:start w:val="1"/>
      <w:numFmt w:val="bullet"/>
      <w:lvlText w:val="•"/>
      <w:lvlJc w:val="left"/>
      <w:pPr>
        <w:ind w:left="4474" w:hanging="245"/>
      </w:pPr>
      <w:rPr>
        <w:rFonts w:hint="default"/>
      </w:rPr>
    </w:lvl>
  </w:abstractNum>
  <w:abstractNum w:abstractNumId="6" w15:restartNumberingAfterBreak="0">
    <w:nsid w:val="2FD96773"/>
    <w:multiLevelType w:val="hybridMultilevel"/>
    <w:tmpl w:val="FA6A6C0A"/>
    <w:lvl w:ilvl="0" w:tplc="3C4215D0">
      <w:start w:val="19"/>
      <w:numFmt w:val="decimal"/>
      <w:lvlText w:val="%1"/>
      <w:lvlJc w:val="left"/>
      <w:pPr>
        <w:ind w:left="5285" w:hanging="92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50E48F5C">
      <w:start w:val="1"/>
      <w:numFmt w:val="bullet"/>
      <w:lvlText w:val="•"/>
      <w:lvlJc w:val="left"/>
      <w:pPr>
        <w:ind w:left="5822" w:hanging="922"/>
      </w:pPr>
      <w:rPr>
        <w:rFonts w:hint="default"/>
      </w:rPr>
    </w:lvl>
    <w:lvl w:ilvl="2" w:tplc="4216D7DC">
      <w:start w:val="1"/>
      <w:numFmt w:val="bullet"/>
      <w:lvlText w:val="•"/>
      <w:lvlJc w:val="left"/>
      <w:pPr>
        <w:ind w:left="6360" w:hanging="922"/>
      </w:pPr>
      <w:rPr>
        <w:rFonts w:hint="default"/>
      </w:rPr>
    </w:lvl>
    <w:lvl w:ilvl="3" w:tplc="A9DA8142">
      <w:start w:val="1"/>
      <w:numFmt w:val="bullet"/>
      <w:lvlText w:val="•"/>
      <w:lvlJc w:val="left"/>
      <w:pPr>
        <w:ind w:left="6897" w:hanging="922"/>
      </w:pPr>
      <w:rPr>
        <w:rFonts w:hint="default"/>
      </w:rPr>
    </w:lvl>
    <w:lvl w:ilvl="4" w:tplc="5ADE68B0">
      <w:start w:val="1"/>
      <w:numFmt w:val="bullet"/>
      <w:lvlText w:val="•"/>
      <w:lvlJc w:val="left"/>
      <w:pPr>
        <w:ind w:left="7435" w:hanging="922"/>
      </w:pPr>
      <w:rPr>
        <w:rFonts w:hint="default"/>
      </w:rPr>
    </w:lvl>
    <w:lvl w:ilvl="5" w:tplc="BE08B18A">
      <w:start w:val="1"/>
      <w:numFmt w:val="bullet"/>
      <w:lvlText w:val="•"/>
      <w:lvlJc w:val="left"/>
      <w:pPr>
        <w:ind w:left="7972" w:hanging="922"/>
      </w:pPr>
      <w:rPr>
        <w:rFonts w:hint="default"/>
      </w:rPr>
    </w:lvl>
    <w:lvl w:ilvl="6" w:tplc="B2A0309C">
      <w:start w:val="1"/>
      <w:numFmt w:val="bullet"/>
      <w:lvlText w:val="•"/>
      <w:lvlJc w:val="left"/>
      <w:pPr>
        <w:ind w:left="8510" w:hanging="922"/>
      </w:pPr>
      <w:rPr>
        <w:rFonts w:hint="default"/>
      </w:rPr>
    </w:lvl>
    <w:lvl w:ilvl="7" w:tplc="2268456A">
      <w:start w:val="1"/>
      <w:numFmt w:val="bullet"/>
      <w:lvlText w:val="•"/>
      <w:lvlJc w:val="left"/>
      <w:pPr>
        <w:ind w:left="9047" w:hanging="922"/>
      </w:pPr>
      <w:rPr>
        <w:rFonts w:hint="default"/>
      </w:rPr>
    </w:lvl>
    <w:lvl w:ilvl="8" w:tplc="4AD43CE4">
      <w:start w:val="1"/>
      <w:numFmt w:val="bullet"/>
      <w:lvlText w:val="•"/>
      <w:lvlJc w:val="left"/>
      <w:pPr>
        <w:ind w:left="9585" w:hanging="922"/>
      </w:pPr>
      <w:rPr>
        <w:rFonts w:hint="default"/>
      </w:rPr>
    </w:lvl>
  </w:abstractNum>
  <w:abstractNum w:abstractNumId="7" w15:restartNumberingAfterBreak="0">
    <w:nsid w:val="33886EE2"/>
    <w:multiLevelType w:val="hybridMultilevel"/>
    <w:tmpl w:val="1B6B45A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77D7B39"/>
    <w:multiLevelType w:val="hybridMultilevel"/>
    <w:tmpl w:val="A016EE14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9">
      <w:start w:val="1"/>
      <w:numFmt w:val="lowerLetter"/>
      <w:lvlText w:val="%3."/>
      <w:lvlJc w:val="left"/>
      <w:pPr>
        <w:ind w:left="3600" w:hanging="360"/>
      </w:pPr>
    </w:lvl>
    <w:lvl w:ilvl="3" w:tplc="0409000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1A6EE6"/>
    <w:multiLevelType w:val="hybridMultilevel"/>
    <w:tmpl w:val="778CC9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2353"/>
    <w:multiLevelType w:val="hybridMultilevel"/>
    <w:tmpl w:val="882EEE28"/>
    <w:lvl w:ilvl="0" w:tplc="28F815DC">
      <w:start w:val="1"/>
      <w:numFmt w:val="decimal"/>
      <w:lvlText w:val="%1)"/>
      <w:lvlJc w:val="left"/>
      <w:pPr>
        <w:ind w:left="1798" w:hanging="850"/>
      </w:pPr>
      <w:rPr>
        <w:rFonts w:ascii="Times New Roman" w:eastAsiaTheme="minorHAnsi" w:hAnsiTheme="minorHAnsi" w:cstheme="minorBidi"/>
        <w:w w:val="99"/>
        <w:sz w:val="20"/>
        <w:szCs w:val="20"/>
      </w:rPr>
    </w:lvl>
    <w:lvl w:ilvl="1" w:tplc="C8C6DE68">
      <w:start w:val="1"/>
      <w:numFmt w:val="bullet"/>
      <w:lvlText w:val="•"/>
      <w:lvlJc w:val="left"/>
      <w:pPr>
        <w:ind w:left="2105" w:hanging="850"/>
      </w:pPr>
      <w:rPr>
        <w:rFonts w:hint="default"/>
      </w:rPr>
    </w:lvl>
    <w:lvl w:ilvl="2" w:tplc="BAD047E2">
      <w:start w:val="1"/>
      <w:numFmt w:val="bullet"/>
      <w:lvlText w:val="•"/>
      <w:lvlJc w:val="left"/>
      <w:pPr>
        <w:ind w:left="2412" w:hanging="850"/>
      </w:pPr>
      <w:rPr>
        <w:rFonts w:hint="default"/>
      </w:rPr>
    </w:lvl>
    <w:lvl w:ilvl="3" w:tplc="0992A380">
      <w:start w:val="1"/>
      <w:numFmt w:val="bullet"/>
      <w:lvlText w:val="•"/>
      <w:lvlJc w:val="left"/>
      <w:pPr>
        <w:ind w:left="2718" w:hanging="850"/>
      </w:pPr>
      <w:rPr>
        <w:rFonts w:hint="default"/>
      </w:rPr>
    </w:lvl>
    <w:lvl w:ilvl="4" w:tplc="ECE83FE6">
      <w:start w:val="1"/>
      <w:numFmt w:val="bullet"/>
      <w:lvlText w:val="•"/>
      <w:lvlJc w:val="left"/>
      <w:pPr>
        <w:ind w:left="3025" w:hanging="850"/>
      </w:pPr>
      <w:rPr>
        <w:rFonts w:hint="default"/>
      </w:rPr>
    </w:lvl>
    <w:lvl w:ilvl="5" w:tplc="DA626344">
      <w:start w:val="1"/>
      <w:numFmt w:val="bullet"/>
      <w:lvlText w:val="•"/>
      <w:lvlJc w:val="left"/>
      <w:pPr>
        <w:ind w:left="3332" w:hanging="850"/>
      </w:pPr>
      <w:rPr>
        <w:rFonts w:hint="default"/>
      </w:rPr>
    </w:lvl>
    <w:lvl w:ilvl="6" w:tplc="B97E8E04">
      <w:start w:val="1"/>
      <w:numFmt w:val="bullet"/>
      <w:lvlText w:val="•"/>
      <w:lvlJc w:val="left"/>
      <w:pPr>
        <w:ind w:left="3638" w:hanging="850"/>
      </w:pPr>
      <w:rPr>
        <w:rFonts w:hint="default"/>
      </w:rPr>
    </w:lvl>
    <w:lvl w:ilvl="7" w:tplc="A804427A">
      <w:start w:val="1"/>
      <w:numFmt w:val="bullet"/>
      <w:lvlText w:val="•"/>
      <w:lvlJc w:val="left"/>
      <w:pPr>
        <w:ind w:left="3945" w:hanging="850"/>
      </w:pPr>
      <w:rPr>
        <w:rFonts w:hint="default"/>
      </w:rPr>
    </w:lvl>
    <w:lvl w:ilvl="8" w:tplc="BEA43DDE">
      <w:start w:val="1"/>
      <w:numFmt w:val="bullet"/>
      <w:lvlText w:val="•"/>
      <w:lvlJc w:val="left"/>
      <w:pPr>
        <w:ind w:left="4251" w:hanging="850"/>
      </w:pPr>
      <w:rPr>
        <w:rFonts w:hint="default"/>
      </w:rPr>
    </w:lvl>
  </w:abstractNum>
  <w:abstractNum w:abstractNumId="11" w15:restartNumberingAfterBreak="0">
    <w:nsid w:val="60B424D0"/>
    <w:multiLevelType w:val="hybridMultilevel"/>
    <w:tmpl w:val="1A14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3726A"/>
    <w:multiLevelType w:val="hybridMultilevel"/>
    <w:tmpl w:val="0268AE26"/>
    <w:lvl w:ilvl="0" w:tplc="04090017">
      <w:start w:val="1"/>
      <w:numFmt w:val="lowerLetter"/>
      <w:lvlText w:val="%1)"/>
      <w:lvlJc w:val="left"/>
      <w:pPr>
        <w:ind w:left="805" w:hanging="360"/>
      </w:pPr>
      <w:rPr>
        <w:rFonts w:hint="default"/>
        <w:w w:val="99"/>
        <w:sz w:val="20"/>
        <w:szCs w:val="20"/>
      </w:rPr>
    </w:lvl>
    <w:lvl w:ilvl="1" w:tplc="4DC26546">
      <w:start w:val="1"/>
      <w:numFmt w:val="bullet"/>
      <w:lvlText w:val="•"/>
      <w:lvlJc w:val="left"/>
      <w:pPr>
        <w:ind w:left="1211" w:hanging="360"/>
      </w:pPr>
      <w:rPr>
        <w:rFonts w:hint="default"/>
      </w:rPr>
    </w:lvl>
    <w:lvl w:ilvl="2" w:tplc="C73CE424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3" w:tplc="F45032D0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4" w:tplc="9E129F08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5" w:tplc="944A7C64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6" w:tplc="A6DA618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7" w:tplc="20A025E8">
      <w:start w:val="1"/>
      <w:numFmt w:val="bullet"/>
      <w:lvlText w:val="•"/>
      <w:lvlJc w:val="left"/>
      <w:pPr>
        <w:ind w:left="3647" w:hanging="360"/>
      </w:pPr>
      <w:rPr>
        <w:rFonts w:hint="default"/>
      </w:rPr>
    </w:lvl>
    <w:lvl w:ilvl="8" w:tplc="76C61F3A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</w:abstractNum>
  <w:abstractNum w:abstractNumId="13" w15:restartNumberingAfterBreak="0">
    <w:nsid w:val="64BC44D6"/>
    <w:multiLevelType w:val="hybridMultilevel"/>
    <w:tmpl w:val="9CB688C6"/>
    <w:lvl w:ilvl="0" w:tplc="9B4C4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E63FB"/>
    <w:multiLevelType w:val="hybridMultilevel"/>
    <w:tmpl w:val="C462554E"/>
    <w:lvl w:ilvl="0" w:tplc="7D023C8A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 w15:restartNumberingAfterBreak="0">
    <w:nsid w:val="6D286048"/>
    <w:multiLevelType w:val="hybridMultilevel"/>
    <w:tmpl w:val="0DDC1750"/>
    <w:lvl w:ilvl="0" w:tplc="07D6E044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6" w15:restartNumberingAfterBreak="0">
    <w:nsid w:val="6EB036E3"/>
    <w:multiLevelType w:val="multilevel"/>
    <w:tmpl w:val="C7DA69A2"/>
    <w:lvl w:ilvl="0">
      <w:start w:val="2"/>
      <w:numFmt w:val="decimal"/>
      <w:lvlText w:val="%1."/>
      <w:lvlJc w:val="left"/>
      <w:pPr>
        <w:ind w:left="8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540" w:hanging="721"/>
      </w:pPr>
      <w:rPr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353" w:hanging="721"/>
      </w:pPr>
    </w:lvl>
    <w:lvl w:ilvl="3">
      <w:numFmt w:val="bullet"/>
      <w:lvlText w:val="•"/>
      <w:lvlJc w:val="left"/>
      <w:pPr>
        <w:ind w:left="3166" w:hanging="721"/>
      </w:pPr>
    </w:lvl>
    <w:lvl w:ilvl="4">
      <w:numFmt w:val="bullet"/>
      <w:lvlText w:val="•"/>
      <w:lvlJc w:val="left"/>
      <w:pPr>
        <w:ind w:left="3980" w:hanging="721"/>
      </w:pPr>
    </w:lvl>
    <w:lvl w:ilvl="5">
      <w:numFmt w:val="bullet"/>
      <w:lvlText w:val="•"/>
      <w:lvlJc w:val="left"/>
      <w:pPr>
        <w:ind w:left="4793" w:hanging="721"/>
      </w:pPr>
    </w:lvl>
    <w:lvl w:ilvl="6">
      <w:numFmt w:val="bullet"/>
      <w:lvlText w:val="•"/>
      <w:lvlJc w:val="left"/>
      <w:pPr>
        <w:ind w:left="5606" w:hanging="721"/>
      </w:pPr>
    </w:lvl>
    <w:lvl w:ilvl="7">
      <w:numFmt w:val="bullet"/>
      <w:lvlText w:val="•"/>
      <w:lvlJc w:val="left"/>
      <w:pPr>
        <w:ind w:left="6420" w:hanging="721"/>
      </w:pPr>
    </w:lvl>
    <w:lvl w:ilvl="8">
      <w:numFmt w:val="bullet"/>
      <w:lvlText w:val="•"/>
      <w:lvlJc w:val="left"/>
      <w:pPr>
        <w:ind w:left="7233" w:hanging="721"/>
      </w:pPr>
    </w:lvl>
  </w:abstractNum>
  <w:abstractNum w:abstractNumId="17" w15:restartNumberingAfterBreak="0">
    <w:nsid w:val="71F45EA3"/>
    <w:multiLevelType w:val="multilevel"/>
    <w:tmpl w:val="D830539A"/>
    <w:lvl w:ilvl="0">
      <w:start w:val="1"/>
      <w:numFmt w:val="upperLetter"/>
      <w:lvlText w:val="%1."/>
      <w:lvlJc w:val="left"/>
      <w:pPr>
        <w:ind w:left="820" w:hanging="721"/>
      </w:pPr>
      <w:rPr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54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353" w:hanging="721"/>
      </w:pPr>
    </w:lvl>
    <w:lvl w:ilvl="3">
      <w:numFmt w:val="bullet"/>
      <w:lvlText w:val="•"/>
      <w:lvlJc w:val="left"/>
      <w:pPr>
        <w:ind w:left="3166" w:hanging="721"/>
      </w:pPr>
    </w:lvl>
    <w:lvl w:ilvl="4">
      <w:numFmt w:val="bullet"/>
      <w:lvlText w:val="•"/>
      <w:lvlJc w:val="left"/>
      <w:pPr>
        <w:ind w:left="3980" w:hanging="721"/>
      </w:pPr>
    </w:lvl>
    <w:lvl w:ilvl="5">
      <w:numFmt w:val="bullet"/>
      <w:lvlText w:val="•"/>
      <w:lvlJc w:val="left"/>
      <w:pPr>
        <w:ind w:left="4793" w:hanging="721"/>
      </w:pPr>
    </w:lvl>
    <w:lvl w:ilvl="6">
      <w:numFmt w:val="bullet"/>
      <w:lvlText w:val="•"/>
      <w:lvlJc w:val="left"/>
      <w:pPr>
        <w:ind w:left="5606" w:hanging="721"/>
      </w:pPr>
    </w:lvl>
    <w:lvl w:ilvl="7">
      <w:numFmt w:val="bullet"/>
      <w:lvlText w:val="•"/>
      <w:lvlJc w:val="left"/>
      <w:pPr>
        <w:ind w:left="6420" w:hanging="721"/>
      </w:pPr>
    </w:lvl>
    <w:lvl w:ilvl="8">
      <w:numFmt w:val="bullet"/>
      <w:lvlText w:val="•"/>
      <w:lvlJc w:val="left"/>
      <w:pPr>
        <w:ind w:left="7233" w:hanging="721"/>
      </w:pPr>
    </w:lvl>
  </w:abstractNum>
  <w:abstractNum w:abstractNumId="18" w15:restartNumberingAfterBreak="0">
    <w:nsid w:val="79882C6F"/>
    <w:multiLevelType w:val="hybridMultilevel"/>
    <w:tmpl w:val="D3E6B7EC"/>
    <w:lvl w:ilvl="0" w:tplc="D8523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6"/>
  </w:num>
  <w:num w:numId="5">
    <w:abstractNumId w:val="1"/>
  </w:num>
  <w:num w:numId="6">
    <w:abstractNumId w:val="15"/>
  </w:num>
  <w:num w:numId="7">
    <w:abstractNumId w:val="0"/>
  </w:num>
  <w:num w:numId="8">
    <w:abstractNumId w:val="17"/>
  </w:num>
  <w:num w:numId="9">
    <w:abstractNumId w:val="16"/>
  </w:num>
  <w:num w:numId="10">
    <w:abstractNumId w:val="11"/>
  </w:num>
  <w:num w:numId="11">
    <w:abstractNumId w:val="4"/>
  </w:num>
  <w:num w:numId="12">
    <w:abstractNumId w:val="3"/>
  </w:num>
  <w:num w:numId="13">
    <w:abstractNumId w:val="14"/>
  </w:num>
  <w:num w:numId="14">
    <w:abstractNumId w:val="9"/>
  </w:num>
  <w:num w:numId="15">
    <w:abstractNumId w:val="13"/>
  </w:num>
  <w:num w:numId="16">
    <w:abstractNumId w:val="18"/>
  </w:num>
  <w:num w:numId="17">
    <w:abstractNumId w:val="2"/>
  </w:num>
  <w:num w:numId="18">
    <w:abstractNumId w:val="8"/>
  </w:num>
  <w:num w:numId="19">
    <w:abstractNumId w:val="7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ck, Benjamin">
    <w15:presenceInfo w15:providerId="AD" w15:userId="S-1-5-21-1644491937-1958367476-682003330-67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F61A45F-994B-4DE2-93F0-F0592B1BB7B0}"/>
    <w:docVar w:name="dgnword-eventsink" w:val="243492416"/>
  </w:docVars>
  <w:rsids>
    <w:rsidRoot w:val="00621F0E"/>
    <w:rsid w:val="00016EA9"/>
    <w:rsid w:val="00026A12"/>
    <w:rsid w:val="000448B0"/>
    <w:rsid w:val="0005665B"/>
    <w:rsid w:val="000837F0"/>
    <w:rsid w:val="000860BF"/>
    <w:rsid w:val="000A16E4"/>
    <w:rsid w:val="000C1BDB"/>
    <w:rsid w:val="000D7C4C"/>
    <w:rsid w:val="000E2D49"/>
    <w:rsid w:val="000E6483"/>
    <w:rsid w:val="000F11E7"/>
    <w:rsid w:val="000F6B50"/>
    <w:rsid w:val="001001B6"/>
    <w:rsid w:val="00114AF9"/>
    <w:rsid w:val="00135DAD"/>
    <w:rsid w:val="0013749F"/>
    <w:rsid w:val="00144C78"/>
    <w:rsid w:val="001457C5"/>
    <w:rsid w:val="00173351"/>
    <w:rsid w:val="0019534D"/>
    <w:rsid w:val="001A5489"/>
    <w:rsid w:val="001A6C8E"/>
    <w:rsid w:val="001B0C76"/>
    <w:rsid w:val="001B2812"/>
    <w:rsid w:val="001B5900"/>
    <w:rsid w:val="001C0632"/>
    <w:rsid w:val="001C2D0F"/>
    <w:rsid w:val="001C5C10"/>
    <w:rsid w:val="001C6F91"/>
    <w:rsid w:val="001C7E52"/>
    <w:rsid w:val="001E4D4C"/>
    <w:rsid w:val="001F5526"/>
    <w:rsid w:val="002119E6"/>
    <w:rsid w:val="00223AB2"/>
    <w:rsid w:val="00260EB0"/>
    <w:rsid w:val="002618FB"/>
    <w:rsid w:val="002730BA"/>
    <w:rsid w:val="002B0D9A"/>
    <w:rsid w:val="002B3F32"/>
    <w:rsid w:val="002C4FA6"/>
    <w:rsid w:val="002C7B68"/>
    <w:rsid w:val="002D3CF4"/>
    <w:rsid w:val="002D53F8"/>
    <w:rsid w:val="002E00CC"/>
    <w:rsid w:val="0030314B"/>
    <w:rsid w:val="00306F36"/>
    <w:rsid w:val="0036327E"/>
    <w:rsid w:val="00365A7D"/>
    <w:rsid w:val="00367627"/>
    <w:rsid w:val="00375C3D"/>
    <w:rsid w:val="00383B60"/>
    <w:rsid w:val="003B1A2D"/>
    <w:rsid w:val="003B1F39"/>
    <w:rsid w:val="003C1F00"/>
    <w:rsid w:val="003D2AAF"/>
    <w:rsid w:val="003E4C40"/>
    <w:rsid w:val="003E51F9"/>
    <w:rsid w:val="003E5EB5"/>
    <w:rsid w:val="003E5FC6"/>
    <w:rsid w:val="003F6B7F"/>
    <w:rsid w:val="00401682"/>
    <w:rsid w:val="0040389E"/>
    <w:rsid w:val="004123E8"/>
    <w:rsid w:val="00414AA7"/>
    <w:rsid w:val="00416190"/>
    <w:rsid w:val="0042544B"/>
    <w:rsid w:val="004305A2"/>
    <w:rsid w:val="00435BC9"/>
    <w:rsid w:val="00435E72"/>
    <w:rsid w:val="00441586"/>
    <w:rsid w:val="00445312"/>
    <w:rsid w:val="00447014"/>
    <w:rsid w:val="0045626D"/>
    <w:rsid w:val="004668E7"/>
    <w:rsid w:val="00470776"/>
    <w:rsid w:val="00473A47"/>
    <w:rsid w:val="0048413A"/>
    <w:rsid w:val="00486078"/>
    <w:rsid w:val="00497674"/>
    <w:rsid w:val="004D2446"/>
    <w:rsid w:val="004D3D6E"/>
    <w:rsid w:val="004D686F"/>
    <w:rsid w:val="004F6B46"/>
    <w:rsid w:val="00503657"/>
    <w:rsid w:val="00503D6F"/>
    <w:rsid w:val="00522B46"/>
    <w:rsid w:val="00525FC7"/>
    <w:rsid w:val="005275B0"/>
    <w:rsid w:val="0054151E"/>
    <w:rsid w:val="00544A6F"/>
    <w:rsid w:val="005873DF"/>
    <w:rsid w:val="005B5432"/>
    <w:rsid w:val="005D0C07"/>
    <w:rsid w:val="005D4785"/>
    <w:rsid w:val="00610AF9"/>
    <w:rsid w:val="00621F0E"/>
    <w:rsid w:val="0063234C"/>
    <w:rsid w:val="006417F6"/>
    <w:rsid w:val="00666696"/>
    <w:rsid w:val="00677DBB"/>
    <w:rsid w:val="00683944"/>
    <w:rsid w:val="0068541B"/>
    <w:rsid w:val="00691C87"/>
    <w:rsid w:val="006C22B1"/>
    <w:rsid w:val="006D31A6"/>
    <w:rsid w:val="006D6AC2"/>
    <w:rsid w:val="006E18D4"/>
    <w:rsid w:val="006E33D9"/>
    <w:rsid w:val="006F1154"/>
    <w:rsid w:val="006F116E"/>
    <w:rsid w:val="006F4E0C"/>
    <w:rsid w:val="006F735A"/>
    <w:rsid w:val="006F7A2B"/>
    <w:rsid w:val="00701C0A"/>
    <w:rsid w:val="00705CD1"/>
    <w:rsid w:val="00710A86"/>
    <w:rsid w:val="007112D2"/>
    <w:rsid w:val="00736756"/>
    <w:rsid w:val="00753A07"/>
    <w:rsid w:val="007675D7"/>
    <w:rsid w:val="0079069A"/>
    <w:rsid w:val="00794254"/>
    <w:rsid w:val="007A374E"/>
    <w:rsid w:val="007C0780"/>
    <w:rsid w:val="007D4204"/>
    <w:rsid w:val="007D5822"/>
    <w:rsid w:val="007E192E"/>
    <w:rsid w:val="007F1EDA"/>
    <w:rsid w:val="007F6AE3"/>
    <w:rsid w:val="00812266"/>
    <w:rsid w:val="00825FDC"/>
    <w:rsid w:val="00857140"/>
    <w:rsid w:val="008A6A28"/>
    <w:rsid w:val="008A7845"/>
    <w:rsid w:val="008B0E38"/>
    <w:rsid w:val="008D09E2"/>
    <w:rsid w:val="008D570C"/>
    <w:rsid w:val="008E46DD"/>
    <w:rsid w:val="00904097"/>
    <w:rsid w:val="00951D76"/>
    <w:rsid w:val="00954179"/>
    <w:rsid w:val="00974C9F"/>
    <w:rsid w:val="00983240"/>
    <w:rsid w:val="00996137"/>
    <w:rsid w:val="009962D6"/>
    <w:rsid w:val="009A62BE"/>
    <w:rsid w:val="009A70EF"/>
    <w:rsid w:val="009D3900"/>
    <w:rsid w:val="009E1231"/>
    <w:rsid w:val="00A02CD0"/>
    <w:rsid w:val="00A235FB"/>
    <w:rsid w:val="00A4470D"/>
    <w:rsid w:val="00A44CAF"/>
    <w:rsid w:val="00A44DA7"/>
    <w:rsid w:val="00A4794F"/>
    <w:rsid w:val="00A52EC1"/>
    <w:rsid w:val="00A53E0D"/>
    <w:rsid w:val="00A627FA"/>
    <w:rsid w:val="00A70CCE"/>
    <w:rsid w:val="00A86C67"/>
    <w:rsid w:val="00AA22F0"/>
    <w:rsid w:val="00AB69C6"/>
    <w:rsid w:val="00AB6D09"/>
    <w:rsid w:val="00AD1C56"/>
    <w:rsid w:val="00AD72B1"/>
    <w:rsid w:val="00AF4FA9"/>
    <w:rsid w:val="00B105B7"/>
    <w:rsid w:val="00B1427E"/>
    <w:rsid w:val="00B142CA"/>
    <w:rsid w:val="00B331C0"/>
    <w:rsid w:val="00B343C3"/>
    <w:rsid w:val="00B357D5"/>
    <w:rsid w:val="00B37A6A"/>
    <w:rsid w:val="00B91311"/>
    <w:rsid w:val="00B92409"/>
    <w:rsid w:val="00B94694"/>
    <w:rsid w:val="00BA5E69"/>
    <w:rsid w:val="00BB54E5"/>
    <w:rsid w:val="00BD2126"/>
    <w:rsid w:val="00BD3A82"/>
    <w:rsid w:val="00C010A5"/>
    <w:rsid w:val="00C300A5"/>
    <w:rsid w:val="00C42D26"/>
    <w:rsid w:val="00C56440"/>
    <w:rsid w:val="00C81DCE"/>
    <w:rsid w:val="00C84C27"/>
    <w:rsid w:val="00CA698D"/>
    <w:rsid w:val="00CB1867"/>
    <w:rsid w:val="00CC5A22"/>
    <w:rsid w:val="00CD359F"/>
    <w:rsid w:val="00CF073A"/>
    <w:rsid w:val="00D15CDF"/>
    <w:rsid w:val="00D238C7"/>
    <w:rsid w:val="00D241FB"/>
    <w:rsid w:val="00D261F5"/>
    <w:rsid w:val="00D37572"/>
    <w:rsid w:val="00D51B13"/>
    <w:rsid w:val="00D66802"/>
    <w:rsid w:val="00D8721B"/>
    <w:rsid w:val="00D93CA4"/>
    <w:rsid w:val="00DB4067"/>
    <w:rsid w:val="00DD217E"/>
    <w:rsid w:val="00DD69F8"/>
    <w:rsid w:val="00DF46D4"/>
    <w:rsid w:val="00E011A7"/>
    <w:rsid w:val="00E04C5B"/>
    <w:rsid w:val="00E31D25"/>
    <w:rsid w:val="00E4757D"/>
    <w:rsid w:val="00E512F1"/>
    <w:rsid w:val="00E774A5"/>
    <w:rsid w:val="00E94DDB"/>
    <w:rsid w:val="00EB39BD"/>
    <w:rsid w:val="00EC4B2D"/>
    <w:rsid w:val="00EE46B3"/>
    <w:rsid w:val="00F10B42"/>
    <w:rsid w:val="00F21133"/>
    <w:rsid w:val="00F33481"/>
    <w:rsid w:val="00F572EA"/>
    <w:rsid w:val="00F6144E"/>
    <w:rsid w:val="00F62457"/>
    <w:rsid w:val="00F636EA"/>
    <w:rsid w:val="00F74E3A"/>
    <w:rsid w:val="00F83B43"/>
    <w:rsid w:val="00F83CCE"/>
    <w:rsid w:val="00F85C37"/>
    <w:rsid w:val="00F97147"/>
    <w:rsid w:val="00FD1887"/>
    <w:rsid w:val="00FE61DC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691F6C"/>
  <w15:docId w15:val="{EDBF5F35-C598-4F7C-BFF2-7E08E119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21F0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21F0E"/>
    <w:pPr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621F0E"/>
    <w:pPr>
      <w:ind w:left="28"/>
      <w:outlineLvl w:val="1"/>
    </w:pPr>
    <w:rPr>
      <w:rFonts w:ascii="Times New Roman" w:eastAsia="Times New Roman" w:hAnsi="Times New Roman"/>
      <w:sz w:val="23"/>
      <w:szCs w:val="23"/>
    </w:rPr>
  </w:style>
  <w:style w:type="paragraph" w:styleId="Heading3">
    <w:name w:val="heading 3"/>
    <w:basedOn w:val="Normal"/>
    <w:link w:val="Heading3Char"/>
    <w:uiPriority w:val="1"/>
    <w:qFormat/>
    <w:rsid w:val="00621F0E"/>
    <w:pPr>
      <w:ind w:left="120"/>
      <w:outlineLvl w:val="2"/>
    </w:pPr>
    <w:rPr>
      <w:rFonts w:ascii="Times New Roman" w:eastAsia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21F0E"/>
    <w:rPr>
      <w:rFonts w:ascii="Times New Roman" w:eastAsia="Times New Roman" w:hAnsi="Times New Roman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621F0E"/>
    <w:rPr>
      <w:rFonts w:ascii="Times New Roman" w:eastAsia="Times New Roman" w:hAnsi="Times New Roman"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1"/>
    <w:rsid w:val="00621F0E"/>
    <w:rPr>
      <w:rFonts w:ascii="Times New Roman" w:eastAsia="Times New Roman" w:hAnsi="Times New Roman"/>
      <w:b/>
      <w:bCs/>
    </w:rPr>
  </w:style>
  <w:style w:type="paragraph" w:styleId="TOC1">
    <w:name w:val="toc 1"/>
    <w:basedOn w:val="Normal"/>
    <w:uiPriority w:val="1"/>
    <w:qFormat/>
    <w:rsid w:val="00621F0E"/>
    <w:pPr>
      <w:spacing w:before="59"/>
      <w:ind w:left="11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1"/>
    <w:qFormat/>
    <w:rsid w:val="00621F0E"/>
    <w:pPr>
      <w:spacing w:before="59"/>
      <w:ind w:left="479"/>
    </w:pPr>
    <w:rPr>
      <w:rFonts w:ascii="Times New Roman" w:eastAsia="Times New Roman" w:hAnsi="Times New Roman"/>
    </w:rPr>
  </w:style>
  <w:style w:type="paragraph" w:styleId="TOC3">
    <w:name w:val="toc 3"/>
    <w:basedOn w:val="Normal"/>
    <w:uiPriority w:val="1"/>
    <w:qFormat/>
    <w:rsid w:val="00621F0E"/>
    <w:pPr>
      <w:spacing w:before="61"/>
      <w:ind w:left="479"/>
    </w:pPr>
    <w:rPr>
      <w:rFonts w:ascii="Times New Roman" w:eastAsia="Times New Roman" w:hAnsi="Times New Roman"/>
      <w:b/>
      <w:bCs/>
      <w:i/>
    </w:rPr>
  </w:style>
  <w:style w:type="paragraph" w:styleId="TOC4">
    <w:name w:val="toc 4"/>
    <w:basedOn w:val="Normal"/>
    <w:uiPriority w:val="1"/>
    <w:qFormat/>
    <w:rsid w:val="00621F0E"/>
    <w:pPr>
      <w:ind w:left="129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621F0E"/>
    <w:pPr>
      <w:ind w:left="2260" w:hanging="7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21F0E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621F0E"/>
  </w:style>
  <w:style w:type="paragraph" w:customStyle="1" w:styleId="TableParagraph">
    <w:name w:val="Table Paragraph"/>
    <w:basedOn w:val="Normal"/>
    <w:uiPriority w:val="1"/>
    <w:qFormat/>
    <w:rsid w:val="00621F0E"/>
  </w:style>
  <w:style w:type="paragraph" w:styleId="BalloonText">
    <w:name w:val="Balloon Text"/>
    <w:basedOn w:val="Normal"/>
    <w:link w:val="BalloonTextChar"/>
    <w:uiPriority w:val="99"/>
    <w:semiHidden/>
    <w:unhideWhenUsed/>
    <w:rsid w:val="003F6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21B"/>
  </w:style>
  <w:style w:type="paragraph" w:styleId="Footer">
    <w:name w:val="footer"/>
    <w:basedOn w:val="Normal"/>
    <w:link w:val="FooterChar"/>
    <w:uiPriority w:val="99"/>
    <w:unhideWhenUsed/>
    <w:rsid w:val="00D8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21B"/>
  </w:style>
  <w:style w:type="character" w:customStyle="1" w:styleId="Heading4Char">
    <w:name w:val="Heading 4 Char"/>
    <w:basedOn w:val="DefaultParagraphFont"/>
    <w:link w:val="Heading4"/>
    <w:uiPriority w:val="9"/>
    <w:semiHidden/>
    <w:rsid w:val="0040168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1B2812"/>
    <w:rPr>
      <w:color w:val="0563C1"/>
      <w:u w:val="single"/>
    </w:rPr>
  </w:style>
  <w:style w:type="paragraph" w:customStyle="1" w:styleId="Default">
    <w:name w:val="Default"/>
    <w:rsid w:val="00AB6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3FCDA-D5EC-483D-8A3D-0275A507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575</Words>
  <Characters>3279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MIB, Inc.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Rhodes, Tom</dc:creator>
  <cp:lastModifiedBy>Mazyck, Reggie</cp:lastModifiedBy>
  <cp:revision>2</cp:revision>
  <cp:lastPrinted>2017-07-03T17:07:00Z</cp:lastPrinted>
  <dcterms:created xsi:type="dcterms:W3CDTF">2021-09-20T18:49:00Z</dcterms:created>
  <dcterms:modified xsi:type="dcterms:W3CDTF">2021-09-20T18:49:00Z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