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0385" w14:textId="77777777" w:rsidR="002A1D7D" w:rsidRPr="00EF7C60" w:rsidRDefault="002A1D7D" w:rsidP="002A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Actuarial (A) Task Force/ Health Actuarial (B) Task Force</w:t>
      </w:r>
    </w:p>
    <w:p w14:paraId="7B6AF8DA" w14:textId="77777777" w:rsidR="002A1D7D" w:rsidRPr="00EF7C60" w:rsidRDefault="002A1D7D" w:rsidP="002A1D7D">
      <w:pPr>
        <w:jc w:val="center"/>
        <w:rPr>
          <w:b/>
        </w:rPr>
      </w:pPr>
      <w:r w:rsidRPr="00EF7C60">
        <w:rPr>
          <w:b/>
        </w:rPr>
        <w:t>Amendment Proposal Form*</w:t>
      </w:r>
    </w:p>
    <w:p w14:paraId="51D9C6D8" w14:textId="77777777" w:rsidR="002A1D7D" w:rsidRPr="002F4168" w:rsidRDefault="002A1D7D" w:rsidP="002A1D7D">
      <w:pPr>
        <w:jc w:val="both"/>
        <w:rPr>
          <w:sz w:val="20"/>
          <w:szCs w:val="20"/>
        </w:rPr>
      </w:pPr>
    </w:p>
    <w:p w14:paraId="2AAE2BDB" w14:textId="4758C020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  <w:t>Identify yourself, your affiliation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and a very brief description (title) of the issue.</w:t>
      </w:r>
    </w:p>
    <w:p w14:paraId="76D52CCC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6B248FCF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Identification:</w:t>
      </w:r>
    </w:p>
    <w:p w14:paraId="74ADE238" w14:textId="77777777" w:rsidR="002A1D7D" w:rsidRPr="005B233B" w:rsidRDefault="002A1D7D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Fred Andersen, FSA, MAAA and Ben Slutsker, FSA, MAAA</w:t>
      </w:r>
    </w:p>
    <w:p w14:paraId="4DCC7F72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14:paraId="3942110E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Title of the Issue:</w:t>
      </w:r>
    </w:p>
    <w:p w14:paraId="36951B5B" w14:textId="77777777" w:rsidR="002A1D7D" w:rsidRPr="005B233B" w:rsidRDefault="002A1D7D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Clarify expectations on reflection of equity return volatility in VM-30 cash-flow testing.  </w:t>
      </w:r>
    </w:p>
    <w:p w14:paraId="114740A9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75885B9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B2FE6DD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503540EC" w14:textId="739D5319" w:rsidR="00CF65BC" w:rsidRDefault="00CF65BC" w:rsidP="002A1D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VM-01</w:t>
      </w:r>
    </w:p>
    <w:p w14:paraId="7589E95A" w14:textId="77777777" w:rsidR="00CF65BC" w:rsidRDefault="00CF65BC" w:rsidP="002A1D7D">
      <w:pPr>
        <w:ind w:firstLine="720"/>
        <w:jc w:val="both"/>
        <w:rPr>
          <w:sz w:val="22"/>
          <w:szCs w:val="22"/>
        </w:rPr>
      </w:pPr>
    </w:p>
    <w:p w14:paraId="47B868C1" w14:textId="1978F3FF" w:rsidR="002A1D7D" w:rsidRDefault="002A1D7D" w:rsidP="002A1D7D">
      <w:pPr>
        <w:ind w:firstLine="720"/>
        <w:jc w:val="both"/>
        <w:rPr>
          <w:sz w:val="22"/>
          <w:szCs w:val="22"/>
        </w:rPr>
      </w:pPr>
      <w:r w:rsidRPr="00D3784D">
        <w:rPr>
          <w:sz w:val="22"/>
          <w:szCs w:val="22"/>
        </w:rPr>
        <w:t>VM-</w:t>
      </w:r>
      <w:r>
        <w:rPr>
          <w:sz w:val="22"/>
          <w:szCs w:val="22"/>
        </w:rPr>
        <w:t>3</w:t>
      </w:r>
      <w:r w:rsidRPr="00D3784D">
        <w:rPr>
          <w:sz w:val="22"/>
          <w:szCs w:val="22"/>
        </w:rPr>
        <w:t>0</w:t>
      </w:r>
      <w:r>
        <w:rPr>
          <w:sz w:val="22"/>
          <w:szCs w:val="22"/>
        </w:rPr>
        <w:t xml:space="preserve"> Section</w:t>
      </w:r>
      <w:r w:rsidRPr="00D378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3.B </w:t>
      </w:r>
      <w:r w:rsidRPr="000B768B">
        <w:rPr>
          <w:sz w:val="22"/>
          <w:szCs w:val="22"/>
        </w:rPr>
        <w:t>(new item 7 with items below renumbered)</w:t>
      </w:r>
    </w:p>
    <w:p w14:paraId="08977DFF" w14:textId="6DD39B8B" w:rsidR="002A1D7D" w:rsidRPr="005B233B" w:rsidRDefault="00B1399E" w:rsidP="00B1399E">
      <w:pPr>
        <w:tabs>
          <w:tab w:val="left" w:pos="235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C956DC" w14:textId="77777777" w:rsidR="002A1D7D" w:rsidRPr="005B233B" w:rsidRDefault="002A1D7D" w:rsidP="002A1D7D">
      <w:pPr>
        <w:ind w:left="720"/>
        <w:jc w:val="both"/>
        <w:rPr>
          <w:sz w:val="22"/>
          <w:szCs w:val="22"/>
        </w:rPr>
      </w:pPr>
      <w:r w:rsidRPr="1C720C32">
        <w:rPr>
          <w:sz w:val="22"/>
          <w:szCs w:val="22"/>
        </w:rPr>
        <w:t xml:space="preserve">January 1, </w:t>
      </w:r>
      <w:proofErr w:type="gramStart"/>
      <w:r w:rsidRPr="1C720C32">
        <w:rPr>
          <w:sz w:val="22"/>
          <w:szCs w:val="22"/>
        </w:rPr>
        <w:t>2023</w:t>
      </w:r>
      <w:proofErr w:type="gramEnd"/>
      <w:r w:rsidRPr="1C720C32">
        <w:rPr>
          <w:sz w:val="22"/>
          <w:szCs w:val="22"/>
        </w:rPr>
        <w:t xml:space="preserve"> NAIC Valuation Manual</w:t>
      </w:r>
    </w:p>
    <w:p w14:paraId="65160ABD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19A6E62E" w14:textId="32CF591A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  <w:t>Show what changes are needed by providing a red-line version of the original verbiage with deletions and identify the verbiage to be deleted, inserted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or changed by providing a red-line (turn on “track changes” in Word®) version of the verbiage. (You may do this through an attachment.)</w:t>
      </w:r>
    </w:p>
    <w:p w14:paraId="32D92D4E" w14:textId="77777777" w:rsidR="002A1D7D" w:rsidRDefault="002A1D7D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636DB11A" w14:textId="36ABEFF7" w:rsidR="006058A2" w:rsidRDefault="002A1D7D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058A2">
        <w:rPr>
          <w:sz w:val="22"/>
          <w:szCs w:val="22"/>
        </w:rPr>
        <w:t>Add the following definition to VM-01</w:t>
      </w:r>
    </w:p>
    <w:p w14:paraId="0B2E3D59" w14:textId="7D21AF98" w:rsidR="006058A2" w:rsidRDefault="006058A2" w:rsidP="006058A2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0AB62573" w14:textId="121581B5" w:rsidR="006058A2" w:rsidRPr="00C52CD9" w:rsidRDefault="006058A2" w:rsidP="006058A2">
      <w:pPr>
        <w:pStyle w:val="Default"/>
        <w:numPr>
          <w:ilvl w:val="0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>The term “</w:t>
      </w:r>
      <w:r w:rsidR="00DF0DA9">
        <w:rPr>
          <w:color w:val="FF0000"/>
          <w:sz w:val="22"/>
          <w:szCs w:val="22"/>
        </w:rPr>
        <w:t>e</w:t>
      </w:r>
      <w:r w:rsidRPr="00C52CD9">
        <w:rPr>
          <w:color w:val="FF0000"/>
          <w:sz w:val="22"/>
          <w:szCs w:val="22"/>
        </w:rPr>
        <w:t>quity-</w:t>
      </w:r>
      <w:r w:rsidR="00DF0DA9">
        <w:rPr>
          <w:color w:val="FF0000"/>
          <w:sz w:val="22"/>
          <w:szCs w:val="22"/>
        </w:rPr>
        <w:t>l</w:t>
      </w:r>
      <w:r w:rsidRPr="00C52CD9">
        <w:rPr>
          <w:color w:val="FF0000"/>
          <w:sz w:val="22"/>
          <w:szCs w:val="22"/>
        </w:rPr>
        <w:t xml:space="preserve">ike </w:t>
      </w:r>
      <w:r w:rsidR="00DF0DA9">
        <w:rPr>
          <w:color w:val="FF0000"/>
          <w:sz w:val="22"/>
          <w:szCs w:val="22"/>
        </w:rPr>
        <w:t>i</w:t>
      </w:r>
      <w:r w:rsidRPr="00C52CD9">
        <w:rPr>
          <w:color w:val="FF0000"/>
          <w:sz w:val="22"/>
          <w:szCs w:val="22"/>
        </w:rPr>
        <w:t>nstruments” means assets that include the following:</w:t>
      </w:r>
    </w:p>
    <w:p w14:paraId="484C70F9" w14:textId="77777777" w:rsidR="006058A2" w:rsidRPr="00C52CD9" w:rsidRDefault="006058A2" w:rsidP="006058A2">
      <w:pPr>
        <w:pStyle w:val="Default"/>
        <w:numPr>
          <w:ilvl w:val="1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 xml:space="preserve">Any assets that, for purposes of risk-based capital C-1 reporting, are in the category of common stock, i.e., have a 30% or higher risk-based capital charge. </w:t>
      </w:r>
    </w:p>
    <w:p w14:paraId="2D2173A9" w14:textId="77777777" w:rsidR="006058A2" w:rsidRPr="00C52CD9" w:rsidRDefault="006058A2" w:rsidP="006058A2">
      <w:pPr>
        <w:pStyle w:val="Default"/>
        <w:numPr>
          <w:ilvl w:val="1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>Any assets that are captured on Schedule A or Schedule BA of the annual statement.</w:t>
      </w:r>
    </w:p>
    <w:p w14:paraId="105A4465" w14:textId="44DB3059" w:rsidR="006058A2" w:rsidRPr="00C52CD9" w:rsidRDefault="006058A2" w:rsidP="006058A2">
      <w:pPr>
        <w:pStyle w:val="Default"/>
        <w:numPr>
          <w:ilvl w:val="1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>Bond funds.</w:t>
      </w:r>
    </w:p>
    <w:p w14:paraId="452111A0" w14:textId="77777777" w:rsidR="006058A2" w:rsidRDefault="006058A2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50ABE4D3" w14:textId="1AF11B44" w:rsidR="002A1D7D" w:rsidRPr="000B768B" w:rsidRDefault="002A1D7D" w:rsidP="006058A2">
      <w:pPr>
        <w:widowControl w:val="0"/>
        <w:spacing w:line="271" w:lineRule="auto"/>
        <w:ind w:firstLine="720"/>
        <w:contextualSpacing/>
        <w:jc w:val="both"/>
        <w:rPr>
          <w:rFonts w:eastAsia="Times New Roman"/>
        </w:rPr>
      </w:pPr>
      <w:r>
        <w:rPr>
          <w:sz w:val="22"/>
          <w:szCs w:val="22"/>
        </w:rPr>
        <w:t>Add the following subsection 3.B.7. and renumber the items below:</w:t>
      </w:r>
    </w:p>
    <w:p w14:paraId="6D76442C" w14:textId="77777777" w:rsidR="002A1D7D" w:rsidRDefault="002A1D7D" w:rsidP="002A1D7D">
      <w:pPr>
        <w:pStyle w:val="ListParagraph"/>
        <w:widowControl w:val="0"/>
        <w:spacing w:line="271" w:lineRule="auto"/>
        <w:contextualSpacing/>
        <w:jc w:val="both"/>
        <w:rPr>
          <w:rFonts w:eastAsia="Times New Roman"/>
        </w:rPr>
      </w:pPr>
    </w:p>
    <w:p w14:paraId="6D223DCC" w14:textId="77777777" w:rsidR="002A1D7D" w:rsidRPr="00C52CD9" w:rsidRDefault="002A1D7D" w:rsidP="002A1D7D">
      <w:pPr>
        <w:pStyle w:val="ListParagraph"/>
        <w:widowControl w:val="0"/>
        <w:numPr>
          <w:ilvl w:val="0"/>
          <w:numId w:val="1"/>
        </w:numPr>
        <w:spacing w:line="271" w:lineRule="auto"/>
        <w:ind w:left="180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When the form of asset adequacy analysis is cash-flow testing, investment return assumptions for equity-like instruments shall not solely project the anticipated long-term average return (e.g., a single level assumption set to the long-term average) but account for the volatility of such returns which may be expected in moderately adverse conditions.</w:t>
      </w:r>
    </w:p>
    <w:p w14:paraId="55A9B804" w14:textId="77777777" w:rsidR="002A1D7D" w:rsidRPr="00C52CD9" w:rsidRDefault="002A1D7D" w:rsidP="002A1D7D">
      <w:pPr>
        <w:pStyle w:val="ListParagraph"/>
        <w:spacing w:line="271" w:lineRule="auto"/>
        <w:ind w:left="1800"/>
        <w:jc w:val="both"/>
        <w:rPr>
          <w:rFonts w:eastAsia="Times New Roman"/>
          <w:color w:val="FF0000"/>
          <w:sz w:val="22"/>
          <w:szCs w:val="22"/>
        </w:rPr>
      </w:pPr>
    </w:p>
    <w:p w14:paraId="6B05437F" w14:textId="77777777" w:rsidR="002A1D7D" w:rsidRPr="00C52CD9" w:rsidRDefault="002A1D7D" w:rsidP="002A1D7D">
      <w:pPr>
        <w:pStyle w:val="ListParagraph"/>
        <w:widowControl w:val="0"/>
        <w:numPr>
          <w:ilvl w:val="1"/>
          <w:numId w:val="1"/>
        </w:numPr>
        <w:spacing w:line="271" w:lineRule="auto"/>
        <w:ind w:left="252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To accomplish the accounting for volatility, one or more of the following approaches may be employed, as appropriate:</w:t>
      </w:r>
    </w:p>
    <w:p w14:paraId="43FB5B5E" w14:textId="77777777" w:rsidR="002A1D7D" w:rsidRPr="00C52CD9" w:rsidRDefault="002A1D7D" w:rsidP="002A1D7D">
      <w:pPr>
        <w:pStyle w:val="ListParagraph"/>
        <w:spacing w:line="271" w:lineRule="auto"/>
        <w:ind w:left="2520"/>
        <w:jc w:val="both"/>
        <w:rPr>
          <w:rFonts w:eastAsia="Times New Roman"/>
          <w:color w:val="FF0000"/>
          <w:sz w:val="22"/>
          <w:szCs w:val="22"/>
        </w:rPr>
      </w:pPr>
    </w:p>
    <w:p w14:paraId="1CED0549" w14:textId="77777777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Stochastic modeling for equity returns, with accompanying analysis of risk metrics.</w:t>
      </w:r>
    </w:p>
    <w:p w14:paraId="4BF076B8" w14:textId="77777777" w:rsidR="002A1D7D" w:rsidRPr="00C52CD9" w:rsidRDefault="002A1D7D" w:rsidP="002A1D7D">
      <w:pPr>
        <w:pStyle w:val="ListParagraph"/>
        <w:spacing w:line="271" w:lineRule="auto"/>
        <w:ind w:left="3240"/>
        <w:jc w:val="both"/>
        <w:rPr>
          <w:rFonts w:eastAsia="Times New Roman"/>
          <w:color w:val="FF0000"/>
          <w:sz w:val="22"/>
          <w:szCs w:val="22"/>
        </w:rPr>
      </w:pPr>
    </w:p>
    <w:p w14:paraId="63074955" w14:textId="4BD646B2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As relevant to capture the risk, including up, down, and/or volatile equity return scenarios for each given set of interest rate paths.</w:t>
      </w:r>
    </w:p>
    <w:p w14:paraId="29952F93" w14:textId="77777777" w:rsidR="002A1D7D" w:rsidRPr="00C52CD9" w:rsidRDefault="002A1D7D" w:rsidP="002A1D7D">
      <w:pPr>
        <w:pStyle w:val="ListParagraph"/>
        <w:ind w:left="1800"/>
        <w:rPr>
          <w:rFonts w:eastAsia="Times New Roman"/>
          <w:color w:val="FF0000"/>
          <w:sz w:val="22"/>
          <w:szCs w:val="22"/>
        </w:rPr>
      </w:pPr>
    </w:p>
    <w:p w14:paraId="5B4EF13E" w14:textId="77777777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Projecting one or more market drops, taking into consideration future points at which cash-flow testing results could be vulnerable to market downturns.</w:t>
      </w:r>
    </w:p>
    <w:p w14:paraId="7E89C55D" w14:textId="77777777" w:rsidR="002A1D7D" w:rsidRPr="00C52CD9" w:rsidRDefault="002A1D7D" w:rsidP="002A1D7D">
      <w:pPr>
        <w:pStyle w:val="ListParagraph"/>
        <w:ind w:left="1800"/>
        <w:rPr>
          <w:rFonts w:eastAsia="Times New Roman"/>
          <w:color w:val="FF0000"/>
          <w:sz w:val="22"/>
          <w:szCs w:val="22"/>
        </w:rPr>
      </w:pPr>
    </w:p>
    <w:p w14:paraId="06658BEE" w14:textId="327F9D15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Reflecting a level return assumption set equal to a tail risk metric, for example, setting investment returns to the average of the worst 30% of future scenarios, i.e., CTE70.</w:t>
      </w:r>
    </w:p>
    <w:p w14:paraId="00B5E8C8" w14:textId="77777777" w:rsidR="002A1D7D" w:rsidRPr="00C52CD9" w:rsidRDefault="002A1D7D" w:rsidP="002A1D7D">
      <w:pPr>
        <w:pStyle w:val="ListParagraph"/>
        <w:ind w:left="1800"/>
        <w:rPr>
          <w:rFonts w:eastAsia="Times New Roman"/>
          <w:color w:val="FF0000"/>
          <w:sz w:val="22"/>
          <w:szCs w:val="22"/>
        </w:rPr>
      </w:pPr>
    </w:p>
    <w:p w14:paraId="5DAFE06D" w14:textId="777C7949" w:rsidR="002A1D7D" w:rsidRPr="00C52CD9" w:rsidRDefault="002A1D7D" w:rsidP="002A1D7D">
      <w:pPr>
        <w:pStyle w:val="ListParagraph"/>
        <w:widowControl w:val="0"/>
        <w:numPr>
          <w:ilvl w:val="1"/>
          <w:numId w:val="1"/>
        </w:numPr>
        <w:spacing w:after="200" w:line="276" w:lineRule="auto"/>
        <w:ind w:left="2520"/>
        <w:contextualSpacing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 xml:space="preserve">A qualitative description of why the equity return scenario used in asset adequacy </w:t>
      </w:r>
      <w:r w:rsidR="00D43E21" w:rsidRPr="00C52CD9">
        <w:rPr>
          <w:rFonts w:eastAsia="Times New Roman"/>
          <w:color w:val="FF0000"/>
          <w:sz w:val="22"/>
          <w:szCs w:val="22"/>
        </w:rPr>
        <w:t>analysis</w:t>
      </w:r>
      <w:r w:rsidRPr="00C52CD9">
        <w:rPr>
          <w:rFonts w:eastAsia="Times New Roman"/>
          <w:color w:val="FF0000"/>
          <w:sz w:val="22"/>
          <w:szCs w:val="22"/>
        </w:rPr>
        <w:t xml:space="preserve"> is moderately adverse </w:t>
      </w:r>
      <w:proofErr w:type="gramStart"/>
      <w:r w:rsidRPr="00C52CD9">
        <w:rPr>
          <w:rFonts w:eastAsia="Times New Roman"/>
          <w:color w:val="FF0000"/>
          <w:sz w:val="22"/>
          <w:szCs w:val="22"/>
        </w:rPr>
        <w:t>in light of</w:t>
      </w:r>
      <w:proofErr w:type="gramEnd"/>
      <w:r w:rsidRPr="00C52CD9">
        <w:rPr>
          <w:rFonts w:eastAsia="Times New Roman"/>
          <w:color w:val="FF0000"/>
          <w:sz w:val="22"/>
          <w:szCs w:val="22"/>
        </w:rPr>
        <w:t xml:space="preserve"> the company’s portfolio should be provided.</w:t>
      </w:r>
    </w:p>
    <w:p w14:paraId="3F41900A" w14:textId="0757B2A2" w:rsidR="002A1D7D" w:rsidRDefault="002A1D7D" w:rsidP="002A1D7D">
      <w:pPr>
        <w:ind w:left="1152" w:hanging="576"/>
        <w:jc w:val="both"/>
        <w:rPr>
          <w:sz w:val="22"/>
          <w:szCs w:val="22"/>
        </w:rPr>
      </w:pPr>
    </w:p>
    <w:p w14:paraId="4A6CB496" w14:textId="77777777" w:rsidR="002A1D7D" w:rsidRPr="005B233B" w:rsidRDefault="002A1D7D" w:rsidP="002A1D7D">
      <w:pPr>
        <w:ind w:left="1152" w:hanging="576"/>
        <w:jc w:val="both"/>
        <w:rPr>
          <w:sz w:val="22"/>
          <w:szCs w:val="22"/>
        </w:rPr>
      </w:pPr>
    </w:p>
    <w:p w14:paraId="513F97CA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  <w:t xml:space="preserve">State the reason for the proposed </w:t>
      </w:r>
      <w:proofErr w:type="gramStart"/>
      <w:r w:rsidRPr="005B233B">
        <w:rPr>
          <w:sz w:val="22"/>
          <w:szCs w:val="22"/>
        </w:rPr>
        <w:t>amendment?</w:t>
      </w:r>
      <w:proofErr w:type="gramEnd"/>
      <w:r w:rsidRPr="005B233B">
        <w:rPr>
          <w:sz w:val="22"/>
          <w:szCs w:val="22"/>
        </w:rPr>
        <w:t xml:space="preserve"> (You may do this through an attachment.)</w:t>
      </w:r>
    </w:p>
    <w:p w14:paraId="0FAEF727" w14:textId="77777777" w:rsidR="002A1D7D" w:rsidRDefault="002A1D7D" w:rsidP="002A1D7D">
      <w:pPr>
        <w:ind w:left="720"/>
        <w:jc w:val="both"/>
        <w:rPr>
          <w:sz w:val="22"/>
          <w:szCs w:val="22"/>
        </w:rPr>
      </w:pPr>
    </w:p>
    <w:p w14:paraId="464C53AE" w14:textId="77777777" w:rsidR="002A1D7D" w:rsidRDefault="002A1D7D" w:rsidP="002A1D7D">
      <w:pPr>
        <w:spacing w:line="259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As presented at the August 2023 NAIC meeting, Actuarial Guideline 53 reviews revealed usage of flat, high, unchanging equity return assumptions for the length of 30+ year projections by many industry members.</w:t>
      </w:r>
    </w:p>
    <w:p w14:paraId="7933231B" w14:textId="77777777" w:rsidR="002A1D7D" w:rsidRDefault="002A1D7D" w:rsidP="002A1D7D">
      <w:pPr>
        <w:spacing w:line="259" w:lineRule="auto"/>
        <w:ind w:left="720"/>
        <w:jc w:val="both"/>
        <w:rPr>
          <w:sz w:val="22"/>
          <w:szCs w:val="22"/>
        </w:rPr>
      </w:pPr>
    </w:p>
    <w:p w14:paraId="39D6CE67" w14:textId="77777777" w:rsidR="002A1D7D" w:rsidRDefault="002A1D7D" w:rsidP="002A1D7D">
      <w:pPr>
        <w:spacing w:line="259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We believe that, just as fixed securities should have their risks appropriately reflected in cash-flow testing, so should equity-like instruments.</w:t>
      </w:r>
    </w:p>
    <w:p w14:paraId="00B9082F" w14:textId="77777777" w:rsidR="002A1D7D" w:rsidRDefault="002A1D7D" w:rsidP="002A1D7D">
      <w:pPr>
        <w:spacing w:line="259" w:lineRule="auto"/>
        <w:ind w:left="720"/>
        <w:jc w:val="both"/>
        <w:rPr>
          <w:sz w:val="22"/>
          <w:szCs w:val="22"/>
        </w:rPr>
      </w:pPr>
    </w:p>
    <w:p w14:paraId="557BA07B" w14:textId="77777777" w:rsidR="002A1D7D" w:rsidRPr="00A449B5" w:rsidRDefault="002A1D7D" w:rsidP="002A1D7D">
      <w:pPr>
        <w:spacing w:line="259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This proposal stops short of establishing a guardrail on equity return assumptions (as exists in other Valuation Manual sections), but such a guardrail may also be a consideration if regulators do not see an appropriate reflection of equity market volatility.</w:t>
      </w:r>
    </w:p>
    <w:p w14:paraId="70EE6020" w14:textId="77777777" w:rsidR="00174DEC" w:rsidRDefault="00174D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DC0E65" w:rsidRPr="003036F1" w14:paraId="2B93D8A4" w14:textId="77777777" w:rsidTr="002325CF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3CEEA43B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b/>
                <w:sz w:val="20"/>
                <w:szCs w:val="20"/>
              </w:rPr>
              <w:t xml:space="preserve">Dates: </w:t>
            </w:r>
            <w:r w:rsidRPr="003036F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2A1F5216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0E9CE9FD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34C95A24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DC0E65" w:rsidRPr="003036F1" w14:paraId="238BE4E1" w14:textId="77777777" w:rsidTr="002325CF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61EAE2F1" w14:textId="27CF0712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10/25/23</w:t>
            </w:r>
          </w:p>
        </w:tc>
        <w:tc>
          <w:tcPr>
            <w:tcW w:w="1980" w:type="dxa"/>
            <w:shd w:val="clear" w:color="auto" w:fill="CCCCCC"/>
          </w:tcPr>
          <w:p w14:paraId="0B112FD0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1955" w:type="dxa"/>
            <w:shd w:val="clear" w:color="auto" w:fill="CCCCCC"/>
          </w:tcPr>
          <w:p w14:paraId="2D64067F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7159F7FF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DC0E65" w:rsidRPr="003036F1" w14:paraId="2D1A5A57" w14:textId="77777777" w:rsidTr="002325CF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48D84D4D" w14:textId="2DA220C2" w:rsidR="00DC0E65" w:rsidRPr="003036F1" w:rsidRDefault="00DC0E65" w:rsidP="002325CF">
            <w:pPr>
              <w:jc w:val="both"/>
              <w:rPr>
                <w:sz w:val="20"/>
                <w:szCs w:val="20"/>
              </w:rPr>
            </w:pPr>
            <w:r w:rsidRPr="003036F1">
              <w:rPr>
                <w:b/>
                <w:sz w:val="20"/>
                <w:szCs w:val="20"/>
              </w:rPr>
              <w:t>Notes:</w:t>
            </w:r>
            <w:r w:rsidRPr="00303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2023-</w:t>
            </w:r>
            <w:r>
              <w:rPr>
                <w:sz w:val="20"/>
                <w:szCs w:val="20"/>
              </w:rPr>
              <w:t>12</w:t>
            </w:r>
          </w:p>
        </w:tc>
      </w:tr>
    </w:tbl>
    <w:p w14:paraId="1C928B17" w14:textId="77777777" w:rsidR="00DC0E65" w:rsidRDefault="00DC0E65"/>
    <w:sectPr w:rsidR="00DC0E65" w:rsidSect="008D738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CAE"/>
    <w:multiLevelType w:val="hybridMultilevel"/>
    <w:tmpl w:val="3AEE3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16694C"/>
    <w:multiLevelType w:val="hybridMultilevel"/>
    <w:tmpl w:val="8ACC29A6"/>
    <w:lvl w:ilvl="0" w:tplc="1876C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41A00"/>
    <w:multiLevelType w:val="hybridMultilevel"/>
    <w:tmpl w:val="649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515B"/>
    <w:multiLevelType w:val="hybridMultilevel"/>
    <w:tmpl w:val="365AA0F8"/>
    <w:lvl w:ilvl="0" w:tplc="F9340A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5643">
    <w:abstractNumId w:val="3"/>
  </w:num>
  <w:num w:numId="2" w16cid:durableId="1521969066">
    <w:abstractNumId w:val="2"/>
  </w:num>
  <w:num w:numId="3" w16cid:durableId="962156063">
    <w:abstractNumId w:val="2"/>
  </w:num>
  <w:num w:numId="4" w16cid:durableId="158204991">
    <w:abstractNumId w:val="0"/>
  </w:num>
  <w:num w:numId="5" w16cid:durableId="108934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7D"/>
    <w:rsid w:val="00174DEC"/>
    <w:rsid w:val="002A1D7D"/>
    <w:rsid w:val="002E5538"/>
    <w:rsid w:val="006058A2"/>
    <w:rsid w:val="00A73D50"/>
    <w:rsid w:val="00B1399E"/>
    <w:rsid w:val="00C52CD9"/>
    <w:rsid w:val="00CF65BC"/>
    <w:rsid w:val="00D43E21"/>
    <w:rsid w:val="00D61913"/>
    <w:rsid w:val="00DC0E65"/>
    <w:rsid w:val="00D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2E00"/>
  <w15:chartTrackingRefBased/>
  <w15:docId w15:val="{BADA6345-4ABD-42AD-8D81-823699F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7D"/>
    <w:pPr>
      <w:ind w:left="720"/>
    </w:pPr>
  </w:style>
  <w:style w:type="paragraph" w:customStyle="1" w:styleId="Default">
    <w:name w:val="Default"/>
    <w:rsid w:val="00605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17CF3-A8E1-4F8F-9182-64061620C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C7952-66D0-4D08-841B-691F4C674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O'Neal, Scott</cp:lastModifiedBy>
  <cp:revision>8</cp:revision>
  <dcterms:created xsi:type="dcterms:W3CDTF">2023-10-25T14:36:00Z</dcterms:created>
  <dcterms:modified xsi:type="dcterms:W3CDTF">2023-10-30T17:49:00Z</dcterms:modified>
</cp:coreProperties>
</file>