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0385" w14:textId="77777777" w:rsidR="002A1D7D" w:rsidRPr="00EF7C60" w:rsidRDefault="002A1D7D" w:rsidP="002A1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Actuarial (A) Task Force/ Health Actuarial (B) Task Force</w:t>
      </w:r>
    </w:p>
    <w:p w14:paraId="7B6AF8DA" w14:textId="77777777" w:rsidR="002A1D7D" w:rsidRPr="00EF7C60" w:rsidRDefault="002A1D7D" w:rsidP="002A1D7D">
      <w:pPr>
        <w:jc w:val="center"/>
        <w:rPr>
          <w:b/>
        </w:rPr>
      </w:pPr>
      <w:r w:rsidRPr="00EF7C60">
        <w:rPr>
          <w:b/>
        </w:rPr>
        <w:t>Amendment Proposal Form*</w:t>
      </w:r>
    </w:p>
    <w:p w14:paraId="51D9C6D8" w14:textId="77777777" w:rsidR="002A1D7D" w:rsidRPr="002F4168" w:rsidRDefault="002A1D7D" w:rsidP="002A1D7D">
      <w:pPr>
        <w:jc w:val="both"/>
        <w:rPr>
          <w:sz w:val="20"/>
          <w:szCs w:val="20"/>
        </w:rPr>
      </w:pPr>
    </w:p>
    <w:p w14:paraId="2AAE2BDB" w14:textId="4758C020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1.</w:t>
      </w:r>
      <w:r w:rsidRPr="005B233B">
        <w:rPr>
          <w:sz w:val="22"/>
          <w:szCs w:val="22"/>
        </w:rPr>
        <w:tab/>
        <w:t>Identify yourself, your affiliation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and a very brief description (title) of the issue.</w:t>
      </w:r>
    </w:p>
    <w:p w14:paraId="76D52CCC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6B248FCF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Identification:</w:t>
      </w:r>
    </w:p>
    <w:p w14:paraId="74ADE238" w14:textId="77777777" w:rsidR="002A1D7D" w:rsidRPr="005B233B" w:rsidRDefault="002A1D7D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Fred Andersen, FSA, MAAA and Ben Slutsker, FSA, MAAA</w:t>
      </w:r>
    </w:p>
    <w:p w14:paraId="4DCC7F72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</w:r>
    </w:p>
    <w:p w14:paraId="3942110E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Title of the Issue:</w:t>
      </w:r>
    </w:p>
    <w:p w14:paraId="36951B5B" w14:textId="77777777" w:rsidR="002A1D7D" w:rsidRPr="005B233B" w:rsidRDefault="002A1D7D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Clarify expectations on reflection of equity return volatility in VM-30 cash-flow testing.  </w:t>
      </w:r>
    </w:p>
    <w:p w14:paraId="114740A9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75885B9F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2.</w:t>
      </w:r>
      <w:r w:rsidRPr="005B233B">
        <w:rPr>
          <w:sz w:val="22"/>
          <w:szCs w:val="22"/>
        </w:rPr>
        <w:tab/>
        <w:t>Identify the document, including the date if the document is “released for comment,” and the location in the document where the amendment is proposed:</w:t>
      </w:r>
    </w:p>
    <w:p w14:paraId="0B2FE6DD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</w:p>
    <w:p w14:paraId="503540EC" w14:textId="739D5319" w:rsidR="00CF65BC" w:rsidRDefault="00CF65BC" w:rsidP="002A1D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VM-01</w:t>
      </w:r>
    </w:p>
    <w:p w14:paraId="7589E95A" w14:textId="77777777" w:rsidR="00CF65BC" w:rsidRDefault="00CF65BC" w:rsidP="002A1D7D">
      <w:pPr>
        <w:ind w:firstLine="720"/>
        <w:jc w:val="both"/>
        <w:rPr>
          <w:sz w:val="22"/>
          <w:szCs w:val="22"/>
        </w:rPr>
      </w:pPr>
    </w:p>
    <w:p w14:paraId="47B868C1" w14:textId="1978F3FF" w:rsidR="002A1D7D" w:rsidRDefault="002A1D7D" w:rsidP="002A1D7D">
      <w:pPr>
        <w:ind w:firstLine="720"/>
        <w:jc w:val="both"/>
        <w:rPr>
          <w:sz w:val="22"/>
          <w:szCs w:val="22"/>
        </w:rPr>
      </w:pPr>
      <w:r w:rsidRPr="00D3784D">
        <w:rPr>
          <w:sz w:val="22"/>
          <w:szCs w:val="22"/>
        </w:rPr>
        <w:t>VM-</w:t>
      </w:r>
      <w:r>
        <w:rPr>
          <w:sz w:val="22"/>
          <w:szCs w:val="22"/>
        </w:rPr>
        <w:t>3</w:t>
      </w:r>
      <w:r w:rsidRPr="00D3784D">
        <w:rPr>
          <w:sz w:val="22"/>
          <w:szCs w:val="22"/>
        </w:rPr>
        <w:t>0</w:t>
      </w:r>
      <w:r>
        <w:rPr>
          <w:sz w:val="22"/>
          <w:szCs w:val="22"/>
        </w:rPr>
        <w:t xml:space="preserve"> Section</w:t>
      </w:r>
      <w:r w:rsidRPr="00D378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3.B </w:t>
      </w:r>
      <w:r w:rsidRPr="000B768B">
        <w:rPr>
          <w:sz w:val="22"/>
          <w:szCs w:val="22"/>
        </w:rPr>
        <w:t>(new item 7 with items below renumbered)</w:t>
      </w:r>
    </w:p>
    <w:p w14:paraId="08977DFF" w14:textId="6DD39B8B" w:rsidR="002A1D7D" w:rsidRPr="005B233B" w:rsidRDefault="00B1399E" w:rsidP="00B1399E">
      <w:pPr>
        <w:tabs>
          <w:tab w:val="left" w:pos="235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C956DC" w14:textId="77777777" w:rsidR="002A1D7D" w:rsidRPr="005B233B" w:rsidRDefault="002A1D7D" w:rsidP="002A1D7D">
      <w:pPr>
        <w:ind w:left="720"/>
        <w:jc w:val="both"/>
        <w:rPr>
          <w:sz w:val="22"/>
          <w:szCs w:val="22"/>
        </w:rPr>
      </w:pPr>
      <w:r w:rsidRPr="1C720C32">
        <w:rPr>
          <w:sz w:val="22"/>
          <w:szCs w:val="22"/>
        </w:rPr>
        <w:t xml:space="preserve">January 1, </w:t>
      </w:r>
      <w:proofErr w:type="gramStart"/>
      <w:r w:rsidRPr="1C720C32">
        <w:rPr>
          <w:sz w:val="22"/>
          <w:szCs w:val="22"/>
        </w:rPr>
        <w:t>2023</w:t>
      </w:r>
      <w:proofErr w:type="gramEnd"/>
      <w:r w:rsidRPr="1C720C32">
        <w:rPr>
          <w:sz w:val="22"/>
          <w:szCs w:val="22"/>
        </w:rPr>
        <w:t xml:space="preserve"> NAIC Valuation Manual</w:t>
      </w:r>
    </w:p>
    <w:p w14:paraId="65160ABD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19A6E62E" w14:textId="32CF591A" w:rsidR="002A1D7D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3.</w:t>
      </w:r>
      <w:r w:rsidRPr="005B233B">
        <w:rPr>
          <w:sz w:val="22"/>
          <w:szCs w:val="22"/>
        </w:rPr>
        <w:tab/>
        <w:t>Show what changes are needed by providing a red-line version of the original verbiage with deletions and identify the verbiage to be deleted, inserted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or changed by providing a red-line (turn on “track changes” in Word®) version of the verbiage. (You may do this through an attachment.)</w:t>
      </w:r>
    </w:p>
    <w:p w14:paraId="375052DA" w14:textId="77777777" w:rsidR="00223BDE" w:rsidRDefault="00223BDE" w:rsidP="002A1D7D">
      <w:pPr>
        <w:ind w:left="720" w:hanging="720"/>
        <w:jc w:val="both"/>
        <w:rPr>
          <w:sz w:val="22"/>
          <w:szCs w:val="22"/>
        </w:rPr>
      </w:pPr>
    </w:p>
    <w:p w14:paraId="25855738" w14:textId="7366F9EB" w:rsidR="00223BDE" w:rsidRPr="005B233B" w:rsidRDefault="00223BDE" w:rsidP="002A1D7D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58014E" w14:textId="77777777" w:rsidR="00DE1E59" w:rsidRDefault="00DE1E59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636DB11A" w14:textId="092B047E" w:rsidR="006058A2" w:rsidRDefault="006058A2" w:rsidP="00DE1E59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Add the following definition to VM-01</w:t>
      </w:r>
    </w:p>
    <w:p w14:paraId="0B2E3D59" w14:textId="7D21AF98" w:rsidR="006058A2" w:rsidRDefault="006058A2" w:rsidP="006058A2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0AB62573" w14:textId="20EA6D7B" w:rsidR="006058A2" w:rsidRPr="00C52CD9" w:rsidRDefault="006058A2" w:rsidP="006058A2">
      <w:pPr>
        <w:pStyle w:val="Default"/>
        <w:numPr>
          <w:ilvl w:val="0"/>
          <w:numId w:val="4"/>
        </w:numPr>
        <w:spacing w:line="271" w:lineRule="auto"/>
        <w:rPr>
          <w:color w:val="FF0000"/>
          <w:sz w:val="22"/>
          <w:szCs w:val="22"/>
        </w:rPr>
      </w:pPr>
      <w:r w:rsidRPr="00C52CD9">
        <w:rPr>
          <w:color w:val="FF0000"/>
          <w:sz w:val="22"/>
          <w:szCs w:val="22"/>
        </w:rPr>
        <w:t>The term “</w:t>
      </w:r>
      <w:r w:rsidR="00DF0DA9">
        <w:rPr>
          <w:color w:val="FF0000"/>
          <w:sz w:val="22"/>
          <w:szCs w:val="22"/>
        </w:rPr>
        <w:t>e</w:t>
      </w:r>
      <w:r w:rsidRPr="00C52CD9">
        <w:rPr>
          <w:color w:val="FF0000"/>
          <w:sz w:val="22"/>
          <w:szCs w:val="22"/>
        </w:rPr>
        <w:t>quity-</w:t>
      </w:r>
      <w:r w:rsidR="00DF0DA9">
        <w:rPr>
          <w:color w:val="FF0000"/>
          <w:sz w:val="22"/>
          <w:szCs w:val="22"/>
        </w:rPr>
        <w:t>l</w:t>
      </w:r>
      <w:r w:rsidRPr="00C52CD9">
        <w:rPr>
          <w:color w:val="FF0000"/>
          <w:sz w:val="22"/>
          <w:szCs w:val="22"/>
        </w:rPr>
        <w:t xml:space="preserve">ike </w:t>
      </w:r>
      <w:r w:rsidR="00DF0DA9">
        <w:rPr>
          <w:color w:val="FF0000"/>
          <w:sz w:val="22"/>
          <w:szCs w:val="22"/>
        </w:rPr>
        <w:t>i</w:t>
      </w:r>
      <w:r w:rsidRPr="00C52CD9">
        <w:rPr>
          <w:color w:val="FF0000"/>
          <w:sz w:val="22"/>
          <w:szCs w:val="22"/>
        </w:rPr>
        <w:t xml:space="preserve">nstruments” means assets </w:t>
      </w:r>
      <w:r w:rsidR="00C208A1">
        <w:rPr>
          <w:color w:val="FF0000"/>
          <w:sz w:val="22"/>
          <w:szCs w:val="22"/>
          <w:u w:val="single"/>
        </w:rPr>
        <w:t xml:space="preserve">excluding surplus notes, bond ETFs, and preferred stock ETFs </w:t>
      </w:r>
      <w:r w:rsidRPr="00C52CD9">
        <w:rPr>
          <w:color w:val="FF0000"/>
          <w:sz w:val="22"/>
          <w:szCs w:val="22"/>
        </w:rPr>
        <w:t>that include the following:</w:t>
      </w:r>
    </w:p>
    <w:p w14:paraId="484C70F9" w14:textId="77777777" w:rsidR="006058A2" w:rsidRPr="00C52CD9" w:rsidRDefault="006058A2" w:rsidP="006058A2">
      <w:pPr>
        <w:pStyle w:val="Default"/>
        <w:numPr>
          <w:ilvl w:val="1"/>
          <w:numId w:val="4"/>
        </w:numPr>
        <w:spacing w:line="271" w:lineRule="auto"/>
        <w:rPr>
          <w:color w:val="FF0000"/>
          <w:sz w:val="22"/>
          <w:szCs w:val="22"/>
        </w:rPr>
      </w:pPr>
      <w:r w:rsidRPr="00C52CD9">
        <w:rPr>
          <w:color w:val="FF0000"/>
          <w:sz w:val="22"/>
          <w:szCs w:val="22"/>
        </w:rPr>
        <w:t xml:space="preserve">Any assets that, for purposes of risk-based capital C-1 reporting, are in the category of common stock, i.e., have a 30% or higher risk-based capital charge. </w:t>
      </w:r>
    </w:p>
    <w:p w14:paraId="2D2173A9" w14:textId="3E58D74F" w:rsidR="006058A2" w:rsidRPr="00C52CD9" w:rsidRDefault="006058A2" w:rsidP="006058A2">
      <w:pPr>
        <w:pStyle w:val="Default"/>
        <w:numPr>
          <w:ilvl w:val="1"/>
          <w:numId w:val="4"/>
        </w:numPr>
        <w:spacing w:line="271" w:lineRule="auto"/>
        <w:rPr>
          <w:color w:val="FF0000"/>
          <w:sz w:val="22"/>
          <w:szCs w:val="22"/>
        </w:rPr>
      </w:pPr>
      <w:r w:rsidRPr="00C52CD9">
        <w:rPr>
          <w:color w:val="FF0000"/>
          <w:sz w:val="22"/>
          <w:szCs w:val="22"/>
        </w:rPr>
        <w:t>Any assets that are captured on Schedule A or Schedule BA of the annual statement</w:t>
      </w:r>
      <w:r w:rsidR="00762487">
        <w:rPr>
          <w:color w:val="FF0000"/>
          <w:sz w:val="22"/>
          <w:szCs w:val="22"/>
        </w:rPr>
        <w:t xml:space="preserve"> excluding bonds that receive bond-like designations</w:t>
      </w:r>
      <w:r w:rsidRPr="00C52CD9">
        <w:rPr>
          <w:color w:val="FF0000"/>
          <w:sz w:val="22"/>
          <w:szCs w:val="22"/>
        </w:rPr>
        <w:t>.</w:t>
      </w:r>
    </w:p>
    <w:p w14:paraId="105A4465" w14:textId="44DB3059" w:rsidR="006058A2" w:rsidRPr="00C52CD9" w:rsidRDefault="006058A2" w:rsidP="006058A2">
      <w:pPr>
        <w:pStyle w:val="Default"/>
        <w:numPr>
          <w:ilvl w:val="1"/>
          <w:numId w:val="4"/>
        </w:numPr>
        <w:spacing w:line="271" w:lineRule="auto"/>
        <w:rPr>
          <w:color w:val="FF0000"/>
          <w:sz w:val="22"/>
          <w:szCs w:val="22"/>
        </w:rPr>
      </w:pPr>
      <w:r w:rsidRPr="00C52CD9">
        <w:rPr>
          <w:color w:val="FF0000"/>
          <w:sz w:val="22"/>
          <w:szCs w:val="22"/>
        </w:rPr>
        <w:t>Bond funds.</w:t>
      </w:r>
    </w:p>
    <w:p w14:paraId="452111A0" w14:textId="77777777" w:rsidR="006058A2" w:rsidRDefault="006058A2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50ABE4D3" w14:textId="1AF11B44" w:rsidR="002A1D7D" w:rsidRPr="000B768B" w:rsidRDefault="002A1D7D" w:rsidP="006058A2">
      <w:pPr>
        <w:widowControl w:val="0"/>
        <w:spacing w:line="271" w:lineRule="auto"/>
        <w:ind w:firstLine="720"/>
        <w:contextualSpacing/>
        <w:jc w:val="both"/>
        <w:rPr>
          <w:rFonts w:eastAsia="Times New Roman"/>
        </w:rPr>
      </w:pPr>
      <w:r>
        <w:rPr>
          <w:sz w:val="22"/>
          <w:szCs w:val="22"/>
        </w:rPr>
        <w:t>Add the following subsection 3.B.7. and renumber the items below:</w:t>
      </w:r>
    </w:p>
    <w:p w14:paraId="6D76442C" w14:textId="77777777" w:rsidR="002A1D7D" w:rsidRDefault="002A1D7D" w:rsidP="002A1D7D">
      <w:pPr>
        <w:pStyle w:val="ListParagraph"/>
        <w:widowControl w:val="0"/>
        <w:spacing w:line="271" w:lineRule="auto"/>
        <w:contextualSpacing/>
        <w:jc w:val="both"/>
        <w:rPr>
          <w:rFonts w:eastAsia="Times New Roman"/>
        </w:rPr>
      </w:pPr>
    </w:p>
    <w:p w14:paraId="6D223DCC" w14:textId="4FF6CCBD" w:rsidR="002A1D7D" w:rsidRPr="00C52CD9" w:rsidRDefault="002A1D7D" w:rsidP="002A1D7D">
      <w:pPr>
        <w:pStyle w:val="ListParagraph"/>
        <w:widowControl w:val="0"/>
        <w:numPr>
          <w:ilvl w:val="0"/>
          <w:numId w:val="1"/>
        </w:numPr>
        <w:spacing w:line="271" w:lineRule="auto"/>
        <w:ind w:left="180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 xml:space="preserve">When the form of asset adequacy analysis is cash-flow testing, </w:t>
      </w:r>
      <w:r w:rsidR="009C73B6" w:rsidRPr="00C34387">
        <w:rPr>
          <w:rFonts w:eastAsia="Times New Roman"/>
          <w:color w:val="FF0000"/>
          <w:sz w:val="22"/>
          <w:szCs w:val="22"/>
        </w:rPr>
        <w:t>the actuary should reflect</w:t>
      </w:r>
      <w:r w:rsidR="00223BDE" w:rsidRPr="00C34387">
        <w:rPr>
          <w:rFonts w:eastAsia="Times New Roman"/>
          <w:color w:val="FF0000"/>
          <w:sz w:val="22"/>
          <w:szCs w:val="22"/>
        </w:rPr>
        <w:t xml:space="preserve"> how the volatility of </w:t>
      </w:r>
      <w:r w:rsidRPr="00C34387">
        <w:rPr>
          <w:rFonts w:eastAsia="Times New Roman"/>
          <w:color w:val="FF0000"/>
          <w:sz w:val="22"/>
          <w:szCs w:val="22"/>
        </w:rPr>
        <w:t>in</w:t>
      </w:r>
      <w:r w:rsidRPr="00C52CD9">
        <w:rPr>
          <w:rFonts w:eastAsia="Times New Roman"/>
          <w:color w:val="FF0000"/>
          <w:sz w:val="22"/>
          <w:szCs w:val="22"/>
        </w:rPr>
        <w:t>vestment return</w:t>
      </w:r>
      <w:r w:rsidR="005B32BB" w:rsidRPr="00C34387">
        <w:rPr>
          <w:rFonts w:eastAsia="Times New Roman"/>
          <w:color w:val="FF0000"/>
          <w:sz w:val="22"/>
          <w:szCs w:val="22"/>
        </w:rPr>
        <w:t>s</w:t>
      </w:r>
      <w:r w:rsidRPr="00C52CD9">
        <w:rPr>
          <w:rFonts w:eastAsia="Times New Roman"/>
          <w:color w:val="FF0000"/>
          <w:sz w:val="22"/>
          <w:szCs w:val="22"/>
        </w:rPr>
        <w:t xml:space="preserve"> for equity-like instruments </w:t>
      </w:r>
      <w:r w:rsidR="00851A95">
        <w:rPr>
          <w:rFonts w:eastAsia="Times New Roman"/>
          <w:color w:val="FF0000"/>
          <w:sz w:val="22"/>
          <w:szCs w:val="22"/>
        </w:rPr>
        <w:t>may affect the asset adequacy results under</w:t>
      </w:r>
      <w:r w:rsidR="005618E7">
        <w:rPr>
          <w:rFonts w:eastAsia="Times New Roman"/>
          <w:color w:val="FF0000"/>
          <w:sz w:val="22"/>
          <w:szCs w:val="22"/>
        </w:rPr>
        <w:t xml:space="preserve"> moderately adverse conditions</w:t>
      </w:r>
      <w:r w:rsidR="00860AA6">
        <w:rPr>
          <w:rFonts w:eastAsia="Times New Roman"/>
          <w:color w:val="FF0000"/>
          <w:sz w:val="22"/>
          <w:szCs w:val="22"/>
        </w:rPr>
        <w:t xml:space="preserve"> and </w:t>
      </w:r>
      <w:r w:rsidRPr="00C52CD9">
        <w:rPr>
          <w:rFonts w:eastAsia="Times New Roman"/>
          <w:color w:val="FF0000"/>
          <w:sz w:val="22"/>
          <w:szCs w:val="22"/>
        </w:rPr>
        <w:t>shall not solely project the anticipated long-term average return (e.g., a single level assumption set to the long-term average).</w:t>
      </w:r>
    </w:p>
    <w:p w14:paraId="55A9B804" w14:textId="77777777" w:rsidR="002A1D7D" w:rsidRPr="00C52CD9" w:rsidRDefault="002A1D7D" w:rsidP="002A1D7D">
      <w:pPr>
        <w:pStyle w:val="ListParagraph"/>
        <w:spacing w:line="271" w:lineRule="auto"/>
        <w:ind w:left="1800"/>
        <w:jc w:val="both"/>
        <w:rPr>
          <w:rFonts w:eastAsia="Times New Roman"/>
          <w:color w:val="FF0000"/>
          <w:sz w:val="22"/>
          <w:szCs w:val="22"/>
        </w:rPr>
      </w:pPr>
    </w:p>
    <w:p w14:paraId="6B05437F" w14:textId="4ADA63D1" w:rsidR="002A1D7D" w:rsidRPr="00C52CD9" w:rsidRDefault="002A1D7D" w:rsidP="002A1D7D">
      <w:pPr>
        <w:pStyle w:val="ListParagraph"/>
        <w:widowControl w:val="0"/>
        <w:numPr>
          <w:ilvl w:val="1"/>
          <w:numId w:val="1"/>
        </w:numPr>
        <w:spacing w:line="271" w:lineRule="auto"/>
        <w:ind w:left="252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 xml:space="preserve">The following </w:t>
      </w:r>
      <w:r w:rsidR="00C82E56">
        <w:rPr>
          <w:rFonts w:eastAsia="Times New Roman"/>
          <w:color w:val="FF0000"/>
          <w:sz w:val="22"/>
          <w:szCs w:val="22"/>
        </w:rPr>
        <w:t>are examples</w:t>
      </w:r>
      <w:r w:rsidR="00F10A97">
        <w:rPr>
          <w:rFonts w:eastAsia="Times New Roman"/>
          <w:color w:val="FF0000"/>
          <w:sz w:val="22"/>
          <w:szCs w:val="22"/>
        </w:rPr>
        <w:t xml:space="preserve"> of </w:t>
      </w:r>
      <w:r w:rsidRPr="00C52CD9">
        <w:rPr>
          <w:rFonts w:eastAsia="Times New Roman"/>
          <w:color w:val="FF0000"/>
          <w:sz w:val="22"/>
          <w:szCs w:val="22"/>
        </w:rPr>
        <w:t xml:space="preserve">approaches </w:t>
      </w:r>
      <w:r w:rsidR="00F10A97">
        <w:rPr>
          <w:rFonts w:eastAsia="Times New Roman"/>
          <w:color w:val="FF0000"/>
          <w:sz w:val="22"/>
          <w:szCs w:val="22"/>
        </w:rPr>
        <w:t xml:space="preserve">that </w:t>
      </w:r>
      <w:r w:rsidRPr="00C52CD9">
        <w:rPr>
          <w:rFonts w:eastAsia="Times New Roman"/>
          <w:color w:val="FF0000"/>
          <w:sz w:val="22"/>
          <w:szCs w:val="22"/>
        </w:rPr>
        <w:t xml:space="preserve">may be </w:t>
      </w:r>
      <w:r w:rsidR="0024295A">
        <w:rPr>
          <w:rFonts w:eastAsia="Times New Roman"/>
          <w:color w:val="FF0000"/>
          <w:sz w:val="22"/>
          <w:szCs w:val="22"/>
        </w:rPr>
        <w:t xml:space="preserve">used to </w:t>
      </w:r>
      <w:r w:rsidR="00B1080E">
        <w:rPr>
          <w:rFonts w:eastAsia="Times New Roman"/>
          <w:color w:val="FF0000"/>
          <w:sz w:val="22"/>
          <w:szCs w:val="22"/>
        </w:rPr>
        <w:t>reflect the volatility of such returns</w:t>
      </w:r>
      <w:r w:rsidRPr="00C52CD9">
        <w:rPr>
          <w:rFonts w:eastAsia="Times New Roman"/>
          <w:color w:val="FF0000"/>
          <w:sz w:val="22"/>
          <w:szCs w:val="22"/>
        </w:rPr>
        <w:t>:</w:t>
      </w:r>
    </w:p>
    <w:p w14:paraId="43FB5B5E" w14:textId="77777777" w:rsidR="002A1D7D" w:rsidRPr="00C52CD9" w:rsidRDefault="002A1D7D" w:rsidP="002A1D7D">
      <w:pPr>
        <w:pStyle w:val="ListParagraph"/>
        <w:spacing w:line="271" w:lineRule="auto"/>
        <w:ind w:left="2520"/>
        <w:jc w:val="both"/>
        <w:rPr>
          <w:rFonts w:eastAsia="Times New Roman"/>
          <w:color w:val="FF0000"/>
          <w:sz w:val="22"/>
          <w:szCs w:val="22"/>
        </w:rPr>
      </w:pPr>
    </w:p>
    <w:p w14:paraId="1CED0549" w14:textId="77777777" w:rsidR="002A1D7D" w:rsidRPr="00C52CD9" w:rsidRDefault="002A1D7D" w:rsidP="002A1D7D">
      <w:pPr>
        <w:pStyle w:val="ListParagraph"/>
        <w:widowControl w:val="0"/>
        <w:numPr>
          <w:ilvl w:val="2"/>
          <w:numId w:val="1"/>
        </w:numPr>
        <w:spacing w:line="271" w:lineRule="auto"/>
        <w:ind w:left="324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Stochastic modeling for equity returns, with accompanying analysis of risk metrics.</w:t>
      </w:r>
    </w:p>
    <w:p w14:paraId="4BF076B8" w14:textId="77777777" w:rsidR="002A1D7D" w:rsidRPr="00C52CD9" w:rsidRDefault="002A1D7D" w:rsidP="002A1D7D">
      <w:pPr>
        <w:pStyle w:val="ListParagraph"/>
        <w:spacing w:line="271" w:lineRule="auto"/>
        <w:ind w:left="3240"/>
        <w:jc w:val="both"/>
        <w:rPr>
          <w:rFonts w:eastAsia="Times New Roman"/>
          <w:color w:val="FF0000"/>
          <w:sz w:val="22"/>
          <w:szCs w:val="22"/>
        </w:rPr>
      </w:pPr>
    </w:p>
    <w:p w14:paraId="63074955" w14:textId="4BD646B2" w:rsidR="002A1D7D" w:rsidRPr="00C52CD9" w:rsidRDefault="002A1D7D" w:rsidP="002A1D7D">
      <w:pPr>
        <w:pStyle w:val="ListParagraph"/>
        <w:widowControl w:val="0"/>
        <w:numPr>
          <w:ilvl w:val="2"/>
          <w:numId w:val="1"/>
        </w:numPr>
        <w:spacing w:line="271" w:lineRule="auto"/>
        <w:ind w:left="324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 xml:space="preserve">As relevant to capture the risk, including up, down, and/or volatile equity </w:t>
      </w:r>
      <w:r w:rsidRPr="00C52CD9">
        <w:rPr>
          <w:rFonts w:eastAsia="Times New Roman"/>
          <w:color w:val="FF0000"/>
          <w:sz w:val="22"/>
          <w:szCs w:val="22"/>
        </w:rPr>
        <w:lastRenderedPageBreak/>
        <w:t>return scenarios for each given set of interest rate paths.</w:t>
      </w:r>
    </w:p>
    <w:p w14:paraId="29952F93" w14:textId="77777777" w:rsidR="002A1D7D" w:rsidRPr="00C52CD9" w:rsidRDefault="002A1D7D" w:rsidP="002A1D7D">
      <w:pPr>
        <w:pStyle w:val="ListParagraph"/>
        <w:ind w:left="1800"/>
        <w:rPr>
          <w:rFonts w:eastAsia="Times New Roman"/>
          <w:color w:val="FF0000"/>
          <w:sz w:val="22"/>
          <w:szCs w:val="22"/>
        </w:rPr>
      </w:pPr>
    </w:p>
    <w:p w14:paraId="5B4EF13E" w14:textId="77777777" w:rsidR="002A1D7D" w:rsidRPr="00C52CD9" w:rsidRDefault="002A1D7D" w:rsidP="002A1D7D">
      <w:pPr>
        <w:pStyle w:val="ListParagraph"/>
        <w:widowControl w:val="0"/>
        <w:numPr>
          <w:ilvl w:val="2"/>
          <w:numId w:val="1"/>
        </w:numPr>
        <w:spacing w:line="271" w:lineRule="auto"/>
        <w:ind w:left="324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Projecting one or more market drops, taking into consideration future points at which cash-flow testing results could be vulnerable to market downturns.</w:t>
      </w:r>
    </w:p>
    <w:p w14:paraId="7E89C55D" w14:textId="77777777" w:rsidR="002A1D7D" w:rsidRPr="00C52CD9" w:rsidRDefault="002A1D7D" w:rsidP="002A1D7D">
      <w:pPr>
        <w:pStyle w:val="ListParagraph"/>
        <w:ind w:left="1800"/>
        <w:rPr>
          <w:rFonts w:eastAsia="Times New Roman"/>
          <w:color w:val="FF0000"/>
          <w:sz w:val="22"/>
          <w:szCs w:val="22"/>
        </w:rPr>
      </w:pPr>
    </w:p>
    <w:p w14:paraId="06658BEE" w14:textId="327F9D15" w:rsidR="002A1D7D" w:rsidRPr="00C52CD9" w:rsidRDefault="002A1D7D" w:rsidP="002A1D7D">
      <w:pPr>
        <w:pStyle w:val="ListParagraph"/>
        <w:widowControl w:val="0"/>
        <w:numPr>
          <w:ilvl w:val="2"/>
          <w:numId w:val="1"/>
        </w:numPr>
        <w:spacing w:line="271" w:lineRule="auto"/>
        <w:ind w:left="3240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>Reflecting a level return assumption set equal to a tail risk metric, for example, setting investment returns to the average of the worst 30% of future scenarios, i.e., CTE70.</w:t>
      </w:r>
    </w:p>
    <w:p w14:paraId="00B5E8C8" w14:textId="77777777" w:rsidR="002A1D7D" w:rsidRPr="00C52CD9" w:rsidRDefault="002A1D7D" w:rsidP="002A1D7D">
      <w:pPr>
        <w:pStyle w:val="ListParagraph"/>
        <w:ind w:left="1800"/>
        <w:rPr>
          <w:rFonts w:eastAsia="Times New Roman"/>
          <w:color w:val="FF0000"/>
          <w:sz w:val="22"/>
          <w:szCs w:val="22"/>
        </w:rPr>
      </w:pPr>
    </w:p>
    <w:p w14:paraId="5DAFE06D" w14:textId="69E70CFE" w:rsidR="002A1D7D" w:rsidRPr="00C52CD9" w:rsidRDefault="002A1D7D" w:rsidP="002A1D7D">
      <w:pPr>
        <w:pStyle w:val="ListParagraph"/>
        <w:widowControl w:val="0"/>
        <w:numPr>
          <w:ilvl w:val="1"/>
          <w:numId w:val="1"/>
        </w:numPr>
        <w:spacing w:after="200" w:line="276" w:lineRule="auto"/>
        <w:ind w:left="2520"/>
        <w:contextualSpacing/>
        <w:rPr>
          <w:rFonts w:eastAsia="Times New Roman"/>
          <w:color w:val="FF0000"/>
          <w:sz w:val="22"/>
          <w:szCs w:val="22"/>
        </w:rPr>
      </w:pPr>
      <w:r w:rsidRPr="00C52CD9">
        <w:rPr>
          <w:rFonts w:eastAsia="Times New Roman"/>
          <w:color w:val="FF0000"/>
          <w:sz w:val="22"/>
          <w:szCs w:val="22"/>
        </w:rPr>
        <w:t xml:space="preserve">A qualitative description of why the equity return scenario used in asset adequacy </w:t>
      </w:r>
      <w:r w:rsidR="00D43E21" w:rsidRPr="00C52CD9">
        <w:rPr>
          <w:rFonts w:eastAsia="Times New Roman"/>
          <w:color w:val="FF0000"/>
          <w:sz w:val="22"/>
          <w:szCs w:val="22"/>
        </w:rPr>
        <w:t>analysis</w:t>
      </w:r>
      <w:r w:rsidRPr="00C52CD9">
        <w:rPr>
          <w:rFonts w:eastAsia="Times New Roman"/>
          <w:color w:val="FF0000"/>
          <w:sz w:val="22"/>
          <w:szCs w:val="22"/>
        </w:rPr>
        <w:t xml:space="preserve"> is moderately adverse </w:t>
      </w:r>
      <w:proofErr w:type="gramStart"/>
      <w:r w:rsidRPr="00C52CD9">
        <w:rPr>
          <w:rFonts w:eastAsia="Times New Roman"/>
          <w:color w:val="FF0000"/>
          <w:sz w:val="22"/>
          <w:szCs w:val="22"/>
        </w:rPr>
        <w:t>in light of</w:t>
      </w:r>
      <w:proofErr w:type="gramEnd"/>
      <w:r w:rsidRPr="00C52CD9">
        <w:rPr>
          <w:rFonts w:eastAsia="Times New Roman"/>
          <w:color w:val="FF0000"/>
          <w:sz w:val="22"/>
          <w:szCs w:val="22"/>
        </w:rPr>
        <w:t xml:space="preserve"> the company’s</w:t>
      </w:r>
      <w:r w:rsidR="00C208A1">
        <w:rPr>
          <w:rFonts w:eastAsia="Times New Roman"/>
          <w:color w:val="FF0000"/>
          <w:sz w:val="22"/>
          <w:szCs w:val="22"/>
        </w:rPr>
        <w:t xml:space="preserve"> </w:t>
      </w:r>
      <w:r w:rsidR="00C208A1" w:rsidRPr="00C208A1">
        <w:rPr>
          <w:rFonts w:eastAsia="Times New Roman"/>
          <w:color w:val="FF0000"/>
          <w:sz w:val="22"/>
          <w:szCs w:val="22"/>
          <w:u w:val="single"/>
        </w:rPr>
        <w:t>current or reinvestment</w:t>
      </w:r>
      <w:r w:rsidRPr="00C52CD9">
        <w:rPr>
          <w:rFonts w:eastAsia="Times New Roman"/>
          <w:color w:val="FF0000"/>
          <w:sz w:val="22"/>
          <w:szCs w:val="22"/>
        </w:rPr>
        <w:t xml:space="preserve"> portfolio</w:t>
      </w:r>
      <w:r w:rsidR="00D106F1">
        <w:rPr>
          <w:rFonts w:eastAsia="Times New Roman"/>
          <w:color w:val="FF0000"/>
          <w:sz w:val="22"/>
          <w:szCs w:val="22"/>
        </w:rPr>
        <w:t xml:space="preserve"> </w:t>
      </w:r>
      <w:r w:rsidRPr="00C52CD9">
        <w:rPr>
          <w:rFonts w:eastAsia="Times New Roman"/>
          <w:color w:val="FF0000"/>
          <w:sz w:val="22"/>
          <w:szCs w:val="22"/>
        </w:rPr>
        <w:t>should be provided.</w:t>
      </w:r>
    </w:p>
    <w:p w14:paraId="3F41900A" w14:textId="0757B2A2" w:rsidR="002A1D7D" w:rsidRDefault="002A1D7D" w:rsidP="002A1D7D">
      <w:pPr>
        <w:ind w:left="1152" w:hanging="576"/>
        <w:jc w:val="both"/>
        <w:rPr>
          <w:sz w:val="22"/>
          <w:szCs w:val="22"/>
        </w:rPr>
      </w:pPr>
    </w:p>
    <w:p w14:paraId="4A6CB496" w14:textId="77777777" w:rsidR="002A1D7D" w:rsidRPr="005B233B" w:rsidRDefault="002A1D7D" w:rsidP="002A1D7D">
      <w:pPr>
        <w:ind w:left="1152" w:hanging="576"/>
        <w:jc w:val="both"/>
        <w:rPr>
          <w:sz w:val="22"/>
          <w:szCs w:val="22"/>
        </w:rPr>
      </w:pPr>
    </w:p>
    <w:p w14:paraId="513F97CA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4.</w:t>
      </w:r>
      <w:r w:rsidRPr="005B233B">
        <w:rPr>
          <w:sz w:val="22"/>
          <w:szCs w:val="22"/>
        </w:rPr>
        <w:tab/>
        <w:t xml:space="preserve">State the reason for the proposed </w:t>
      </w:r>
      <w:proofErr w:type="gramStart"/>
      <w:r w:rsidRPr="005B233B">
        <w:rPr>
          <w:sz w:val="22"/>
          <w:szCs w:val="22"/>
        </w:rPr>
        <w:t>amendment?</w:t>
      </w:r>
      <w:proofErr w:type="gramEnd"/>
      <w:r w:rsidRPr="005B233B">
        <w:rPr>
          <w:sz w:val="22"/>
          <w:szCs w:val="22"/>
        </w:rPr>
        <w:t xml:space="preserve"> (You may do this through an attachment.)</w:t>
      </w:r>
    </w:p>
    <w:p w14:paraId="0FAEF727" w14:textId="2BA3B3D5" w:rsidR="002A1D7D" w:rsidRDefault="00C208A1" w:rsidP="00C208A1">
      <w:pPr>
        <w:tabs>
          <w:tab w:val="left" w:pos="4911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4C53AE" w14:textId="4BFC5DB5" w:rsidR="002A1D7D" w:rsidRPr="00C208A1" w:rsidRDefault="00397048" w:rsidP="002A1D7D">
      <w:pPr>
        <w:spacing w:line="259" w:lineRule="auto"/>
        <w:ind w:left="720"/>
        <w:jc w:val="both"/>
        <w:rPr>
          <w:sz w:val="22"/>
          <w:szCs w:val="22"/>
        </w:rPr>
      </w:pPr>
      <w:r w:rsidRPr="00C208A1">
        <w:rPr>
          <w:sz w:val="22"/>
          <w:szCs w:val="22"/>
        </w:rPr>
        <w:t>This is a next step after what w</w:t>
      </w:r>
      <w:r w:rsidR="00C208A1" w:rsidRPr="00C208A1">
        <w:rPr>
          <w:sz w:val="22"/>
          <w:szCs w:val="22"/>
        </w:rPr>
        <w:t>a</w:t>
      </w:r>
      <w:r w:rsidR="002A1D7D" w:rsidRPr="00C208A1">
        <w:rPr>
          <w:sz w:val="22"/>
          <w:szCs w:val="22"/>
        </w:rPr>
        <w:t xml:space="preserve">s presented at the August 2023 NAIC meeting, </w:t>
      </w:r>
      <w:r w:rsidRPr="00C208A1">
        <w:rPr>
          <w:sz w:val="22"/>
          <w:szCs w:val="22"/>
        </w:rPr>
        <w:t xml:space="preserve">where </w:t>
      </w:r>
      <w:r w:rsidR="002A1D7D" w:rsidRPr="00C208A1">
        <w:rPr>
          <w:sz w:val="22"/>
          <w:szCs w:val="22"/>
        </w:rPr>
        <w:t>Actuarial Guideline 53 reviews revealed usage of flat, high, unchanging equity return assumptions for the length of 30+ year projections by many industry members.</w:t>
      </w:r>
    </w:p>
    <w:p w14:paraId="0B738583" w14:textId="77777777" w:rsidR="00DE1E59" w:rsidRDefault="00DE1E59" w:rsidP="002265BB">
      <w:pPr>
        <w:spacing w:line="259" w:lineRule="auto"/>
        <w:ind w:left="720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088"/>
        <w:gridCol w:w="1980"/>
        <w:gridCol w:w="1955"/>
        <w:gridCol w:w="3862"/>
      </w:tblGrid>
      <w:tr w:rsidR="00DC0E65" w:rsidRPr="003036F1" w14:paraId="2B93D8A4" w14:textId="77777777" w:rsidTr="002325CF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3CEEA43B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b/>
                <w:sz w:val="20"/>
                <w:szCs w:val="20"/>
              </w:rPr>
              <w:t xml:space="preserve">Dates: </w:t>
            </w:r>
            <w:r w:rsidRPr="003036F1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2A1F5216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0E9CE9FD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34C95A24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DC0E65" w:rsidRPr="003036F1" w14:paraId="238BE4E1" w14:textId="77777777" w:rsidTr="002325CF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61EAE2F1" w14:textId="250947A3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08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C208A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/23</w:t>
            </w:r>
            <w:r w:rsidR="00ED5662">
              <w:rPr>
                <w:sz w:val="20"/>
                <w:szCs w:val="20"/>
              </w:rPr>
              <w:t>, 2/1/23</w:t>
            </w:r>
          </w:p>
        </w:tc>
        <w:tc>
          <w:tcPr>
            <w:tcW w:w="1980" w:type="dxa"/>
            <w:shd w:val="clear" w:color="auto" w:fill="CCCCCC"/>
          </w:tcPr>
          <w:p w14:paraId="0B112FD0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1955" w:type="dxa"/>
            <w:shd w:val="clear" w:color="auto" w:fill="CCCCCC"/>
          </w:tcPr>
          <w:p w14:paraId="2D64067F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7159F7FF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DC0E65" w:rsidRPr="003036F1" w14:paraId="2D1A5A57" w14:textId="77777777" w:rsidTr="002325CF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48D84D4D" w14:textId="2DA220C2" w:rsidR="00DC0E65" w:rsidRPr="003036F1" w:rsidRDefault="00DC0E65" w:rsidP="002325CF">
            <w:pPr>
              <w:jc w:val="both"/>
              <w:rPr>
                <w:sz w:val="20"/>
                <w:szCs w:val="20"/>
              </w:rPr>
            </w:pPr>
            <w:r w:rsidRPr="003036F1">
              <w:rPr>
                <w:b/>
                <w:sz w:val="20"/>
                <w:szCs w:val="20"/>
              </w:rPr>
              <w:t>Notes:</w:t>
            </w:r>
            <w:r w:rsidRPr="00303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2023-12</w:t>
            </w:r>
          </w:p>
        </w:tc>
      </w:tr>
    </w:tbl>
    <w:p w14:paraId="1C928B17" w14:textId="77777777" w:rsidR="00DC0E65" w:rsidRDefault="00DC0E65"/>
    <w:sectPr w:rsidR="00DC0E65" w:rsidSect="00AB584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CAE"/>
    <w:multiLevelType w:val="hybridMultilevel"/>
    <w:tmpl w:val="941A2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16694C"/>
    <w:multiLevelType w:val="hybridMultilevel"/>
    <w:tmpl w:val="8ACC29A6"/>
    <w:lvl w:ilvl="0" w:tplc="1876C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41A00"/>
    <w:multiLevelType w:val="hybridMultilevel"/>
    <w:tmpl w:val="649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8515B"/>
    <w:multiLevelType w:val="hybridMultilevel"/>
    <w:tmpl w:val="365AA0F8"/>
    <w:lvl w:ilvl="0" w:tplc="F9340A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5643">
    <w:abstractNumId w:val="3"/>
  </w:num>
  <w:num w:numId="2" w16cid:durableId="1521969066">
    <w:abstractNumId w:val="2"/>
  </w:num>
  <w:num w:numId="3" w16cid:durableId="962156063">
    <w:abstractNumId w:val="2"/>
  </w:num>
  <w:num w:numId="4" w16cid:durableId="158204991">
    <w:abstractNumId w:val="0"/>
  </w:num>
  <w:num w:numId="5" w16cid:durableId="1089346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7D"/>
    <w:rsid w:val="000405A0"/>
    <w:rsid w:val="00174DEC"/>
    <w:rsid w:val="00223BDE"/>
    <w:rsid w:val="002265BB"/>
    <w:rsid w:val="0024295A"/>
    <w:rsid w:val="002447F4"/>
    <w:rsid w:val="002A1D7D"/>
    <w:rsid w:val="002E5538"/>
    <w:rsid w:val="00397048"/>
    <w:rsid w:val="00495E75"/>
    <w:rsid w:val="005618E7"/>
    <w:rsid w:val="005B32BB"/>
    <w:rsid w:val="006058A2"/>
    <w:rsid w:val="006A2022"/>
    <w:rsid w:val="00762487"/>
    <w:rsid w:val="00851A95"/>
    <w:rsid w:val="00860AA6"/>
    <w:rsid w:val="009C73B6"/>
    <w:rsid w:val="00A128A4"/>
    <w:rsid w:val="00A73D50"/>
    <w:rsid w:val="00AB5844"/>
    <w:rsid w:val="00B1080E"/>
    <w:rsid w:val="00B1399E"/>
    <w:rsid w:val="00C208A1"/>
    <w:rsid w:val="00C34387"/>
    <w:rsid w:val="00C52CD9"/>
    <w:rsid w:val="00C82E56"/>
    <w:rsid w:val="00CF65BC"/>
    <w:rsid w:val="00D106F1"/>
    <w:rsid w:val="00D336F7"/>
    <w:rsid w:val="00D43E21"/>
    <w:rsid w:val="00D61913"/>
    <w:rsid w:val="00D829DA"/>
    <w:rsid w:val="00DC0E65"/>
    <w:rsid w:val="00DE1E59"/>
    <w:rsid w:val="00DF0DA9"/>
    <w:rsid w:val="00E14703"/>
    <w:rsid w:val="00ED5662"/>
    <w:rsid w:val="00F1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2E00"/>
  <w15:chartTrackingRefBased/>
  <w15:docId w15:val="{BADA6345-4ABD-42AD-8D81-823699F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7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7D"/>
    <w:pPr>
      <w:ind w:left="720"/>
    </w:pPr>
  </w:style>
  <w:style w:type="paragraph" w:customStyle="1" w:styleId="Default">
    <w:name w:val="Default"/>
    <w:rsid w:val="00605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0" ma:contentTypeDescription="Create a new document." ma:contentTypeScope="" ma:versionID="a35f1f068c86e4c7ca8d418cf71f27e0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814abd61b3e7f51f7c7eff1099cc50c4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04D38-F431-4C9F-A89E-1CA4B23FE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C7952-66D0-4D08-841B-691F4C674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Frederick (COMM)</dc:creator>
  <cp:keywords/>
  <dc:description/>
  <cp:lastModifiedBy>O'Neal, Scott</cp:lastModifiedBy>
  <cp:revision>15</cp:revision>
  <dcterms:created xsi:type="dcterms:W3CDTF">2024-02-01T20:04:00Z</dcterms:created>
  <dcterms:modified xsi:type="dcterms:W3CDTF">2024-02-02T17:10:00Z</dcterms:modified>
</cp:coreProperties>
</file>