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658C" w14:textId="77777777" w:rsidR="00D83A6B" w:rsidRPr="007E39EC" w:rsidRDefault="00D83A6B" w:rsidP="00D83A6B">
      <w:pPr>
        <w:jc w:val="center"/>
        <w:rPr>
          <w:b/>
          <w:sz w:val="22"/>
          <w:szCs w:val="22"/>
        </w:rPr>
      </w:pPr>
      <w:r w:rsidRPr="007E39EC">
        <w:rPr>
          <w:b/>
          <w:sz w:val="22"/>
          <w:szCs w:val="22"/>
        </w:rPr>
        <w:t>Life Actuarial (A) Task Force/ Health Actuarial (B) Task Force</w:t>
      </w:r>
    </w:p>
    <w:p w14:paraId="23B74C61" w14:textId="77777777" w:rsidR="00D83A6B" w:rsidRPr="007E39EC" w:rsidRDefault="00D83A6B" w:rsidP="00D83A6B">
      <w:pPr>
        <w:jc w:val="center"/>
        <w:rPr>
          <w:b/>
          <w:sz w:val="22"/>
          <w:szCs w:val="22"/>
        </w:rPr>
      </w:pPr>
      <w:r w:rsidRPr="007E39EC">
        <w:rPr>
          <w:b/>
          <w:sz w:val="22"/>
          <w:szCs w:val="22"/>
        </w:rPr>
        <w:t>Amendment Proposal Form*</w:t>
      </w:r>
    </w:p>
    <w:p w14:paraId="49F9F8A3" w14:textId="77777777" w:rsidR="00D83A6B" w:rsidRPr="007E39EC" w:rsidRDefault="00D83A6B" w:rsidP="00D83A6B">
      <w:pPr>
        <w:jc w:val="both"/>
        <w:rPr>
          <w:sz w:val="22"/>
          <w:szCs w:val="22"/>
        </w:rPr>
      </w:pPr>
    </w:p>
    <w:p w14:paraId="15C45611" w14:textId="77777777" w:rsidR="00D83A6B" w:rsidRPr="007E39EC" w:rsidRDefault="00D83A6B" w:rsidP="00D83A6B">
      <w:pPr>
        <w:jc w:val="both"/>
        <w:rPr>
          <w:sz w:val="22"/>
          <w:szCs w:val="22"/>
        </w:rPr>
      </w:pPr>
      <w:r w:rsidRPr="007E39EC">
        <w:rPr>
          <w:sz w:val="22"/>
          <w:szCs w:val="22"/>
        </w:rPr>
        <w:t>1.</w:t>
      </w:r>
      <w:r w:rsidRPr="007E39EC">
        <w:rPr>
          <w:sz w:val="22"/>
          <w:szCs w:val="22"/>
        </w:rPr>
        <w:tab/>
        <w:t>Identify yourself, your affiliation, and a very brief description (title) of the issue.</w:t>
      </w:r>
    </w:p>
    <w:p w14:paraId="28267D47" w14:textId="77777777" w:rsidR="00D83A6B" w:rsidRPr="007E39EC" w:rsidRDefault="00D83A6B" w:rsidP="00D83A6B">
      <w:pPr>
        <w:jc w:val="both"/>
        <w:rPr>
          <w:sz w:val="22"/>
          <w:szCs w:val="22"/>
        </w:rPr>
      </w:pPr>
    </w:p>
    <w:p w14:paraId="67A0E1FC" w14:textId="77777777" w:rsidR="00D83A6B" w:rsidRPr="007E39EC" w:rsidRDefault="00D83A6B" w:rsidP="00D83A6B">
      <w:pPr>
        <w:jc w:val="both"/>
        <w:rPr>
          <w:b/>
          <w:sz w:val="22"/>
          <w:szCs w:val="22"/>
        </w:rPr>
      </w:pPr>
      <w:r w:rsidRPr="007E39EC">
        <w:rPr>
          <w:sz w:val="22"/>
          <w:szCs w:val="22"/>
        </w:rPr>
        <w:tab/>
      </w:r>
      <w:r w:rsidRPr="007E39EC">
        <w:rPr>
          <w:b/>
          <w:sz w:val="22"/>
          <w:szCs w:val="22"/>
        </w:rPr>
        <w:t>Identification:</w:t>
      </w:r>
    </w:p>
    <w:p w14:paraId="220A6E8B" w14:textId="2270E047" w:rsidR="00D83A6B" w:rsidRPr="007E39EC" w:rsidRDefault="00F328D8" w:rsidP="00D83A6B">
      <w:pPr>
        <w:ind w:left="720"/>
        <w:jc w:val="both"/>
        <w:rPr>
          <w:sz w:val="22"/>
          <w:szCs w:val="22"/>
        </w:rPr>
      </w:pPr>
      <w:r>
        <w:rPr>
          <w:sz w:val="22"/>
          <w:szCs w:val="22"/>
        </w:rPr>
        <w:t>ACLI and provisionally</w:t>
      </w:r>
      <w:r w:rsidR="00463DA6">
        <w:rPr>
          <w:rStyle w:val="FootnoteReference"/>
          <w:sz w:val="22"/>
          <w:szCs w:val="22"/>
        </w:rPr>
        <w:footnoteReference w:id="1"/>
      </w:r>
      <w:r>
        <w:rPr>
          <w:sz w:val="22"/>
          <w:szCs w:val="22"/>
        </w:rPr>
        <w:t xml:space="preserve"> </w:t>
      </w:r>
      <w:r w:rsidR="00086496" w:rsidRPr="007E39EC">
        <w:rPr>
          <w:sz w:val="22"/>
          <w:szCs w:val="22"/>
        </w:rPr>
        <w:t>Rachel Hemphill</w:t>
      </w:r>
      <w:r w:rsidR="00D83A6B" w:rsidRPr="007E39EC">
        <w:rPr>
          <w:sz w:val="22"/>
          <w:szCs w:val="22"/>
        </w:rPr>
        <w:t>, Texas Department of Insurance</w:t>
      </w:r>
    </w:p>
    <w:p w14:paraId="053F96DA" w14:textId="77777777" w:rsidR="00D83A6B" w:rsidRPr="007E39EC" w:rsidRDefault="00D83A6B" w:rsidP="00D83A6B">
      <w:pPr>
        <w:jc w:val="both"/>
        <w:rPr>
          <w:sz w:val="22"/>
          <w:szCs w:val="22"/>
        </w:rPr>
      </w:pPr>
      <w:r w:rsidRPr="007E39EC">
        <w:rPr>
          <w:sz w:val="22"/>
          <w:szCs w:val="22"/>
        </w:rPr>
        <w:tab/>
      </w:r>
    </w:p>
    <w:p w14:paraId="738AE031" w14:textId="77777777" w:rsidR="00D83A6B" w:rsidRPr="007E39EC" w:rsidRDefault="00D83A6B" w:rsidP="00D83A6B">
      <w:pPr>
        <w:jc w:val="both"/>
        <w:rPr>
          <w:b/>
          <w:sz w:val="22"/>
          <w:szCs w:val="22"/>
        </w:rPr>
      </w:pPr>
      <w:r w:rsidRPr="007E39EC">
        <w:rPr>
          <w:sz w:val="22"/>
          <w:szCs w:val="22"/>
        </w:rPr>
        <w:tab/>
      </w:r>
      <w:r w:rsidRPr="007E39EC">
        <w:rPr>
          <w:b/>
          <w:sz w:val="22"/>
          <w:szCs w:val="22"/>
        </w:rPr>
        <w:t>Title of the Issue:</w:t>
      </w:r>
    </w:p>
    <w:p w14:paraId="31C79E14" w14:textId="76A129D8" w:rsidR="00D83A6B" w:rsidRPr="007E39EC" w:rsidRDefault="00812799" w:rsidP="00D83A6B">
      <w:pPr>
        <w:ind w:left="720"/>
        <w:jc w:val="both"/>
        <w:rPr>
          <w:sz w:val="22"/>
          <w:szCs w:val="22"/>
        </w:rPr>
      </w:pPr>
      <w:r w:rsidRPr="007E39EC">
        <w:rPr>
          <w:sz w:val="22"/>
          <w:szCs w:val="22"/>
        </w:rPr>
        <w:t>Minimum reserve requirements for deposit-type contracts</w:t>
      </w:r>
      <w:r w:rsidR="67A5AEA4" w:rsidRPr="007E39EC">
        <w:rPr>
          <w:sz w:val="22"/>
          <w:szCs w:val="22"/>
        </w:rPr>
        <w:t xml:space="preserve"> with pre-defined cash flows and no optionality that are not in scope of VM-22</w:t>
      </w:r>
      <w:r w:rsidR="00D83A6B" w:rsidRPr="007E39EC">
        <w:rPr>
          <w:sz w:val="22"/>
          <w:szCs w:val="22"/>
        </w:rPr>
        <w:t xml:space="preserve">.  </w:t>
      </w:r>
    </w:p>
    <w:p w14:paraId="52083CDB" w14:textId="77777777" w:rsidR="00D83A6B" w:rsidRPr="007E39EC" w:rsidRDefault="00D83A6B" w:rsidP="00D83A6B">
      <w:pPr>
        <w:jc w:val="both"/>
        <w:rPr>
          <w:sz w:val="22"/>
          <w:szCs w:val="22"/>
        </w:rPr>
      </w:pPr>
    </w:p>
    <w:p w14:paraId="2113845D" w14:textId="77777777" w:rsidR="00D83A6B" w:rsidRPr="007E39EC" w:rsidRDefault="00D83A6B" w:rsidP="00D83A6B">
      <w:pPr>
        <w:ind w:left="720" w:hanging="720"/>
        <w:jc w:val="both"/>
        <w:rPr>
          <w:sz w:val="22"/>
          <w:szCs w:val="22"/>
        </w:rPr>
      </w:pPr>
      <w:r w:rsidRPr="007E39EC">
        <w:rPr>
          <w:sz w:val="22"/>
          <w:szCs w:val="22"/>
        </w:rPr>
        <w:t>2.</w:t>
      </w:r>
      <w:r w:rsidRPr="007E39EC">
        <w:rPr>
          <w:sz w:val="22"/>
          <w:szCs w:val="22"/>
        </w:rPr>
        <w:tab/>
        <w:t>Identify the document, including the date if the document is “released for comment,” and the location in the document where the amendment is proposed:</w:t>
      </w:r>
    </w:p>
    <w:p w14:paraId="04C99F5B" w14:textId="77777777" w:rsidR="00D83A6B" w:rsidRPr="007E39EC" w:rsidRDefault="00D83A6B" w:rsidP="00D83A6B">
      <w:pPr>
        <w:ind w:left="720" w:hanging="720"/>
        <w:jc w:val="both"/>
        <w:rPr>
          <w:sz w:val="22"/>
          <w:szCs w:val="22"/>
        </w:rPr>
      </w:pPr>
    </w:p>
    <w:p w14:paraId="5D103FA9" w14:textId="3E2BE79E" w:rsidR="00D833CF" w:rsidRPr="007E39EC" w:rsidRDefault="007E39EC" w:rsidP="761381FB">
      <w:pPr>
        <w:spacing w:line="264" w:lineRule="auto"/>
        <w:ind w:left="360" w:firstLine="360"/>
        <w:contextualSpacing/>
        <w:jc w:val="both"/>
        <w:rPr>
          <w:rFonts w:eastAsiaTheme="minorEastAsia"/>
          <w:sz w:val="22"/>
          <w:szCs w:val="22"/>
        </w:rPr>
      </w:pPr>
      <w:r w:rsidRPr="007E39EC">
        <w:rPr>
          <w:sz w:val="22"/>
          <w:szCs w:val="22"/>
        </w:rPr>
        <w:t>January 1, 2024</w:t>
      </w:r>
      <w:r>
        <w:rPr>
          <w:sz w:val="22"/>
          <w:szCs w:val="22"/>
        </w:rPr>
        <w:t>,</w:t>
      </w:r>
      <w:r w:rsidRPr="007E39EC">
        <w:rPr>
          <w:sz w:val="22"/>
          <w:szCs w:val="22"/>
        </w:rPr>
        <w:t xml:space="preserve"> NAIC </w:t>
      </w:r>
      <w:r w:rsidR="300562CD" w:rsidRPr="007E39EC">
        <w:rPr>
          <w:sz w:val="22"/>
          <w:szCs w:val="22"/>
        </w:rPr>
        <w:t xml:space="preserve">Valuation Manual, II. Reserve Requirements, </w:t>
      </w:r>
      <w:r w:rsidR="00D833CF" w:rsidRPr="007E39EC">
        <w:rPr>
          <w:sz w:val="22"/>
          <w:szCs w:val="22"/>
        </w:rPr>
        <w:t xml:space="preserve">Subsection 3: Deposit-Type Contracts </w:t>
      </w:r>
    </w:p>
    <w:p w14:paraId="427F9D40" w14:textId="77777777" w:rsidR="00D83A6B" w:rsidRPr="007E39EC" w:rsidRDefault="00D83A6B" w:rsidP="00D83A6B">
      <w:pPr>
        <w:jc w:val="both"/>
        <w:rPr>
          <w:sz w:val="22"/>
          <w:szCs w:val="22"/>
        </w:rPr>
      </w:pPr>
    </w:p>
    <w:p w14:paraId="34C06BEE" w14:textId="77777777" w:rsidR="00D83A6B" w:rsidRPr="007E39EC" w:rsidRDefault="00D83A6B" w:rsidP="00D83A6B">
      <w:pPr>
        <w:ind w:left="720" w:hanging="720"/>
        <w:jc w:val="both"/>
        <w:rPr>
          <w:sz w:val="22"/>
          <w:szCs w:val="22"/>
        </w:rPr>
      </w:pPr>
      <w:r w:rsidRPr="007E39EC">
        <w:rPr>
          <w:sz w:val="22"/>
          <w:szCs w:val="22"/>
        </w:rPr>
        <w:t>3.</w:t>
      </w:r>
      <w:r w:rsidRPr="007E39EC">
        <w:rPr>
          <w:sz w:val="22"/>
          <w:szCs w:val="22"/>
        </w:rPr>
        <w:tab/>
        <w:t>Show what changes are needed by providing a red-line version of the original verbiage with deletions and identify the verbiage to be deleted, inserted, or changed by providing a red-line (turn on “track changes” in Word®) version of the verbiage. (You may do this through an attachment.)</w:t>
      </w:r>
    </w:p>
    <w:p w14:paraId="54F94E78" w14:textId="77777777" w:rsidR="00D83A6B" w:rsidRPr="007E39EC" w:rsidRDefault="00D83A6B" w:rsidP="00D83A6B">
      <w:pPr>
        <w:widowControl w:val="0"/>
        <w:spacing w:line="271" w:lineRule="auto"/>
        <w:contextualSpacing/>
        <w:jc w:val="both"/>
        <w:rPr>
          <w:sz w:val="22"/>
          <w:szCs w:val="22"/>
        </w:rPr>
      </w:pPr>
    </w:p>
    <w:p w14:paraId="58DB8CD6" w14:textId="42AC87BF" w:rsidR="00CA00A6" w:rsidRPr="007E39EC" w:rsidRDefault="4769D145" w:rsidP="761381FB">
      <w:pPr>
        <w:spacing w:line="264" w:lineRule="auto"/>
        <w:ind w:left="360" w:firstLine="360"/>
        <w:contextualSpacing/>
        <w:jc w:val="both"/>
        <w:rPr>
          <w:rFonts w:eastAsiaTheme="minorEastAsia"/>
          <w:b/>
          <w:bCs/>
          <w:sz w:val="22"/>
          <w:szCs w:val="22"/>
        </w:rPr>
      </w:pPr>
      <w:r w:rsidRPr="007E39EC">
        <w:rPr>
          <w:b/>
          <w:bCs/>
          <w:sz w:val="22"/>
          <w:szCs w:val="22"/>
        </w:rPr>
        <w:t xml:space="preserve">Subsection 3: Deposit-Type Contracts </w:t>
      </w:r>
    </w:p>
    <w:p w14:paraId="27218CA8" w14:textId="77777777" w:rsidR="00CA00A6" w:rsidRDefault="4769D145" w:rsidP="007E39EC">
      <w:pPr>
        <w:pStyle w:val="ListParagraph"/>
        <w:numPr>
          <w:ilvl w:val="0"/>
          <w:numId w:val="2"/>
        </w:numPr>
        <w:spacing w:line="264" w:lineRule="auto"/>
        <w:ind w:left="1080"/>
        <w:contextualSpacing/>
        <w:jc w:val="both"/>
        <w:rPr>
          <w:rFonts w:eastAsia="Times New Roman"/>
          <w:sz w:val="22"/>
          <w:szCs w:val="22"/>
        </w:rPr>
      </w:pPr>
      <w:r w:rsidRPr="007E39EC">
        <w:rPr>
          <w:sz w:val="22"/>
          <w:szCs w:val="22"/>
        </w:rPr>
        <w:t>This subsection establishes reserve requirements for all contracts classified as deposit-type contracts defined in SSAP No. 50 in the AP&amp;P</w:t>
      </w:r>
      <w:r w:rsidRPr="007E39EC">
        <w:rPr>
          <w:rFonts w:eastAsia="Times New Roman"/>
          <w:sz w:val="22"/>
          <w:szCs w:val="22"/>
        </w:rPr>
        <w:t xml:space="preserve"> Manual. </w:t>
      </w:r>
    </w:p>
    <w:p w14:paraId="70925A3C" w14:textId="6CD0416A" w:rsidR="0018549D" w:rsidRDefault="4769D145" w:rsidP="00CA1E95">
      <w:pPr>
        <w:pStyle w:val="ListParagraph"/>
        <w:numPr>
          <w:ilvl w:val="0"/>
          <w:numId w:val="2"/>
        </w:numPr>
        <w:spacing w:line="264" w:lineRule="auto"/>
        <w:ind w:left="1080"/>
        <w:contextualSpacing/>
        <w:jc w:val="both"/>
        <w:rPr>
          <w:color w:val="FF0000"/>
          <w:sz w:val="22"/>
          <w:szCs w:val="22"/>
        </w:rPr>
      </w:pPr>
      <w:r w:rsidRPr="007701CF">
        <w:rPr>
          <w:rFonts w:eastAsia="Times New Roman"/>
          <w:sz w:val="22"/>
          <w:szCs w:val="22"/>
        </w:rPr>
        <w:t>Minimum reserve requirements for deposit-type contracts are those requirements as found in VM-A, VM-C and VM-22, as applicable.</w:t>
      </w:r>
      <w:r w:rsidR="00CA1E95">
        <w:rPr>
          <w:rFonts w:eastAsia="Times New Roman"/>
          <w:sz w:val="22"/>
          <w:szCs w:val="22"/>
        </w:rPr>
        <w:t xml:space="preserve">  </w:t>
      </w:r>
      <w:r w:rsidR="0018549D" w:rsidRPr="007701CF">
        <w:rPr>
          <w:color w:val="FF0000"/>
          <w:sz w:val="22"/>
          <w:szCs w:val="22"/>
        </w:rPr>
        <w:t>With prior approval of the domiciliary commissioner, a company may determine statutory maximum</w:t>
      </w:r>
      <w:r w:rsidR="00B86D9D">
        <w:rPr>
          <w:color w:val="FF0000"/>
          <w:sz w:val="22"/>
          <w:szCs w:val="22"/>
        </w:rPr>
        <w:t xml:space="preserve"> </w:t>
      </w:r>
      <w:r w:rsidR="0018549D" w:rsidRPr="007701CF">
        <w:rPr>
          <w:color w:val="FF0000"/>
          <w:sz w:val="22"/>
          <w:szCs w:val="22"/>
        </w:rPr>
        <w:t>valuation interest rates for funding agreements based on daily rather than annual rates, using a weighting factor of 1, and without rounding.</w:t>
      </w:r>
      <w:r w:rsidR="003B78CA">
        <w:rPr>
          <w:color w:val="FF0000"/>
          <w:sz w:val="22"/>
          <w:szCs w:val="22"/>
        </w:rPr>
        <w:t xml:space="preserve"> </w:t>
      </w:r>
      <w:r w:rsidR="003B78CA" w:rsidRPr="003B78CA">
        <w:rPr>
          <w:color w:val="FF0000"/>
          <w:sz w:val="22"/>
          <w:szCs w:val="22"/>
        </w:rPr>
        <w:t>That is, with domiciliary commissioner approval, the company may use the daily Moody’s composite yield on seasoned corporate bonds (MOODCAVG) from the day prior to the funding agreement issuance as the statutory maximum valuation interest rate.</w:t>
      </w:r>
    </w:p>
    <w:p w14:paraId="47D1CF90" w14:textId="77777777" w:rsidR="00A054F0" w:rsidRPr="007701CF" w:rsidRDefault="00A054F0" w:rsidP="00A054F0">
      <w:pPr>
        <w:pStyle w:val="ListParagraph"/>
        <w:spacing w:line="264" w:lineRule="auto"/>
        <w:ind w:left="1080"/>
        <w:contextualSpacing/>
        <w:jc w:val="both"/>
        <w:rPr>
          <w:color w:val="FF0000"/>
          <w:sz w:val="22"/>
          <w:szCs w:val="22"/>
        </w:rPr>
      </w:pPr>
    </w:p>
    <w:p w14:paraId="7CD65DE9" w14:textId="5CADE86F" w:rsidR="00D83A6B" w:rsidRDefault="000B2AB3" w:rsidP="00D83A6B">
      <w:pPr>
        <w:jc w:val="both"/>
        <w:rPr>
          <w:sz w:val="22"/>
          <w:szCs w:val="22"/>
        </w:rPr>
      </w:pPr>
      <w:r>
        <w:rPr>
          <w:sz w:val="22"/>
          <w:szCs w:val="22"/>
        </w:rPr>
        <w:t>4.</w:t>
      </w:r>
      <w:r w:rsidR="00D83A6B" w:rsidRPr="007E39EC">
        <w:rPr>
          <w:sz w:val="22"/>
          <w:szCs w:val="22"/>
        </w:rPr>
        <w:tab/>
        <w:t>State the reason for the proposed amendment</w:t>
      </w:r>
      <w:r w:rsidR="00BD5A2D" w:rsidRPr="007E39EC">
        <w:rPr>
          <w:sz w:val="22"/>
          <w:szCs w:val="22"/>
        </w:rPr>
        <w:t>.</w:t>
      </w:r>
      <w:r w:rsidR="00D83A6B" w:rsidRPr="007E39EC">
        <w:rPr>
          <w:sz w:val="22"/>
          <w:szCs w:val="22"/>
        </w:rPr>
        <w:t xml:space="preserve"> (You may do this through an attachment.)</w:t>
      </w:r>
    </w:p>
    <w:p w14:paraId="5D3B240C" w14:textId="77777777" w:rsidR="007E39EC" w:rsidRPr="007E39EC" w:rsidRDefault="007E39EC" w:rsidP="00D83A6B">
      <w:pPr>
        <w:jc w:val="both"/>
        <w:rPr>
          <w:sz w:val="22"/>
          <w:szCs w:val="22"/>
        </w:rPr>
      </w:pPr>
    </w:p>
    <w:p w14:paraId="2AA97BE1" w14:textId="77777777" w:rsidR="0099442E" w:rsidRPr="007E39EC" w:rsidRDefault="0099442E" w:rsidP="0099442E">
      <w:pPr>
        <w:ind w:left="720"/>
        <w:jc w:val="both"/>
        <w:rPr>
          <w:sz w:val="22"/>
          <w:szCs w:val="22"/>
        </w:rPr>
      </w:pPr>
      <w:r w:rsidRPr="007E39EC">
        <w:rPr>
          <w:b/>
          <w:bCs/>
          <w:sz w:val="22"/>
          <w:szCs w:val="22"/>
        </w:rPr>
        <w:t>Proposal</w:t>
      </w:r>
    </w:p>
    <w:p w14:paraId="49F8EDA0" w14:textId="08C79B5B" w:rsidR="00FF127F" w:rsidRPr="007E39EC" w:rsidRDefault="00FF127F" w:rsidP="007E39EC">
      <w:pPr>
        <w:numPr>
          <w:ilvl w:val="0"/>
          <w:numId w:val="5"/>
        </w:numPr>
        <w:tabs>
          <w:tab w:val="clear" w:pos="1080"/>
          <w:tab w:val="num" w:pos="1620"/>
        </w:tabs>
        <w:rPr>
          <w:sz w:val="22"/>
          <w:szCs w:val="22"/>
        </w:rPr>
      </w:pPr>
      <w:r w:rsidRPr="007E39EC">
        <w:rPr>
          <w:sz w:val="22"/>
          <w:szCs w:val="22"/>
        </w:rPr>
        <w:t>Utilize daily rate directly as the valuation rate</w:t>
      </w:r>
      <w:r w:rsidR="007E39EC">
        <w:rPr>
          <w:sz w:val="22"/>
          <w:szCs w:val="22"/>
        </w:rPr>
        <w:t>:</w:t>
      </w:r>
      <w:r w:rsidRPr="007E39EC">
        <w:rPr>
          <w:sz w:val="22"/>
          <w:szCs w:val="22"/>
        </w:rPr>
        <w:br/>
        <w:t xml:space="preserve">Val Rate = Daily Moody’s composite yield on seasoned corporate bonds (MOODCAVG) from the day prior to the </w:t>
      </w:r>
      <w:r w:rsidR="007C3BFD">
        <w:rPr>
          <w:sz w:val="22"/>
          <w:szCs w:val="22"/>
        </w:rPr>
        <w:t>funding agreement</w:t>
      </w:r>
      <w:r w:rsidRPr="007E39EC">
        <w:rPr>
          <w:sz w:val="22"/>
          <w:szCs w:val="22"/>
        </w:rPr>
        <w:t xml:space="preserve"> issuance</w:t>
      </w:r>
    </w:p>
    <w:p w14:paraId="324CEC3D" w14:textId="4950E3C5" w:rsidR="00101753" w:rsidRPr="007E39EC" w:rsidRDefault="00101753" w:rsidP="007E39EC">
      <w:pPr>
        <w:ind w:left="720"/>
        <w:rPr>
          <w:sz w:val="22"/>
          <w:szCs w:val="22"/>
        </w:rPr>
      </w:pPr>
      <w:r w:rsidRPr="007E39EC">
        <w:rPr>
          <w:b/>
          <w:bCs/>
          <w:sz w:val="22"/>
          <w:szCs w:val="22"/>
        </w:rPr>
        <w:t>Rationale</w:t>
      </w:r>
    </w:p>
    <w:p w14:paraId="4C0F9CA0" w14:textId="2FBA8F37" w:rsidR="00101753" w:rsidRPr="007E39EC" w:rsidRDefault="00101753" w:rsidP="007E39EC">
      <w:pPr>
        <w:numPr>
          <w:ilvl w:val="0"/>
          <w:numId w:val="7"/>
        </w:numPr>
        <w:tabs>
          <w:tab w:val="clear" w:pos="720"/>
          <w:tab w:val="left" w:pos="1080"/>
          <w:tab w:val="num" w:pos="1170"/>
        </w:tabs>
        <w:ind w:left="1080"/>
        <w:jc w:val="both"/>
        <w:rPr>
          <w:sz w:val="22"/>
          <w:szCs w:val="22"/>
        </w:rPr>
      </w:pPr>
      <w:r w:rsidRPr="007E39EC">
        <w:rPr>
          <w:sz w:val="22"/>
          <w:szCs w:val="22"/>
        </w:rPr>
        <w:t>The MOODCAVG on the day prior to issue better aligns with the yield on available assets and the interest rate environment at issue</w:t>
      </w:r>
      <w:r w:rsidR="71C1C681" w:rsidRPr="007E39EC">
        <w:rPr>
          <w:sz w:val="22"/>
          <w:szCs w:val="22"/>
        </w:rPr>
        <w:t xml:space="preserve"> than the current </w:t>
      </w:r>
      <w:r w:rsidR="0901BE98" w:rsidRPr="007E39EC">
        <w:rPr>
          <w:sz w:val="22"/>
          <w:szCs w:val="22"/>
        </w:rPr>
        <w:t xml:space="preserve">valuation </w:t>
      </w:r>
      <w:r w:rsidR="71C1C681" w:rsidRPr="007E39EC">
        <w:rPr>
          <w:sz w:val="22"/>
          <w:szCs w:val="22"/>
        </w:rPr>
        <w:t xml:space="preserve">rate, which utilizes </w:t>
      </w:r>
      <w:r w:rsidR="2F59992A" w:rsidRPr="007E39EC">
        <w:rPr>
          <w:sz w:val="22"/>
          <w:szCs w:val="22"/>
        </w:rPr>
        <w:t>as the Ref</w:t>
      </w:r>
      <w:r w:rsidR="29139EB3" w:rsidRPr="007E39EC">
        <w:rPr>
          <w:sz w:val="22"/>
          <w:szCs w:val="22"/>
        </w:rPr>
        <w:t>e</w:t>
      </w:r>
      <w:r w:rsidR="2F59992A" w:rsidRPr="007E39EC">
        <w:rPr>
          <w:sz w:val="22"/>
          <w:szCs w:val="22"/>
        </w:rPr>
        <w:t xml:space="preserve">rence Rate </w:t>
      </w:r>
      <w:r w:rsidR="71C1C681" w:rsidRPr="007E39EC">
        <w:rPr>
          <w:sz w:val="22"/>
          <w:szCs w:val="22"/>
        </w:rPr>
        <w:t>a twelve-month rolling average of the MOODCAVG ending on June 30 of the calendar year of issue</w:t>
      </w:r>
      <w:r w:rsidRPr="007E39EC">
        <w:rPr>
          <w:sz w:val="22"/>
          <w:szCs w:val="22"/>
        </w:rPr>
        <w:t xml:space="preserve">. </w:t>
      </w:r>
    </w:p>
    <w:p w14:paraId="5FC4AFB2" w14:textId="6C9FB185" w:rsidR="6966E6F1" w:rsidRPr="007E39EC" w:rsidRDefault="6966E6F1" w:rsidP="007E39EC">
      <w:pPr>
        <w:numPr>
          <w:ilvl w:val="0"/>
          <w:numId w:val="7"/>
        </w:numPr>
        <w:tabs>
          <w:tab w:val="clear" w:pos="720"/>
          <w:tab w:val="left" w:pos="1080"/>
          <w:tab w:val="num" w:pos="1170"/>
        </w:tabs>
        <w:ind w:left="1080"/>
        <w:jc w:val="both"/>
        <w:rPr>
          <w:rFonts w:eastAsia="Times New Roman"/>
          <w:color w:val="000000" w:themeColor="text1"/>
          <w:sz w:val="22"/>
          <w:szCs w:val="22"/>
        </w:rPr>
      </w:pPr>
      <w:r w:rsidRPr="4AEE8E01">
        <w:rPr>
          <w:rFonts w:eastAsia="Times New Roman"/>
          <w:color w:val="000000" w:themeColor="text1"/>
          <w:sz w:val="22"/>
          <w:szCs w:val="22"/>
        </w:rPr>
        <w:t>Funding agreements are typically issued in a large size on a single day.</w:t>
      </w:r>
      <w:r>
        <w:tab/>
      </w:r>
      <w:r>
        <w:tab/>
      </w:r>
    </w:p>
    <w:p w14:paraId="737F9401" w14:textId="18089B1C" w:rsidR="6966E6F1" w:rsidRPr="007E39EC" w:rsidRDefault="6966E6F1" w:rsidP="007E39EC">
      <w:pPr>
        <w:pStyle w:val="ListParagraph"/>
        <w:numPr>
          <w:ilvl w:val="0"/>
          <w:numId w:val="7"/>
        </w:numPr>
        <w:tabs>
          <w:tab w:val="clear" w:pos="720"/>
          <w:tab w:val="left" w:pos="1080"/>
          <w:tab w:val="num" w:pos="1170"/>
        </w:tabs>
        <w:ind w:left="1080" w:right="-20"/>
        <w:rPr>
          <w:rFonts w:eastAsia="Times New Roman"/>
          <w:color w:val="000000" w:themeColor="text1"/>
          <w:sz w:val="22"/>
          <w:szCs w:val="22"/>
        </w:rPr>
      </w:pPr>
      <w:r w:rsidRPr="4AEE8E01">
        <w:rPr>
          <w:rFonts w:eastAsia="Times New Roman"/>
          <w:color w:val="000000" w:themeColor="text1"/>
          <w:sz w:val="22"/>
          <w:szCs w:val="22"/>
        </w:rPr>
        <w:t>Statutory reserve valuation rate is not known for the first half of the year.</w:t>
      </w:r>
      <w:r>
        <w:tab/>
      </w:r>
      <w:r>
        <w:tab/>
      </w:r>
    </w:p>
    <w:p w14:paraId="3407CAB1" w14:textId="72C9AF22" w:rsidR="6966E6F1" w:rsidRPr="007E39EC" w:rsidRDefault="6966E6F1" w:rsidP="007E39EC">
      <w:pPr>
        <w:pStyle w:val="ListParagraph"/>
        <w:numPr>
          <w:ilvl w:val="0"/>
          <w:numId w:val="7"/>
        </w:numPr>
        <w:tabs>
          <w:tab w:val="clear" w:pos="720"/>
          <w:tab w:val="left" w:pos="1080"/>
          <w:tab w:val="num" w:pos="1170"/>
        </w:tabs>
        <w:ind w:left="1080" w:right="-20"/>
        <w:rPr>
          <w:rFonts w:eastAsia="Times New Roman"/>
          <w:color w:val="000000" w:themeColor="text1"/>
          <w:sz w:val="22"/>
          <w:szCs w:val="22"/>
        </w:rPr>
      </w:pPr>
      <w:r w:rsidRPr="007E39EC">
        <w:rPr>
          <w:rFonts w:eastAsia="Times New Roman"/>
          <w:color w:val="000000" w:themeColor="text1"/>
          <w:sz w:val="22"/>
          <w:szCs w:val="22"/>
        </w:rPr>
        <w:t xml:space="preserve">Does not result in appropriate valuation rates when there </w:t>
      </w:r>
      <w:r w:rsidR="5AE7AB1C" w:rsidRPr="007E39EC">
        <w:rPr>
          <w:rFonts w:eastAsia="Times New Roman"/>
          <w:color w:val="000000" w:themeColor="text1"/>
          <w:sz w:val="22"/>
          <w:szCs w:val="22"/>
        </w:rPr>
        <w:t>is</w:t>
      </w:r>
      <w:r w:rsidRPr="007E39EC">
        <w:rPr>
          <w:rFonts w:eastAsia="Times New Roman"/>
          <w:color w:val="000000" w:themeColor="text1"/>
          <w:sz w:val="22"/>
          <w:szCs w:val="22"/>
        </w:rPr>
        <w:t xml:space="preserve"> significant movement in interest rates. </w:t>
      </w:r>
    </w:p>
    <w:p w14:paraId="25602226" w14:textId="456A35C0" w:rsidR="6966E6F1" w:rsidRPr="007E39EC" w:rsidRDefault="6966E6F1" w:rsidP="007E39EC">
      <w:pPr>
        <w:pStyle w:val="ListParagraph"/>
        <w:numPr>
          <w:ilvl w:val="0"/>
          <w:numId w:val="7"/>
        </w:numPr>
        <w:tabs>
          <w:tab w:val="clear" w:pos="720"/>
          <w:tab w:val="left" w:pos="1080"/>
          <w:tab w:val="num" w:pos="1170"/>
        </w:tabs>
        <w:ind w:left="1080"/>
        <w:jc w:val="both"/>
        <w:rPr>
          <w:rFonts w:eastAsia="Times New Roman"/>
          <w:sz w:val="22"/>
          <w:szCs w:val="22"/>
        </w:rPr>
      </w:pPr>
      <w:r w:rsidRPr="007E39EC">
        <w:rPr>
          <w:rFonts w:eastAsia="Times New Roman"/>
          <w:color w:val="000000" w:themeColor="text1"/>
          <w:sz w:val="22"/>
          <w:szCs w:val="22"/>
        </w:rPr>
        <w:t xml:space="preserve">Insurance companies can find it challenging to generate sufficient returns on new </w:t>
      </w:r>
      <w:r w:rsidR="007C3BFD">
        <w:rPr>
          <w:rFonts w:eastAsia="Times New Roman"/>
          <w:color w:val="000000" w:themeColor="text1"/>
          <w:sz w:val="22"/>
          <w:szCs w:val="22"/>
        </w:rPr>
        <w:t>funding agreements</w:t>
      </w:r>
      <w:r w:rsidR="007C3BFD" w:rsidRPr="007E39EC">
        <w:rPr>
          <w:rFonts w:eastAsia="Times New Roman"/>
          <w:color w:val="000000" w:themeColor="text1"/>
          <w:sz w:val="22"/>
          <w:szCs w:val="22"/>
        </w:rPr>
        <w:t xml:space="preserve"> </w:t>
      </w:r>
      <w:r w:rsidRPr="007E39EC">
        <w:rPr>
          <w:rFonts w:eastAsia="Times New Roman"/>
          <w:color w:val="000000" w:themeColor="text1"/>
          <w:sz w:val="22"/>
          <w:szCs w:val="22"/>
        </w:rPr>
        <w:t>in the current market to cover the higher regulatory reserve requirements.</w:t>
      </w:r>
    </w:p>
    <w:p w14:paraId="0B856239" w14:textId="45F7978C" w:rsidR="00B7616B" w:rsidRPr="007E39EC" w:rsidRDefault="00B7616B" w:rsidP="761381FB">
      <w:pPr>
        <w:ind w:left="720"/>
        <w:rPr>
          <w:rFonts w:eastAsiaTheme="minorEastAsia"/>
          <w:b/>
          <w:bCs/>
          <w:sz w:val="22"/>
          <w:szCs w:val="22"/>
        </w:rPr>
      </w:pPr>
      <w:r w:rsidRPr="007E39EC">
        <w:rPr>
          <w:b/>
          <w:bCs/>
          <w:sz w:val="22"/>
          <w:szCs w:val="22"/>
        </w:rPr>
        <w:t xml:space="preserve">Basis for </w:t>
      </w:r>
      <w:r w:rsidR="007C3BFD">
        <w:rPr>
          <w:b/>
          <w:bCs/>
          <w:sz w:val="22"/>
          <w:szCs w:val="22"/>
        </w:rPr>
        <w:t>Using a Weighting Factor of 1</w:t>
      </w:r>
    </w:p>
    <w:p w14:paraId="1715C993" w14:textId="510199DF" w:rsidR="00B7616B" w:rsidRPr="007E39EC" w:rsidRDefault="007C3BFD" w:rsidP="007E39EC">
      <w:pPr>
        <w:pStyle w:val="ListParagraph"/>
        <w:numPr>
          <w:ilvl w:val="0"/>
          <w:numId w:val="1"/>
        </w:numPr>
        <w:ind w:left="1080"/>
        <w:rPr>
          <w:rFonts w:eastAsia="Times New Roman"/>
          <w:sz w:val="22"/>
          <w:szCs w:val="22"/>
        </w:rPr>
      </w:pPr>
      <w:r>
        <w:rPr>
          <w:rFonts w:eastAsia="Times New Roman"/>
          <w:sz w:val="22"/>
          <w:szCs w:val="22"/>
        </w:rPr>
        <w:lastRenderedPageBreak/>
        <w:t>Funding agreements are</w:t>
      </w:r>
      <w:r w:rsidR="00B7616B" w:rsidRPr="007E39EC">
        <w:rPr>
          <w:rFonts w:eastAsia="Times New Roman"/>
          <w:sz w:val="22"/>
          <w:szCs w:val="22"/>
        </w:rPr>
        <w:t xml:space="preserve"> less risky than annuities </w:t>
      </w:r>
      <w:r>
        <w:rPr>
          <w:rFonts w:eastAsia="Times New Roman"/>
          <w:sz w:val="22"/>
          <w:szCs w:val="22"/>
        </w:rPr>
        <w:t>because</w:t>
      </w:r>
      <w:r w:rsidRPr="007E39EC">
        <w:rPr>
          <w:rFonts w:eastAsia="Times New Roman"/>
          <w:sz w:val="22"/>
          <w:szCs w:val="22"/>
        </w:rPr>
        <w:t xml:space="preserve"> </w:t>
      </w:r>
      <w:r w:rsidR="00B7616B" w:rsidRPr="007E39EC">
        <w:rPr>
          <w:rFonts w:eastAsia="Times New Roman"/>
          <w:sz w:val="22"/>
          <w:szCs w:val="22"/>
        </w:rPr>
        <w:t>the cash flows are fixed and there is no optionality.</w:t>
      </w:r>
    </w:p>
    <w:p w14:paraId="39E2CDF7" w14:textId="38636388" w:rsidR="00B7616B" w:rsidRPr="007E39EC" w:rsidRDefault="00B7616B" w:rsidP="007E39EC">
      <w:pPr>
        <w:pStyle w:val="ListParagraph"/>
        <w:numPr>
          <w:ilvl w:val="0"/>
          <w:numId w:val="1"/>
        </w:numPr>
        <w:ind w:left="1080"/>
        <w:rPr>
          <w:rFonts w:eastAsia="Times New Roman"/>
          <w:sz w:val="22"/>
          <w:szCs w:val="22"/>
        </w:rPr>
      </w:pPr>
      <w:r w:rsidRPr="007E39EC">
        <w:rPr>
          <w:rFonts w:eastAsia="Times New Roman"/>
          <w:sz w:val="22"/>
          <w:szCs w:val="22"/>
        </w:rPr>
        <w:t xml:space="preserve">Currently, </w:t>
      </w:r>
      <w:r w:rsidR="007C3BFD">
        <w:rPr>
          <w:rFonts w:eastAsia="Times New Roman"/>
          <w:sz w:val="22"/>
          <w:szCs w:val="22"/>
        </w:rPr>
        <w:t>a weighting factor of 1 is used</w:t>
      </w:r>
      <w:r w:rsidRPr="007E39EC">
        <w:rPr>
          <w:rFonts w:eastAsia="Times New Roman"/>
          <w:sz w:val="22"/>
          <w:szCs w:val="22"/>
        </w:rPr>
        <w:t xml:space="preserve"> for short-duration agreements valued on a change-in-fund basis, so the precedent exists.</w:t>
      </w:r>
    </w:p>
    <w:p w14:paraId="4D045419" w14:textId="434F2D97" w:rsidR="00B7616B" w:rsidRPr="007E39EC" w:rsidRDefault="00B7616B" w:rsidP="007E39EC">
      <w:pPr>
        <w:pStyle w:val="ListParagraph"/>
        <w:numPr>
          <w:ilvl w:val="0"/>
          <w:numId w:val="1"/>
        </w:numPr>
        <w:ind w:left="1080"/>
        <w:rPr>
          <w:rFonts w:eastAsia="Times New Roman"/>
          <w:sz w:val="22"/>
          <w:szCs w:val="22"/>
        </w:rPr>
      </w:pPr>
      <w:r w:rsidRPr="007E39EC">
        <w:rPr>
          <w:rFonts w:eastAsia="Times New Roman"/>
          <w:sz w:val="22"/>
          <w:szCs w:val="22"/>
        </w:rPr>
        <w:t xml:space="preserve">The </w:t>
      </w:r>
      <w:r w:rsidR="007C3BFD">
        <w:rPr>
          <w:rFonts w:eastAsia="Times New Roman"/>
          <w:sz w:val="22"/>
          <w:szCs w:val="22"/>
        </w:rPr>
        <w:t>weighting factors</w:t>
      </w:r>
      <w:r w:rsidR="007C3BFD" w:rsidRPr="007E39EC">
        <w:rPr>
          <w:rFonts w:eastAsia="Times New Roman"/>
          <w:sz w:val="22"/>
          <w:szCs w:val="22"/>
        </w:rPr>
        <w:t xml:space="preserve"> </w:t>
      </w:r>
      <w:r w:rsidRPr="007E39EC">
        <w:rPr>
          <w:rFonts w:eastAsia="Times New Roman"/>
          <w:sz w:val="22"/>
          <w:szCs w:val="22"/>
        </w:rPr>
        <w:t>that exist in the SVL decrease with longer durations, assigning the lowest rates to the longest liabilities.  This does not account properly for the risk</w:t>
      </w:r>
      <w:r w:rsidR="001620E4">
        <w:rPr>
          <w:rFonts w:eastAsia="Times New Roman"/>
          <w:sz w:val="22"/>
          <w:szCs w:val="22"/>
        </w:rPr>
        <w:t xml:space="preserve"> when interest rates exceed 3%</w:t>
      </w:r>
      <w:r w:rsidRPr="007E39EC">
        <w:rPr>
          <w:rFonts w:eastAsia="Times New Roman"/>
          <w:sz w:val="22"/>
          <w:szCs w:val="22"/>
        </w:rPr>
        <w:t xml:space="preserve">.  This was addressed for </w:t>
      </w:r>
      <w:r w:rsidR="007C3BFD">
        <w:rPr>
          <w:rFonts w:eastAsia="Times New Roman"/>
          <w:sz w:val="22"/>
          <w:szCs w:val="22"/>
        </w:rPr>
        <w:t>income</w:t>
      </w:r>
      <w:r w:rsidR="007C3BFD" w:rsidRPr="007E39EC">
        <w:rPr>
          <w:rFonts w:eastAsia="Times New Roman"/>
          <w:sz w:val="22"/>
          <w:szCs w:val="22"/>
        </w:rPr>
        <w:t xml:space="preserve"> </w:t>
      </w:r>
      <w:r w:rsidRPr="007E39EC">
        <w:rPr>
          <w:rFonts w:eastAsia="Times New Roman"/>
          <w:sz w:val="22"/>
          <w:szCs w:val="22"/>
        </w:rPr>
        <w:t xml:space="preserve">annuities </w:t>
      </w:r>
      <w:r w:rsidR="007C3BFD">
        <w:rPr>
          <w:rFonts w:eastAsia="Times New Roman"/>
          <w:sz w:val="22"/>
          <w:szCs w:val="22"/>
        </w:rPr>
        <w:t xml:space="preserve">when VM-22 was drafted </w:t>
      </w:r>
      <w:r w:rsidRPr="007E39EC">
        <w:rPr>
          <w:rFonts w:eastAsia="Times New Roman"/>
          <w:sz w:val="22"/>
          <w:szCs w:val="22"/>
        </w:rPr>
        <w:t xml:space="preserve">but hasn’t yet been </w:t>
      </w:r>
      <w:r w:rsidR="007C3BFD">
        <w:rPr>
          <w:rFonts w:eastAsia="Times New Roman"/>
          <w:sz w:val="22"/>
          <w:szCs w:val="22"/>
        </w:rPr>
        <w:t xml:space="preserve">addressed </w:t>
      </w:r>
      <w:r w:rsidRPr="007E39EC">
        <w:rPr>
          <w:rFonts w:eastAsia="Times New Roman"/>
          <w:sz w:val="22"/>
          <w:szCs w:val="22"/>
        </w:rPr>
        <w:t>for funding agreements, as they’re not in scope for VM-22.</w:t>
      </w:r>
    </w:p>
    <w:p w14:paraId="3A1B14FB" w14:textId="193C906B" w:rsidR="00B7616B" w:rsidRPr="007E39EC" w:rsidRDefault="00B7616B" w:rsidP="007E39EC">
      <w:pPr>
        <w:pStyle w:val="ListParagraph"/>
        <w:numPr>
          <w:ilvl w:val="0"/>
          <w:numId w:val="1"/>
        </w:numPr>
        <w:ind w:left="1080"/>
        <w:rPr>
          <w:rFonts w:eastAsia="Times New Roman"/>
          <w:sz w:val="22"/>
          <w:szCs w:val="22"/>
        </w:rPr>
      </w:pPr>
      <w:r w:rsidRPr="007E39EC">
        <w:rPr>
          <w:rFonts w:eastAsia="Times New Roman"/>
          <w:sz w:val="22"/>
          <w:szCs w:val="22"/>
        </w:rPr>
        <w:t xml:space="preserve">This will make the </w:t>
      </w:r>
      <w:r w:rsidR="007C3BFD">
        <w:rPr>
          <w:rFonts w:eastAsia="Times New Roman"/>
          <w:sz w:val="22"/>
          <w:szCs w:val="22"/>
        </w:rPr>
        <w:t>valuation rates</w:t>
      </w:r>
      <w:r w:rsidRPr="007E39EC">
        <w:rPr>
          <w:rFonts w:eastAsia="Times New Roman"/>
          <w:sz w:val="22"/>
          <w:szCs w:val="22"/>
        </w:rPr>
        <w:t xml:space="preserve"> more uniform across the industry, as the current </w:t>
      </w:r>
      <w:r w:rsidR="007C3BFD">
        <w:rPr>
          <w:rFonts w:eastAsia="Times New Roman"/>
          <w:sz w:val="22"/>
          <w:szCs w:val="22"/>
        </w:rPr>
        <w:t>weighting factors</w:t>
      </w:r>
      <w:r w:rsidR="007C3BFD" w:rsidRPr="007E39EC">
        <w:rPr>
          <w:rFonts w:eastAsia="Times New Roman"/>
          <w:sz w:val="22"/>
          <w:szCs w:val="22"/>
        </w:rPr>
        <w:t xml:space="preserve"> </w:t>
      </w:r>
      <w:r w:rsidRPr="007E39EC">
        <w:rPr>
          <w:rFonts w:eastAsia="Times New Roman"/>
          <w:sz w:val="22"/>
          <w:szCs w:val="22"/>
        </w:rPr>
        <w:t>vary by issue-year vs change-in-fund basis.</w:t>
      </w:r>
    </w:p>
    <w:p w14:paraId="0AB7A758" w14:textId="77777777" w:rsidR="00D83A6B" w:rsidRPr="007E39EC" w:rsidRDefault="00D83A6B" w:rsidP="00D83A6B">
      <w:pPr>
        <w:ind w:left="720"/>
        <w:jc w:val="both"/>
        <w:rPr>
          <w:sz w:val="22"/>
          <w:szCs w:val="22"/>
        </w:rPr>
      </w:pPr>
    </w:p>
    <w:p w14:paraId="429B8F0C" w14:textId="77777777" w:rsidR="00D83A6B" w:rsidRPr="007E39EC" w:rsidRDefault="00D83A6B" w:rsidP="00D83A6B">
      <w:pPr>
        <w:jc w:val="both"/>
        <w:rPr>
          <w:rFonts w:eastAsia="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D83A6B" w:rsidRPr="007E39EC" w14:paraId="02767EB6" w14:textId="77777777" w:rsidTr="79546DF8">
        <w:trPr>
          <w:trHeight w:val="197"/>
          <w:jc w:val="center"/>
        </w:trPr>
        <w:tc>
          <w:tcPr>
            <w:tcW w:w="2088" w:type="dxa"/>
            <w:shd w:val="clear" w:color="auto" w:fill="CCCCCC"/>
          </w:tcPr>
          <w:p w14:paraId="64CB878D" w14:textId="77777777" w:rsidR="00D83A6B" w:rsidRPr="007E39EC" w:rsidRDefault="00D83A6B" w:rsidP="00413EDD">
            <w:pPr>
              <w:keepNext/>
              <w:keepLines/>
              <w:jc w:val="both"/>
              <w:rPr>
                <w:sz w:val="22"/>
                <w:szCs w:val="22"/>
              </w:rPr>
            </w:pPr>
            <w:r w:rsidRPr="007E39EC">
              <w:rPr>
                <w:b/>
                <w:sz w:val="22"/>
                <w:szCs w:val="22"/>
              </w:rPr>
              <w:t xml:space="preserve">Dates: </w:t>
            </w:r>
            <w:r w:rsidRPr="007E39EC">
              <w:rPr>
                <w:sz w:val="22"/>
                <w:szCs w:val="22"/>
              </w:rPr>
              <w:t>Received</w:t>
            </w:r>
          </w:p>
        </w:tc>
        <w:tc>
          <w:tcPr>
            <w:tcW w:w="1980" w:type="dxa"/>
            <w:shd w:val="clear" w:color="auto" w:fill="CCCCCC"/>
          </w:tcPr>
          <w:p w14:paraId="6F1C199E" w14:textId="77777777" w:rsidR="00D83A6B" w:rsidRPr="007E39EC" w:rsidRDefault="00D83A6B" w:rsidP="00413EDD">
            <w:pPr>
              <w:keepNext/>
              <w:keepLines/>
              <w:jc w:val="both"/>
              <w:rPr>
                <w:sz w:val="22"/>
                <w:szCs w:val="22"/>
              </w:rPr>
            </w:pPr>
            <w:r w:rsidRPr="007E39EC">
              <w:rPr>
                <w:sz w:val="22"/>
                <w:szCs w:val="22"/>
              </w:rPr>
              <w:t>Reviewed by Staff</w:t>
            </w:r>
          </w:p>
        </w:tc>
        <w:tc>
          <w:tcPr>
            <w:tcW w:w="1955" w:type="dxa"/>
            <w:shd w:val="clear" w:color="auto" w:fill="CCCCCC"/>
          </w:tcPr>
          <w:p w14:paraId="240FA3BB" w14:textId="77777777" w:rsidR="00D83A6B" w:rsidRPr="007E39EC" w:rsidRDefault="00D83A6B" w:rsidP="00413EDD">
            <w:pPr>
              <w:keepNext/>
              <w:keepLines/>
              <w:jc w:val="both"/>
              <w:rPr>
                <w:sz w:val="22"/>
                <w:szCs w:val="22"/>
              </w:rPr>
            </w:pPr>
            <w:r w:rsidRPr="007E39EC">
              <w:rPr>
                <w:sz w:val="22"/>
                <w:szCs w:val="22"/>
              </w:rPr>
              <w:t>Distributed</w:t>
            </w:r>
          </w:p>
        </w:tc>
        <w:tc>
          <w:tcPr>
            <w:tcW w:w="3862" w:type="dxa"/>
            <w:shd w:val="clear" w:color="auto" w:fill="CCCCCC"/>
          </w:tcPr>
          <w:p w14:paraId="070914FA" w14:textId="77777777" w:rsidR="00D83A6B" w:rsidRPr="007E39EC" w:rsidRDefault="00D83A6B" w:rsidP="00413EDD">
            <w:pPr>
              <w:keepNext/>
              <w:keepLines/>
              <w:jc w:val="both"/>
              <w:rPr>
                <w:sz w:val="22"/>
                <w:szCs w:val="22"/>
              </w:rPr>
            </w:pPr>
            <w:r w:rsidRPr="007E39EC">
              <w:rPr>
                <w:sz w:val="22"/>
                <w:szCs w:val="22"/>
              </w:rPr>
              <w:t>Considered</w:t>
            </w:r>
          </w:p>
        </w:tc>
      </w:tr>
      <w:tr w:rsidR="00D83A6B" w:rsidRPr="007E39EC" w14:paraId="0F941A50" w14:textId="77777777" w:rsidTr="79546DF8">
        <w:trPr>
          <w:trHeight w:val="323"/>
          <w:jc w:val="center"/>
        </w:trPr>
        <w:tc>
          <w:tcPr>
            <w:tcW w:w="2088" w:type="dxa"/>
            <w:shd w:val="clear" w:color="auto" w:fill="CCCCCC"/>
          </w:tcPr>
          <w:p w14:paraId="16E7AEF6" w14:textId="348D56DE" w:rsidR="00D83A6B" w:rsidRPr="007E39EC" w:rsidRDefault="00566D38" w:rsidP="00413EDD">
            <w:pPr>
              <w:keepNext/>
              <w:keepLines/>
              <w:jc w:val="both"/>
              <w:rPr>
                <w:sz w:val="22"/>
                <w:szCs w:val="22"/>
              </w:rPr>
            </w:pPr>
            <w:r>
              <w:rPr>
                <w:sz w:val="22"/>
                <w:szCs w:val="22"/>
              </w:rPr>
              <w:t>03/26/2024</w:t>
            </w:r>
            <w:r w:rsidR="003B78CA">
              <w:rPr>
                <w:sz w:val="22"/>
                <w:szCs w:val="22"/>
              </w:rPr>
              <w:t>, 4/3/24</w:t>
            </w:r>
          </w:p>
        </w:tc>
        <w:tc>
          <w:tcPr>
            <w:tcW w:w="1980" w:type="dxa"/>
            <w:shd w:val="clear" w:color="auto" w:fill="CCCCCC"/>
          </w:tcPr>
          <w:p w14:paraId="512FD89A" w14:textId="45FFC2F9" w:rsidR="00D83A6B" w:rsidRPr="007E39EC" w:rsidRDefault="00566D38" w:rsidP="00413EDD">
            <w:pPr>
              <w:keepNext/>
              <w:keepLines/>
              <w:jc w:val="both"/>
              <w:rPr>
                <w:sz w:val="22"/>
                <w:szCs w:val="22"/>
              </w:rPr>
            </w:pPr>
            <w:r>
              <w:rPr>
                <w:sz w:val="22"/>
                <w:szCs w:val="22"/>
              </w:rPr>
              <w:t>K. K</w:t>
            </w:r>
          </w:p>
        </w:tc>
        <w:tc>
          <w:tcPr>
            <w:tcW w:w="1955" w:type="dxa"/>
            <w:shd w:val="clear" w:color="auto" w:fill="CCCCCC"/>
          </w:tcPr>
          <w:p w14:paraId="3395767F" w14:textId="77777777" w:rsidR="00D83A6B" w:rsidRPr="007E39EC" w:rsidRDefault="00D83A6B" w:rsidP="00413EDD">
            <w:pPr>
              <w:keepNext/>
              <w:keepLines/>
              <w:jc w:val="both"/>
              <w:rPr>
                <w:sz w:val="22"/>
                <w:szCs w:val="22"/>
              </w:rPr>
            </w:pPr>
          </w:p>
        </w:tc>
        <w:tc>
          <w:tcPr>
            <w:tcW w:w="3862" w:type="dxa"/>
            <w:shd w:val="clear" w:color="auto" w:fill="CCCCCC"/>
          </w:tcPr>
          <w:p w14:paraId="07EFA4DB" w14:textId="77777777" w:rsidR="00D83A6B" w:rsidRPr="007E39EC" w:rsidRDefault="00D83A6B" w:rsidP="00413EDD">
            <w:pPr>
              <w:keepNext/>
              <w:keepLines/>
              <w:jc w:val="both"/>
              <w:rPr>
                <w:sz w:val="22"/>
                <w:szCs w:val="22"/>
              </w:rPr>
            </w:pPr>
          </w:p>
        </w:tc>
      </w:tr>
      <w:tr w:rsidR="00D83A6B" w:rsidRPr="007E39EC" w14:paraId="14FBE216" w14:textId="77777777" w:rsidTr="79546DF8">
        <w:trPr>
          <w:trHeight w:val="737"/>
          <w:jc w:val="center"/>
        </w:trPr>
        <w:tc>
          <w:tcPr>
            <w:tcW w:w="9885" w:type="dxa"/>
            <w:gridSpan w:val="4"/>
            <w:shd w:val="clear" w:color="auto" w:fill="CCCCCC"/>
          </w:tcPr>
          <w:p w14:paraId="3FC21DBE" w14:textId="520D80C7" w:rsidR="00D83A6B" w:rsidRPr="007E39EC" w:rsidRDefault="00D83A6B" w:rsidP="00413EDD">
            <w:pPr>
              <w:jc w:val="both"/>
              <w:rPr>
                <w:sz w:val="22"/>
                <w:szCs w:val="22"/>
              </w:rPr>
            </w:pPr>
            <w:r w:rsidRPr="007E39EC">
              <w:rPr>
                <w:b/>
                <w:bCs/>
                <w:sz w:val="22"/>
                <w:szCs w:val="22"/>
              </w:rPr>
              <w:t>Notes:</w:t>
            </w:r>
            <w:r w:rsidRPr="007E39EC">
              <w:rPr>
                <w:sz w:val="22"/>
                <w:szCs w:val="22"/>
              </w:rPr>
              <w:t xml:space="preserve"> </w:t>
            </w:r>
            <w:r w:rsidR="00566D38">
              <w:rPr>
                <w:sz w:val="22"/>
                <w:szCs w:val="22"/>
              </w:rPr>
              <w:t>APF-2024-0</w:t>
            </w:r>
            <w:r w:rsidR="00905AF6">
              <w:rPr>
                <w:sz w:val="22"/>
                <w:szCs w:val="22"/>
              </w:rPr>
              <w:t>5</w:t>
            </w:r>
          </w:p>
        </w:tc>
      </w:tr>
    </w:tbl>
    <w:p w14:paraId="52836C0F" w14:textId="77777777" w:rsidR="00B53BFE" w:rsidRPr="007E39EC" w:rsidRDefault="00B53BFE">
      <w:pPr>
        <w:rPr>
          <w:sz w:val="22"/>
          <w:szCs w:val="22"/>
        </w:rPr>
      </w:pPr>
    </w:p>
    <w:sectPr w:rsidR="00B53BFE" w:rsidRPr="007E39EC" w:rsidSect="00BF562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3699" w14:textId="77777777" w:rsidR="00BF5626" w:rsidRDefault="00BF5626" w:rsidP="00463DA6">
      <w:r>
        <w:separator/>
      </w:r>
    </w:p>
  </w:endnote>
  <w:endnote w:type="continuationSeparator" w:id="0">
    <w:p w14:paraId="74814A37" w14:textId="77777777" w:rsidR="00BF5626" w:rsidRDefault="00BF5626" w:rsidP="0046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A40C" w14:textId="77777777" w:rsidR="00BF5626" w:rsidRDefault="00BF5626" w:rsidP="00463DA6">
      <w:r>
        <w:separator/>
      </w:r>
    </w:p>
  </w:footnote>
  <w:footnote w:type="continuationSeparator" w:id="0">
    <w:p w14:paraId="0FCD8834" w14:textId="77777777" w:rsidR="00BF5626" w:rsidRDefault="00BF5626" w:rsidP="00463DA6">
      <w:r>
        <w:continuationSeparator/>
      </w:r>
    </w:p>
  </w:footnote>
  <w:footnote w:id="1">
    <w:p w14:paraId="0FC08BD8" w14:textId="67DF53E8" w:rsidR="00463DA6" w:rsidRDefault="00463DA6">
      <w:pPr>
        <w:pStyle w:val="FootnoteText"/>
      </w:pPr>
      <w:r>
        <w:rPr>
          <w:rStyle w:val="FootnoteReference"/>
        </w:rPr>
        <w:footnoteRef/>
      </w:r>
      <w:r>
        <w:t xml:space="preserve"> Wholly supportive of incorporating reasonable, neutral practices that may have previously been allowed as permitted practices, like allowing the use of more frequent rate determination, explicitly into the Valuation Manual.  Reserving judgment on the weighting factor change until a robust LATF discussion.</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DBF"/>
    <w:multiLevelType w:val="hybridMultilevel"/>
    <w:tmpl w:val="86F4BBF6"/>
    <w:lvl w:ilvl="0" w:tplc="48763290">
      <w:start w:val="1"/>
      <w:numFmt w:val="bullet"/>
      <w:lvlText w:val="•"/>
      <w:lvlJc w:val="left"/>
      <w:pPr>
        <w:tabs>
          <w:tab w:val="num" w:pos="1080"/>
        </w:tabs>
        <w:ind w:left="1080" w:hanging="360"/>
      </w:pPr>
      <w:rPr>
        <w:rFonts w:ascii="Times New Roman" w:hAnsi="Times New Roman" w:cs="Times New Roman" w:hint="default"/>
      </w:rPr>
    </w:lvl>
    <w:lvl w:ilvl="1" w:tplc="E72AB8B4" w:tentative="1">
      <w:start w:val="1"/>
      <w:numFmt w:val="bullet"/>
      <w:lvlText w:val="•"/>
      <w:lvlJc w:val="left"/>
      <w:pPr>
        <w:tabs>
          <w:tab w:val="num" w:pos="1800"/>
        </w:tabs>
        <w:ind w:left="1800" w:hanging="360"/>
      </w:pPr>
      <w:rPr>
        <w:rFonts w:ascii="Arial" w:hAnsi="Arial" w:hint="default"/>
      </w:rPr>
    </w:lvl>
    <w:lvl w:ilvl="2" w:tplc="43E63100" w:tentative="1">
      <w:start w:val="1"/>
      <w:numFmt w:val="bullet"/>
      <w:lvlText w:val="•"/>
      <w:lvlJc w:val="left"/>
      <w:pPr>
        <w:tabs>
          <w:tab w:val="num" w:pos="2520"/>
        </w:tabs>
        <w:ind w:left="2520" w:hanging="360"/>
      </w:pPr>
      <w:rPr>
        <w:rFonts w:ascii="Arial" w:hAnsi="Arial" w:hint="default"/>
      </w:rPr>
    </w:lvl>
    <w:lvl w:ilvl="3" w:tplc="271E2736" w:tentative="1">
      <w:start w:val="1"/>
      <w:numFmt w:val="bullet"/>
      <w:lvlText w:val="•"/>
      <w:lvlJc w:val="left"/>
      <w:pPr>
        <w:tabs>
          <w:tab w:val="num" w:pos="3240"/>
        </w:tabs>
        <w:ind w:left="3240" w:hanging="360"/>
      </w:pPr>
      <w:rPr>
        <w:rFonts w:ascii="Arial" w:hAnsi="Arial" w:hint="default"/>
      </w:rPr>
    </w:lvl>
    <w:lvl w:ilvl="4" w:tplc="85F23D8C" w:tentative="1">
      <w:start w:val="1"/>
      <w:numFmt w:val="bullet"/>
      <w:lvlText w:val="•"/>
      <w:lvlJc w:val="left"/>
      <w:pPr>
        <w:tabs>
          <w:tab w:val="num" w:pos="3960"/>
        </w:tabs>
        <w:ind w:left="3960" w:hanging="360"/>
      </w:pPr>
      <w:rPr>
        <w:rFonts w:ascii="Arial" w:hAnsi="Arial" w:hint="default"/>
      </w:rPr>
    </w:lvl>
    <w:lvl w:ilvl="5" w:tplc="8DD80586" w:tentative="1">
      <w:start w:val="1"/>
      <w:numFmt w:val="bullet"/>
      <w:lvlText w:val="•"/>
      <w:lvlJc w:val="left"/>
      <w:pPr>
        <w:tabs>
          <w:tab w:val="num" w:pos="4680"/>
        </w:tabs>
        <w:ind w:left="4680" w:hanging="360"/>
      </w:pPr>
      <w:rPr>
        <w:rFonts w:ascii="Arial" w:hAnsi="Arial" w:hint="default"/>
      </w:rPr>
    </w:lvl>
    <w:lvl w:ilvl="6" w:tplc="439C4EB2" w:tentative="1">
      <w:start w:val="1"/>
      <w:numFmt w:val="bullet"/>
      <w:lvlText w:val="•"/>
      <w:lvlJc w:val="left"/>
      <w:pPr>
        <w:tabs>
          <w:tab w:val="num" w:pos="5400"/>
        </w:tabs>
        <w:ind w:left="5400" w:hanging="360"/>
      </w:pPr>
      <w:rPr>
        <w:rFonts w:ascii="Arial" w:hAnsi="Arial" w:hint="default"/>
      </w:rPr>
    </w:lvl>
    <w:lvl w:ilvl="7" w:tplc="639A8754" w:tentative="1">
      <w:start w:val="1"/>
      <w:numFmt w:val="bullet"/>
      <w:lvlText w:val="•"/>
      <w:lvlJc w:val="left"/>
      <w:pPr>
        <w:tabs>
          <w:tab w:val="num" w:pos="6120"/>
        </w:tabs>
        <w:ind w:left="6120" w:hanging="360"/>
      </w:pPr>
      <w:rPr>
        <w:rFonts w:ascii="Arial" w:hAnsi="Arial" w:hint="default"/>
      </w:rPr>
    </w:lvl>
    <w:lvl w:ilvl="8" w:tplc="26364538"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1F0529EE"/>
    <w:multiLevelType w:val="hybridMultilevel"/>
    <w:tmpl w:val="951852AC"/>
    <w:lvl w:ilvl="0" w:tplc="1E50226C">
      <w:start w:val="1"/>
      <w:numFmt w:val="bullet"/>
      <w:lvlText w:val="•"/>
      <w:lvlJc w:val="left"/>
      <w:pPr>
        <w:tabs>
          <w:tab w:val="num" w:pos="720"/>
        </w:tabs>
        <w:ind w:left="720" w:hanging="360"/>
      </w:pPr>
      <w:rPr>
        <w:rFonts w:ascii="Times New Roman" w:hAnsi="Times New Roman" w:cs="Times New Roman" w:hint="default"/>
      </w:rPr>
    </w:lvl>
    <w:lvl w:ilvl="1" w:tplc="4EF693A4" w:tentative="1">
      <w:start w:val="1"/>
      <w:numFmt w:val="bullet"/>
      <w:lvlText w:val="•"/>
      <w:lvlJc w:val="left"/>
      <w:pPr>
        <w:tabs>
          <w:tab w:val="num" w:pos="1440"/>
        </w:tabs>
        <w:ind w:left="1440" w:hanging="360"/>
      </w:pPr>
      <w:rPr>
        <w:rFonts w:ascii="Arial" w:hAnsi="Arial" w:hint="default"/>
      </w:rPr>
    </w:lvl>
    <w:lvl w:ilvl="2" w:tplc="A7CE1708" w:tentative="1">
      <w:start w:val="1"/>
      <w:numFmt w:val="bullet"/>
      <w:lvlText w:val="•"/>
      <w:lvlJc w:val="left"/>
      <w:pPr>
        <w:tabs>
          <w:tab w:val="num" w:pos="2160"/>
        </w:tabs>
        <w:ind w:left="2160" w:hanging="360"/>
      </w:pPr>
      <w:rPr>
        <w:rFonts w:ascii="Arial" w:hAnsi="Arial" w:hint="default"/>
      </w:rPr>
    </w:lvl>
    <w:lvl w:ilvl="3" w:tplc="0B20267C" w:tentative="1">
      <w:start w:val="1"/>
      <w:numFmt w:val="bullet"/>
      <w:lvlText w:val="•"/>
      <w:lvlJc w:val="left"/>
      <w:pPr>
        <w:tabs>
          <w:tab w:val="num" w:pos="2880"/>
        </w:tabs>
        <w:ind w:left="2880" w:hanging="360"/>
      </w:pPr>
      <w:rPr>
        <w:rFonts w:ascii="Arial" w:hAnsi="Arial" w:hint="default"/>
      </w:rPr>
    </w:lvl>
    <w:lvl w:ilvl="4" w:tplc="E8024F6C" w:tentative="1">
      <w:start w:val="1"/>
      <w:numFmt w:val="bullet"/>
      <w:lvlText w:val="•"/>
      <w:lvlJc w:val="left"/>
      <w:pPr>
        <w:tabs>
          <w:tab w:val="num" w:pos="3600"/>
        </w:tabs>
        <w:ind w:left="3600" w:hanging="360"/>
      </w:pPr>
      <w:rPr>
        <w:rFonts w:ascii="Arial" w:hAnsi="Arial" w:hint="default"/>
      </w:rPr>
    </w:lvl>
    <w:lvl w:ilvl="5" w:tplc="731C9716" w:tentative="1">
      <w:start w:val="1"/>
      <w:numFmt w:val="bullet"/>
      <w:lvlText w:val="•"/>
      <w:lvlJc w:val="left"/>
      <w:pPr>
        <w:tabs>
          <w:tab w:val="num" w:pos="4320"/>
        </w:tabs>
        <w:ind w:left="4320" w:hanging="360"/>
      </w:pPr>
      <w:rPr>
        <w:rFonts w:ascii="Arial" w:hAnsi="Arial" w:hint="default"/>
      </w:rPr>
    </w:lvl>
    <w:lvl w:ilvl="6" w:tplc="CB669C90" w:tentative="1">
      <w:start w:val="1"/>
      <w:numFmt w:val="bullet"/>
      <w:lvlText w:val="•"/>
      <w:lvlJc w:val="left"/>
      <w:pPr>
        <w:tabs>
          <w:tab w:val="num" w:pos="5040"/>
        </w:tabs>
        <w:ind w:left="5040" w:hanging="360"/>
      </w:pPr>
      <w:rPr>
        <w:rFonts w:ascii="Arial" w:hAnsi="Arial" w:hint="default"/>
      </w:rPr>
    </w:lvl>
    <w:lvl w:ilvl="7" w:tplc="E2AC6CE6" w:tentative="1">
      <w:start w:val="1"/>
      <w:numFmt w:val="bullet"/>
      <w:lvlText w:val="•"/>
      <w:lvlJc w:val="left"/>
      <w:pPr>
        <w:tabs>
          <w:tab w:val="num" w:pos="5760"/>
        </w:tabs>
        <w:ind w:left="5760" w:hanging="360"/>
      </w:pPr>
      <w:rPr>
        <w:rFonts w:ascii="Arial" w:hAnsi="Arial" w:hint="default"/>
      </w:rPr>
    </w:lvl>
    <w:lvl w:ilvl="8" w:tplc="142AEA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95360B"/>
    <w:multiLevelType w:val="hybridMultilevel"/>
    <w:tmpl w:val="5322B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0894A5"/>
    <w:multiLevelType w:val="hybridMultilevel"/>
    <w:tmpl w:val="5DCA6362"/>
    <w:lvl w:ilvl="0" w:tplc="2A904030">
      <w:start w:val="1"/>
      <w:numFmt w:val="upperLetter"/>
      <w:lvlText w:val="%1."/>
      <w:lvlJc w:val="left"/>
      <w:pPr>
        <w:ind w:left="720" w:hanging="360"/>
      </w:pPr>
      <w:rPr>
        <w:color w:val="auto"/>
      </w:rPr>
    </w:lvl>
    <w:lvl w:ilvl="1" w:tplc="3ABCA9F4">
      <w:start w:val="1"/>
      <w:numFmt w:val="lowerLetter"/>
      <w:lvlText w:val="%2."/>
      <w:lvlJc w:val="left"/>
      <w:pPr>
        <w:ind w:left="1440" w:hanging="360"/>
      </w:pPr>
    </w:lvl>
    <w:lvl w:ilvl="2" w:tplc="9E3A972A">
      <w:start w:val="1"/>
      <w:numFmt w:val="lowerRoman"/>
      <w:lvlText w:val="%3."/>
      <w:lvlJc w:val="right"/>
      <w:pPr>
        <w:ind w:left="2160" w:hanging="180"/>
      </w:pPr>
    </w:lvl>
    <w:lvl w:ilvl="3" w:tplc="A63AA272">
      <w:start w:val="1"/>
      <w:numFmt w:val="decimal"/>
      <w:lvlText w:val="%4."/>
      <w:lvlJc w:val="left"/>
      <w:pPr>
        <w:ind w:left="2880" w:hanging="360"/>
      </w:pPr>
    </w:lvl>
    <w:lvl w:ilvl="4" w:tplc="8E8870F0">
      <w:start w:val="1"/>
      <w:numFmt w:val="lowerLetter"/>
      <w:lvlText w:val="%5."/>
      <w:lvlJc w:val="left"/>
      <w:pPr>
        <w:ind w:left="3600" w:hanging="360"/>
      </w:pPr>
    </w:lvl>
    <w:lvl w:ilvl="5" w:tplc="04F216B0">
      <w:start w:val="1"/>
      <w:numFmt w:val="lowerRoman"/>
      <w:lvlText w:val="%6."/>
      <w:lvlJc w:val="right"/>
      <w:pPr>
        <w:ind w:left="4320" w:hanging="180"/>
      </w:pPr>
    </w:lvl>
    <w:lvl w:ilvl="6" w:tplc="BDE6914E">
      <w:start w:val="1"/>
      <w:numFmt w:val="decimal"/>
      <w:lvlText w:val="%7."/>
      <w:lvlJc w:val="left"/>
      <w:pPr>
        <w:ind w:left="5040" w:hanging="360"/>
      </w:pPr>
    </w:lvl>
    <w:lvl w:ilvl="7" w:tplc="F35C96F8">
      <w:start w:val="1"/>
      <w:numFmt w:val="lowerLetter"/>
      <w:lvlText w:val="%8."/>
      <w:lvlJc w:val="left"/>
      <w:pPr>
        <w:ind w:left="5760" w:hanging="360"/>
      </w:pPr>
    </w:lvl>
    <w:lvl w:ilvl="8" w:tplc="37029430">
      <w:start w:val="1"/>
      <w:numFmt w:val="lowerRoman"/>
      <w:lvlText w:val="%9."/>
      <w:lvlJc w:val="right"/>
      <w:pPr>
        <w:ind w:left="6480" w:hanging="180"/>
      </w:pPr>
    </w:lvl>
  </w:abstractNum>
  <w:abstractNum w:abstractNumId="4" w15:restartNumberingAfterBreak="0">
    <w:nsid w:val="52E33B29"/>
    <w:multiLevelType w:val="hybridMultilevel"/>
    <w:tmpl w:val="83EED700"/>
    <w:lvl w:ilvl="0" w:tplc="48763290">
      <w:start w:val="1"/>
      <w:numFmt w:val="bullet"/>
      <w:lvlText w:val="•"/>
      <w:lvlJc w:val="left"/>
      <w:pPr>
        <w:ind w:left="720" w:hanging="360"/>
      </w:pPr>
      <w:rPr>
        <w:rFonts w:ascii="Times New Roman" w:hAnsi="Times New Roman" w:cs="Times New Roman" w:hint="default"/>
      </w:rPr>
    </w:lvl>
    <w:lvl w:ilvl="1" w:tplc="9CDA02AA">
      <w:start w:val="1"/>
      <w:numFmt w:val="bullet"/>
      <w:lvlText w:val=""/>
      <w:lvlJc w:val="left"/>
      <w:pPr>
        <w:ind w:left="1440" w:hanging="360"/>
      </w:pPr>
      <w:rPr>
        <w:rFonts w:ascii="Symbol" w:hAnsi="Symbol" w:hint="default"/>
      </w:rPr>
    </w:lvl>
    <w:lvl w:ilvl="2" w:tplc="90EC125C">
      <w:start w:val="1"/>
      <w:numFmt w:val="bullet"/>
      <w:lvlText w:val=""/>
      <w:lvlJc w:val="left"/>
      <w:pPr>
        <w:ind w:left="2160" w:hanging="360"/>
      </w:pPr>
      <w:rPr>
        <w:rFonts w:ascii="Wingdings" w:hAnsi="Wingdings" w:hint="default"/>
      </w:rPr>
    </w:lvl>
    <w:lvl w:ilvl="3" w:tplc="C0588F58">
      <w:start w:val="1"/>
      <w:numFmt w:val="bullet"/>
      <w:lvlText w:val=""/>
      <w:lvlJc w:val="left"/>
      <w:pPr>
        <w:ind w:left="2880" w:hanging="360"/>
      </w:pPr>
      <w:rPr>
        <w:rFonts w:ascii="Symbol" w:hAnsi="Symbol" w:hint="default"/>
      </w:rPr>
    </w:lvl>
    <w:lvl w:ilvl="4" w:tplc="8DA8EA38">
      <w:start w:val="1"/>
      <w:numFmt w:val="bullet"/>
      <w:lvlText w:val="o"/>
      <w:lvlJc w:val="left"/>
      <w:pPr>
        <w:ind w:left="3600" w:hanging="360"/>
      </w:pPr>
      <w:rPr>
        <w:rFonts w:ascii="Courier New" w:hAnsi="Courier New" w:hint="default"/>
      </w:rPr>
    </w:lvl>
    <w:lvl w:ilvl="5" w:tplc="1D769546">
      <w:start w:val="1"/>
      <w:numFmt w:val="bullet"/>
      <w:lvlText w:val=""/>
      <w:lvlJc w:val="left"/>
      <w:pPr>
        <w:ind w:left="4320" w:hanging="360"/>
      </w:pPr>
      <w:rPr>
        <w:rFonts w:ascii="Wingdings" w:hAnsi="Wingdings" w:hint="default"/>
      </w:rPr>
    </w:lvl>
    <w:lvl w:ilvl="6" w:tplc="18FCCBC4">
      <w:start w:val="1"/>
      <w:numFmt w:val="bullet"/>
      <w:lvlText w:val=""/>
      <w:lvlJc w:val="left"/>
      <w:pPr>
        <w:ind w:left="5040" w:hanging="360"/>
      </w:pPr>
      <w:rPr>
        <w:rFonts w:ascii="Symbol" w:hAnsi="Symbol" w:hint="default"/>
      </w:rPr>
    </w:lvl>
    <w:lvl w:ilvl="7" w:tplc="B29C8CA4">
      <w:start w:val="1"/>
      <w:numFmt w:val="bullet"/>
      <w:lvlText w:val="o"/>
      <w:lvlJc w:val="left"/>
      <w:pPr>
        <w:ind w:left="5760" w:hanging="360"/>
      </w:pPr>
      <w:rPr>
        <w:rFonts w:ascii="Courier New" w:hAnsi="Courier New" w:hint="default"/>
      </w:rPr>
    </w:lvl>
    <w:lvl w:ilvl="8" w:tplc="1BF29A78">
      <w:start w:val="1"/>
      <w:numFmt w:val="bullet"/>
      <w:lvlText w:val=""/>
      <w:lvlJc w:val="left"/>
      <w:pPr>
        <w:ind w:left="6480" w:hanging="360"/>
      </w:pPr>
      <w:rPr>
        <w:rFonts w:ascii="Wingdings" w:hAnsi="Wingdings" w:hint="default"/>
      </w:rPr>
    </w:lvl>
  </w:abstractNum>
  <w:abstractNum w:abstractNumId="5" w15:restartNumberingAfterBreak="0">
    <w:nsid w:val="5620601B"/>
    <w:multiLevelType w:val="hybridMultilevel"/>
    <w:tmpl w:val="869EEF80"/>
    <w:lvl w:ilvl="0" w:tplc="A86CCF16">
      <w:start w:val="1"/>
      <w:numFmt w:val="bullet"/>
      <w:lvlText w:val="•"/>
      <w:lvlJc w:val="left"/>
      <w:pPr>
        <w:tabs>
          <w:tab w:val="num" w:pos="720"/>
        </w:tabs>
        <w:ind w:left="720" w:hanging="360"/>
      </w:pPr>
      <w:rPr>
        <w:rFonts w:ascii="Arial" w:hAnsi="Arial" w:hint="default"/>
      </w:rPr>
    </w:lvl>
    <w:lvl w:ilvl="1" w:tplc="F3ACBA9E" w:tentative="1">
      <w:start w:val="1"/>
      <w:numFmt w:val="bullet"/>
      <w:lvlText w:val="•"/>
      <w:lvlJc w:val="left"/>
      <w:pPr>
        <w:tabs>
          <w:tab w:val="num" w:pos="1440"/>
        </w:tabs>
        <w:ind w:left="1440" w:hanging="360"/>
      </w:pPr>
      <w:rPr>
        <w:rFonts w:ascii="Arial" w:hAnsi="Arial" w:hint="default"/>
      </w:rPr>
    </w:lvl>
    <w:lvl w:ilvl="2" w:tplc="DC1CDD9A" w:tentative="1">
      <w:start w:val="1"/>
      <w:numFmt w:val="bullet"/>
      <w:lvlText w:val="•"/>
      <w:lvlJc w:val="left"/>
      <w:pPr>
        <w:tabs>
          <w:tab w:val="num" w:pos="2160"/>
        </w:tabs>
        <w:ind w:left="2160" w:hanging="360"/>
      </w:pPr>
      <w:rPr>
        <w:rFonts w:ascii="Arial" w:hAnsi="Arial" w:hint="default"/>
      </w:rPr>
    </w:lvl>
    <w:lvl w:ilvl="3" w:tplc="0A0A6C18" w:tentative="1">
      <w:start w:val="1"/>
      <w:numFmt w:val="bullet"/>
      <w:lvlText w:val="•"/>
      <w:lvlJc w:val="left"/>
      <w:pPr>
        <w:tabs>
          <w:tab w:val="num" w:pos="2880"/>
        </w:tabs>
        <w:ind w:left="2880" w:hanging="360"/>
      </w:pPr>
      <w:rPr>
        <w:rFonts w:ascii="Arial" w:hAnsi="Arial" w:hint="default"/>
      </w:rPr>
    </w:lvl>
    <w:lvl w:ilvl="4" w:tplc="32C03AA0" w:tentative="1">
      <w:start w:val="1"/>
      <w:numFmt w:val="bullet"/>
      <w:lvlText w:val="•"/>
      <w:lvlJc w:val="left"/>
      <w:pPr>
        <w:tabs>
          <w:tab w:val="num" w:pos="3600"/>
        </w:tabs>
        <w:ind w:left="3600" w:hanging="360"/>
      </w:pPr>
      <w:rPr>
        <w:rFonts w:ascii="Arial" w:hAnsi="Arial" w:hint="default"/>
      </w:rPr>
    </w:lvl>
    <w:lvl w:ilvl="5" w:tplc="78920CA4" w:tentative="1">
      <w:start w:val="1"/>
      <w:numFmt w:val="bullet"/>
      <w:lvlText w:val="•"/>
      <w:lvlJc w:val="left"/>
      <w:pPr>
        <w:tabs>
          <w:tab w:val="num" w:pos="4320"/>
        </w:tabs>
        <w:ind w:left="4320" w:hanging="360"/>
      </w:pPr>
      <w:rPr>
        <w:rFonts w:ascii="Arial" w:hAnsi="Arial" w:hint="default"/>
      </w:rPr>
    </w:lvl>
    <w:lvl w:ilvl="6" w:tplc="41629800" w:tentative="1">
      <w:start w:val="1"/>
      <w:numFmt w:val="bullet"/>
      <w:lvlText w:val="•"/>
      <w:lvlJc w:val="left"/>
      <w:pPr>
        <w:tabs>
          <w:tab w:val="num" w:pos="5040"/>
        </w:tabs>
        <w:ind w:left="5040" w:hanging="360"/>
      </w:pPr>
      <w:rPr>
        <w:rFonts w:ascii="Arial" w:hAnsi="Arial" w:hint="default"/>
      </w:rPr>
    </w:lvl>
    <w:lvl w:ilvl="7" w:tplc="D7EAA8A0" w:tentative="1">
      <w:start w:val="1"/>
      <w:numFmt w:val="bullet"/>
      <w:lvlText w:val="•"/>
      <w:lvlJc w:val="left"/>
      <w:pPr>
        <w:tabs>
          <w:tab w:val="num" w:pos="5760"/>
        </w:tabs>
        <w:ind w:left="5760" w:hanging="360"/>
      </w:pPr>
      <w:rPr>
        <w:rFonts w:ascii="Arial" w:hAnsi="Arial" w:hint="default"/>
      </w:rPr>
    </w:lvl>
    <w:lvl w:ilvl="8" w:tplc="ACE6A8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7E6BC7"/>
    <w:multiLevelType w:val="hybridMultilevel"/>
    <w:tmpl w:val="D78CCD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88D2AA5"/>
    <w:multiLevelType w:val="hybridMultilevel"/>
    <w:tmpl w:val="5322B5E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11900350">
    <w:abstractNumId w:val="4"/>
  </w:num>
  <w:num w:numId="2" w16cid:durableId="823278972">
    <w:abstractNumId w:val="3"/>
  </w:num>
  <w:num w:numId="3" w16cid:durableId="159390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57903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6540795">
    <w:abstractNumId w:val="0"/>
  </w:num>
  <w:num w:numId="6" w16cid:durableId="1166438648">
    <w:abstractNumId w:val="5"/>
  </w:num>
  <w:num w:numId="7" w16cid:durableId="1794591064">
    <w:abstractNumId w:val="1"/>
  </w:num>
  <w:num w:numId="8" w16cid:durableId="1916432732">
    <w:abstractNumId w:val="2"/>
  </w:num>
  <w:num w:numId="9" w16cid:durableId="1069839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B"/>
    <w:rsid w:val="00001275"/>
    <w:rsid w:val="000545FB"/>
    <w:rsid w:val="00063AE5"/>
    <w:rsid w:val="00086496"/>
    <w:rsid w:val="000B2AB3"/>
    <w:rsid w:val="000B2EA9"/>
    <w:rsid w:val="00101753"/>
    <w:rsid w:val="00151335"/>
    <w:rsid w:val="001620E4"/>
    <w:rsid w:val="00167C7E"/>
    <w:rsid w:val="0018549D"/>
    <w:rsid w:val="00234D1A"/>
    <w:rsid w:val="0029332B"/>
    <w:rsid w:val="00322AD3"/>
    <w:rsid w:val="00330057"/>
    <w:rsid w:val="0034052F"/>
    <w:rsid w:val="003B78CA"/>
    <w:rsid w:val="003C2637"/>
    <w:rsid w:val="00413EDD"/>
    <w:rsid w:val="00463DA6"/>
    <w:rsid w:val="00476CA4"/>
    <w:rsid w:val="005068A4"/>
    <w:rsid w:val="005071FE"/>
    <w:rsid w:val="00507C58"/>
    <w:rsid w:val="00522831"/>
    <w:rsid w:val="0053469A"/>
    <w:rsid w:val="00536737"/>
    <w:rsid w:val="00546DCC"/>
    <w:rsid w:val="00566D38"/>
    <w:rsid w:val="005A1280"/>
    <w:rsid w:val="00670A35"/>
    <w:rsid w:val="006B40A1"/>
    <w:rsid w:val="006D4C85"/>
    <w:rsid w:val="007015E9"/>
    <w:rsid w:val="00704BFF"/>
    <w:rsid w:val="00735740"/>
    <w:rsid w:val="00746BA7"/>
    <w:rsid w:val="00765C7F"/>
    <w:rsid w:val="007701CF"/>
    <w:rsid w:val="00793A9B"/>
    <w:rsid w:val="00794B69"/>
    <w:rsid w:val="007A28ED"/>
    <w:rsid w:val="007C3BFD"/>
    <w:rsid w:val="007D3621"/>
    <w:rsid w:val="007E39EC"/>
    <w:rsid w:val="00812799"/>
    <w:rsid w:val="00812EA7"/>
    <w:rsid w:val="00823400"/>
    <w:rsid w:val="00840CC4"/>
    <w:rsid w:val="008455AE"/>
    <w:rsid w:val="00861F18"/>
    <w:rsid w:val="008E2DE3"/>
    <w:rsid w:val="008E6219"/>
    <w:rsid w:val="00900606"/>
    <w:rsid w:val="00905AF6"/>
    <w:rsid w:val="009256F4"/>
    <w:rsid w:val="009502FD"/>
    <w:rsid w:val="00953E8B"/>
    <w:rsid w:val="009853BF"/>
    <w:rsid w:val="0099442E"/>
    <w:rsid w:val="00994662"/>
    <w:rsid w:val="009E26E3"/>
    <w:rsid w:val="00A054F0"/>
    <w:rsid w:val="00A47641"/>
    <w:rsid w:val="00A5065C"/>
    <w:rsid w:val="00A55253"/>
    <w:rsid w:val="00AD3AB3"/>
    <w:rsid w:val="00B53BFE"/>
    <w:rsid w:val="00B7616B"/>
    <w:rsid w:val="00B86721"/>
    <w:rsid w:val="00B86D9D"/>
    <w:rsid w:val="00BB3008"/>
    <w:rsid w:val="00BD5A2D"/>
    <w:rsid w:val="00BF5626"/>
    <w:rsid w:val="00C35156"/>
    <w:rsid w:val="00C42651"/>
    <w:rsid w:val="00C51232"/>
    <w:rsid w:val="00C67283"/>
    <w:rsid w:val="00CA00A6"/>
    <w:rsid w:val="00CA1E95"/>
    <w:rsid w:val="00D740A2"/>
    <w:rsid w:val="00D833CF"/>
    <w:rsid w:val="00D83A6B"/>
    <w:rsid w:val="00DC1867"/>
    <w:rsid w:val="00DC4661"/>
    <w:rsid w:val="00DF589F"/>
    <w:rsid w:val="00E60A59"/>
    <w:rsid w:val="00E86B69"/>
    <w:rsid w:val="00EE4FBA"/>
    <w:rsid w:val="00F072B6"/>
    <w:rsid w:val="00F21A24"/>
    <w:rsid w:val="00F328D8"/>
    <w:rsid w:val="00FB7884"/>
    <w:rsid w:val="00FF127F"/>
    <w:rsid w:val="0901BE98"/>
    <w:rsid w:val="29139EB3"/>
    <w:rsid w:val="2F59992A"/>
    <w:rsid w:val="300562CD"/>
    <w:rsid w:val="4453989D"/>
    <w:rsid w:val="4769D145"/>
    <w:rsid w:val="49CB4ADF"/>
    <w:rsid w:val="4AEE8E01"/>
    <w:rsid w:val="4EC90ECA"/>
    <w:rsid w:val="55C679F5"/>
    <w:rsid w:val="5AE7AB1C"/>
    <w:rsid w:val="67A5AEA4"/>
    <w:rsid w:val="684A873B"/>
    <w:rsid w:val="6966E6F1"/>
    <w:rsid w:val="71C1C681"/>
    <w:rsid w:val="761381FB"/>
    <w:rsid w:val="79546DF8"/>
    <w:rsid w:val="7DF8CA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DA5C"/>
  <w15:chartTrackingRefBased/>
  <w15:docId w15:val="{FBC6FACC-5EAC-42F3-ADB0-DA49F810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6B"/>
    <w:pPr>
      <w:spacing w:after="0" w:line="240" w:lineRule="auto"/>
    </w:pPr>
    <w:rPr>
      <w:rFonts w:ascii="Times New Roman" w:eastAsia="SimSu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6B"/>
    <w:pPr>
      <w:ind w:left="720"/>
    </w:pPr>
  </w:style>
  <w:style w:type="paragraph" w:styleId="Revision">
    <w:name w:val="Revision"/>
    <w:hidden/>
    <w:uiPriority w:val="99"/>
    <w:semiHidden/>
    <w:rsid w:val="00F072B6"/>
    <w:pPr>
      <w:spacing w:after="0" w:line="240" w:lineRule="auto"/>
    </w:pPr>
    <w:rPr>
      <w:rFonts w:ascii="Times New Roman" w:eastAsia="SimSun" w:hAnsi="Times New Roman" w:cs="Times New Roman"/>
      <w:kern w:val="0"/>
      <w:sz w:val="24"/>
      <w:szCs w:val="24"/>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463DA6"/>
    <w:rPr>
      <w:sz w:val="20"/>
      <w:szCs w:val="20"/>
    </w:rPr>
  </w:style>
  <w:style w:type="character" w:customStyle="1" w:styleId="FootnoteTextChar">
    <w:name w:val="Footnote Text Char"/>
    <w:basedOn w:val="DefaultParagraphFont"/>
    <w:link w:val="FootnoteText"/>
    <w:uiPriority w:val="99"/>
    <w:semiHidden/>
    <w:rsid w:val="00463DA6"/>
    <w:rPr>
      <w:rFonts w:ascii="Times New Roman" w:eastAsia="SimSu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463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6273">
      <w:bodyDiv w:val="1"/>
      <w:marLeft w:val="0"/>
      <w:marRight w:val="0"/>
      <w:marTop w:val="0"/>
      <w:marBottom w:val="0"/>
      <w:divBdr>
        <w:top w:val="none" w:sz="0" w:space="0" w:color="auto"/>
        <w:left w:val="none" w:sz="0" w:space="0" w:color="auto"/>
        <w:bottom w:val="none" w:sz="0" w:space="0" w:color="auto"/>
        <w:right w:val="none" w:sz="0" w:space="0" w:color="auto"/>
      </w:divBdr>
    </w:div>
    <w:div w:id="478036286">
      <w:bodyDiv w:val="1"/>
      <w:marLeft w:val="0"/>
      <w:marRight w:val="0"/>
      <w:marTop w:val="0"/>
      <w:marBottom w:val="0"/>
      <w:divBdr>
        <w:top w:val="none" w:sz="0" w:space="0" w:color="auto"/>
        <w:left w:val="none" w:sz="0" w:space="0" w:color="auto"/>
        <w:bottom w:val="none" w:sz="0" w:space="0" w:color="auto"/>
        <w:right w:val="none" w:sz="0" w:space="0" w:color="auto"/>
      </w:divBdr>
      <w:divsChild>
        <w:div w:id="1421288798">
          <w:marLeft w:val="446"/>
          <w:marRight w:val="0"/>
          <w:marTop w:val="0"/>
          <w:marBottom w:val="0"/>
          <w:divBdr>
            <w:top w:val="none" w:sz="0" w:space="0" w:color="auto"/>
            <w:left w:val="none" w:sz="0" w:space="0" w:color="auto"/>
            <w:bottom w:val="none" w:sz="0" w:space="0" w:color="auto"/>
            <w:right w:val="none" w:sz="0" w:space="0" w:color="auto"/>
          </w:divBdr>
        </w:div>
      </w:divsChild>
    </w:div>
    <w:div w:id="897129297">
      <w:bodyDiv w:val="1"/>
      <w:marLeft w:val="0"/>
      <w:marRight w:val="0"/>
      <w:marTop w:val="0"/>
      <w:marBottom w:val="0"/>
      <w:divBdr>
        <w:top w:val="none" w:sz="0" w:space="0" w:color="auto"/>
        <w:left w:val="none" w:sz="0" w:space="0" w:color="auto"/>
        <w:bottom w:val="none" w:sz="0" w:space="0" w:color="auto"/>
        <w:right w:val="none" w:sz="0" w:space="0" w:color="auto"/>
      </w:divBdr>
      <w:divsChild>
        <w:div w:id="752429617">
          <w:marLeft w:val="446"/>
          <w:marRight w:val="0"/>
          <w:marTop w:val="0"/>
          <w:marBottom w:val="0"/>
          <w:divBdr>
            <w:top w:val="none" w:sz="0" w:space="0" w:color="auto"/>
            <w:left w:val="none" w:sz="0" w:space="0" w:color="auto"/>
            <w:bottom w:val="none" w:sz="0" w:space="0" w:color="auto"/>
            <w:right w:val="none" w:sz="0" w:space="0" w:color="auto"/>
          </w:divBdr>
        </w:div>
      </w:divsChild>
    </w:div>
    <w:div w:id="1453743461">
      <w:bodyDiv w:val="1"/>
      <w:marLeft w:val="0"/>
      <w:marRight w:val="0"/>
      <w:marTop w:val="0"/>
      <w:marBottom w:val="0"/>
      <w:divBdr>
        <w:top w:val="none" w:sz="0" w:space="0" w:color="auto"/>
        <w:left w:val="none" w:sz="0" w:space="0" w:color="auto"/>
        <w:bottom w:val="none" w:sz="0" w:space="0" w:color="auto"/>
        <w:right w:val="none" w:sz="0" w:space="0" w:color="auto"/>
      </w:divBdr>
    </w:div>
    <w:div w:id="1715737076">
      <w:bodyDiv w:val="1"/>
      <w:marLeft w:val="0"/>
      <w:marRight w:val="0"/>
      <w:marTop w:val="0"/>
      <w:marBottom w:val="0"/>
      <w:divBdr>
        <w:top w:val="none" w:sz="0" w:space="0" w:color="auto"/>
        <w:left w:val="none" w:sz="0" w:space="0" w:color="auto"/>
        <w:bottom w:val="none" w:sz="0" w:space="0" w:color="auto"/>
        <w:right w:val="none" w:sz="0" w:space="0" w:color="auto"/>
      </w:divBdr>
      <w:divsChild>
        <w:div w:id="928269589">
          <w:marLeft w:val="446"/>
          <w:marRight w:val="0"/>
          <w:marTop w:val="0"/>
          <w:marBottom w:val="0"/>
          <w:divBdr>
            <w:top w:val="none" w:sz="0" w:space="0" w:color="auto"/>
            <w:left w:val="none" w:sz="0" w:space="0" w:color="auto"/>
            <w:bottom w:val="none" w:sz="0" w:space="0" w:color="auto"/>
            <w:right w:val="none" w:sz="0" w:space="0" w:color="auto"/>
          </w:divBdr>
        </w:div>
      </w:divsChild>
    </w:div>
    <w:div w:id="17894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2024-02-05T21:41:45+00:00</_EndDate>
    <StartDate xmlns="http://schemas.microsoft.com/sharepoint/v3">2024-02-05T21:41:45+00:00</StartDate>
    <Location xmlns="http://schemas.microsoft.com/sharepoint/v3/fields" xsi:nil="true"/>
    <Meeting_x0020_Type xmlns="734dc620-9a3c-4363-b6b2-552d0a5c0ad8" xsi:nil="true"/>
    <DocumentSetDescription xmlns="http://schemas.microsoft.com/sharepoint/v3" xsi:nil="true"/>
  </documentManagement>
</p:properties>
</file>

<file path=customXml/itemProps1.xml><?xml version="1.0" encoding="utf-8"?>
<ds:datastoreItem xmlns:ds="http://schemas.openxmlformats.org/officeDocument/2006/customXml" ds:itemID="{B9353486-8B2D-407D-A84E-A4564AC74E28}">
  <ds:schemaRefs>
    <ds:schemaRef ds:uri="http://schemas.microsoft.com/sharepoint/v3/contenttype/forms"/>
  </ds:schemaRefs>
</ds:datastoreItem>
</file>

<file path=customXml/itemProps2.xml><?xml version="1.0" encoding="utf-8"?>
<ds:datastoreItem xmlns:ds="http://schemas.openxmlformats.org/officeDocument/2006/customXml" ds:itemID="{A8DFCA89-6475-48C9-B086-01B77777183C}">
  <ds:schemaRefs>
    <ds:schemaRef ds:uri="http://schemas.openxmlformats.org/officeDocument/2006/bibliography"/>
  </ds:schemaRefs>
</ds:datastoreItem>
</file>

<file path=customXml/itemProps3.xml><?xml version="1.0" encoding="utf-8"?>
<ds:datastoreItem xmlns:ds="http://schemas.openxmlformats.org/officeDocument/2006/customXml" ds:itemID="{009D835F-F854-4C6B-9F1E-FA5B912AA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804E8-31FF-4EEC-9AE2-260BDB3B17A9}">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3149</Characters>
  <Application>Microsoft Office Word</Application>
  <DocSecurity>0</DocSecurity>
  <Lines>26</Lines>
  <Paragraphs>7</Paragraphs>
  <ScaleCrop>false</ScaleCrop>
  <Company>TDI</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Ugo De Gobbi</dc:creator>
  <cp:keywords/>
  <dc:description/>
  <cp:lastModifiedBy>O'Neal, Scott</cp:lastModifiedBy>
  <cp:revision>5</cp:revision>
  <dcterms:created xsi:type="dcterms:W3CDTF">2024-03-28T18:36:00Z</dcterms:created>
  <dcterms:modified xsi:type="dcterms:W3CDTF">2024-04-03T17:54:00Z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y fmtid="{D5CDD505-2E9C-101B-9397-08002B2CF9AE}" pid="4" name="MSIP_Label_dca07537-3519-4758-a98c-68d0ae03748e_Enabled">
    <vt:lpwstr>true</vt:lpwstr>
  </property>
  <property fmtid="{D5CDD505-2E9C-101B-9397-08002B2CF9AE}" pid="5" name="MSIP_Label_dca07537-3519-4758-a98c-68d0ae03748e_SetDate">
    <vt:lpwstr>2024-03-25T15:31:11Z</vt:lpwstr>
  </property>
  <property fmtid="{D5CDD505-2E9C-101B-9397-08002B2CF9AE}" pid="6" name="MSIP_Label_dca07537-3519-4758-a98c-68d0ae03748e_Method">
    <vt:lpwstr>Standard</vt:lpwstr>
  </property>
  <property fmtid="{D5CDD505-2E9C-101B-9397-08002B2CF9AE}" pid="7" name="MSIP_Label_dca07537-3519-4758-a98c-68d0ae03748e_Name">
    <vt:lpwstr>Internal Use</vt:lpwstr>
  </property>
  <property fmtid="{D5CDD505-2E9C-101B-9397-08002B2CF9AE}" pid="8" name="MSIP_Label_dca07537-3519-4758-a98c-68d0ae03748e_SiteId">
    <vt:lpwstr>e5bd3c32-3235-4c1d-a4e2-80e86c8cc2e7</vt:lpwstr>
  </property>
  <property fmtid="{D5CDD505-2E9C-101B-9397-08002B2CF9AE}" pid="9" name="MSIP_Label_dca07537-3519-4758-a98c-68d0ae03748e_ActionId">
    <vt:lpwstr>3fcb658b-fcfd-4ac4-a02f-548ddec43ea8</vt:lpwstr>
  </property>
  <property fmtid="{D5CDD505-2E9C-101B-9397-08002B2CF9AE}" pid="10" name="MSIP_Label_dca07537-3519-4758-a98c-68d0ae03748e_ContentBits">
    <vt:lpwstr>0</vt:lpwstr>
  </property>
</Properties>
</file>