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6B6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35630A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E3D7BC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D724E3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BB0F3A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1171AEA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7DA802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521377E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B3FFA37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A68EAD2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8A3E33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345016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A26C72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20F658C" w14:textId="295482B3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Life Actuarial (A) Task Force/ Health Actuarial (B) Task Force</w:t>
      </w:r>
    </w:p>
    <w:p w14:paraId="23B74C61" w14:textId="77777777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Amendment Proposal Form*</w:t>
      </w:r>
    </w:p>
    <w:p w14:paraId="49F9F8A3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15C45611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>1.</w:t>
      </w:r>
      <w:r w:rsidRPr="007E39EC">
        <w:rPr>
          <w:sz w:val="22"/>
          <w:szCs w:val="22"/>
        </w:rPr>
        <w:tab/>
        <w:t>Identify yourself, your affiliation, and a very brief description (title) of the issue.</w:t>
      </w:r>
    </w:p>
    <w:p w14:paraId="28267D47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67A0E1FC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Identification:</w:t>
      </w:r>
    </w:p>
    <w:p w14:paraId="220A6E8B" w14:textId="01BB0ED3" w:rsidR="00D83A6B" w:rsidRPr="007E39EC" w:rsidRDefault="00F328D8" w:rsidP="00D83A6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ACLI and </w:t>
      </w:r>
      <w:r w:rsidR="00086496" w:rsidRPr="007E39EC">
        <w:rPr>
          <w:sz w:val="22"/>
          <w:szCs w:val="22"/>
        </w:rPr>
        <w:t>Rachel Hemphill</w:t>
      </w:r>
      <w:r w:rsidR="00D83A6B" w:rsidRPr="007E39EC">
        <w:rPr>
          <w:sz w:val="22"/>
          <w:szCs w:val="22"/>
        </w:rPr>
        <w:t>, Texas Department of Insurance</w:t>
      </w:r>
    </w:p>
    <w:p w14:paraId="053F96DA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ab/>
      </w:r>
    </w:p>
    <w:p w14:paraId="738AE031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Title of the Issue:</w:t>
      </w:r>
    </w:p>
    <w:p w14:paraId="31C79E14" w14:textId="598763D1" w:rsidR="00D83A6B" w:rsidRPr="007E39EC" w:rsidRDefault="00812799" w:rsidP="00D83A6B">
      <w:pPr>
        <w:ind w:left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Minimum reserve requirements for deposit-type contracts</w:t>
      </w:r>
      <w:r w:rsidR="67A5AEA4" w:rsidRPr="007E39EC">
        <w:rPr>
          <w:sz w:val="22"/>
          <w:szCs w:val="22"/>
        </w:rPr>
        <w:t xml:space="preserve"> with pre-defined cash flows and no </w:t>
      </w:r>
      <w:r w:rsidR="00B23716">
        <w:rPr>
          <w:sz w:val="22"/>
          <w:szCs w:val="22"/>
        </w:rPr>
        <w:t xml:space="preserve">withdrawal permitted </w:t>
      </w:r>
      <w:r w:rsidR="67A5AEA4" w:rsidRPr="007E39EC">
        <w:rPr>
          <w:sz w:val="22"/>
          <w:szCs w:val="22"/>
        </w:rPr>
        <w:t>that are not in scope of VM-22</w:t>
      </w:r>
      <w:r w:rsidR="00D83A6B" w:rsidRPr="007E39EC">
        <w:rPr>
          <w:sz w:val="22"/>
          <w:szCs w:val="22"/>
        </w:rPr>
        <w:t xml:space="preserve">.  </w:t>
      </w:r>
    </w:p>
    <w:p w14:paraId="52083CDB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2113845D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2.</w:t>
      </w:r>
      <w:r w:rsidRPr="007E39EC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4C99F5B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</w:p>
    <w:p w14:paraId="5D103FA9" w14:textId="3E2BE79E" w:rsidR="00D833CF" w:rsidRPr="007E39EC" w:rsidRDefault="007E39EC" w:rsidP="761381FB">
      <w:pPr>
        <w:spacing w:line="264" w:lineRule="auto"/>
        <w:ind w:left="360" w:firstLine="360"/>
        <w:contextualSpacing/>
        <w:jc w:val="both"/>
        <w:rPr>
          <w:rFonts w:eastAsiaTheme="minorEastAsia"/>
          <w:sz w:val="22"/>
          <w:szCs w:val="22"/>
        </w:rPr>
      </w:pPr>
      <w:r w:rsidRPr="007E39EC">
        <w:rPr>
          <w:sz w:val="22"/>
          <w:szCs w:val="22"/>
        </w:rPr>
        <w:t>January 1, 2024</w:t>
      </w:r>
      <w:r>
        <w:rPr>
          <w:sz w:val="22"/>
          <w:szCs w:val="22"/>
        </w:rPr>
        <w:t>,</w:t>
      </w:r>
      <w:r w:rsidRPr="007E39EC">
        <w:rPr>
          <w:sz w:val="22"/>
          <w:szCs w:val="22"/>
        </w:rPr>
        <w:t xml:space="preserve"> NAIC </w:t>
      </w:r>
      <w:r w:rsidR="300562CD" w:rsidRPr="007E39EC">
        <w:rPr>
          <w:sz w:val="22"/>
          <w:szCs w:val="22"/>
        </w:rPr>
        <w:t xml:space="preserve">Valuation Manual, II. Reserve Requirements, </w:t>
      </w:r>
      <w:r w:rsidR="00D833CF" w:rsidRPr="007E39EC">
        <w:rPr>
          <w:sz w:val="22"/>
          <w:szCs w:val="22"/>
        </w:rPr>
        <w:t xml:space="preserve">Subsection 3: Deposit-Type Contracts </w:t>
      </w:r>
    </w:p>
    <w:p w14:paraId="427F9D40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34C06BEE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3.</w:t>
      </w:r>
      <w:r w:rsidRPr="007E39EC">
        <w:rPr>
          <w:sz w:val="22"/>
          <w:szCs w:val="22"/>
        </w:rPr>
        <w:tab/>
        <w:t>Show what changes are needed by providing a red-line version of the original verbiage with deletions and identify the verbiage to be deleted, inserted, or changed by providing a red-line (turn on “track changes” in Word®) version of the verbiage. (You may do this through an attachment.)</w:t>
      </w:r>
    </w:p>
    <w:p w14:paraId="54F94E78" w14:textId="77777777" w:rsidR="00D83A6B" w:rsidRPr="007E39EC" w:rsidRDefault="00D83A6B" w:rsidP="00D83A6B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8DB8CD6" w14:textId="42AC87BF" w:rsidR="00CA00A6" w:rsidRDefault="4769D145" w:rsidP="761381FB">
      <w:pPr>
        <w:spacing w:line="264" w:lineRule="auto"/>
        <w:ind w:left="360" w:firstLine="360"/>
        <w:contextualSpacing/>
        <w:jc w:val="both"/>
        <w:rPr>
          <w:b/>
          <w:bCs/>
          <w:sz w:val="22"/>
          <w:szCs w:val="22"/>
        </w:rPr>
      </w:pPr>
      <w:bookmarkStart w:id="0" w:name="_Hlk165641564"/>
      <w:r w:rsidRPr="007E39EC">
        <w:rPr>
          <w:b/>
          <w:bCs/>
          <w:sz w:val="22"/>
          <w:szCs w:val="22"/>
        </w:rPr>
        <w:t xml:space="preserve">Subsection 3: Deposit-Type Contracts </w:t>
      </w:r>
    </w:p>
    <w:p w14:paraId="6560D8C3" w14:textId="77777777" w:rsidR="00B23716" w:rsidRPr="007E39EC" w:rsidRDefault="00B23716" w:rsidP="761381FB">
      <w:pPr>
        <w:spacing w:line="264" w:lineRule="auto"/>
        <w:ind w:left="360" w:firstLine="360"/>
        <w:contextualSpacing/>
        <w:jc w:val="both"/>
        <w:rPr>
          <w:rFonts w:eastAsiaTheme="minorEastAsia"/>
          <w:b/>
          <w:bCs/>
          <w:sz w:val="22"/>
          <w:szCs w:val="22"/>
        </w:rPr>
      </w:pPr>
    </w:p>
    <w:p w14:paraId="27218CA8" w14:textId="77777777" w:rsidR="00CA00A6" w:rsidRDefault="4769D145" w:rsidP="007E39EC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rFonts w:eastAsia="Times New Roman"/>
          <w:sz w:val="22"/>
          <w:szCs w:val="22"/>
        </w:rPr>
      </w:pPr>
      <w:r w:rsidRPr="007E39EC">
        <w:rPr>
          <w:sz w:val="22"/>
          <w:szCs w:val="22"/>
        </w:rPr>
        <w:t>This subsection establishes reserve requirements for all contracts classified as deposit-type contracts defined in SSAP No. 50 in the AP&amp;P</w:t>
      </w:r>
      <w:r w:rsidRPr="007E39EC">
        <w:rPr>
          <w:rFonts w:eastAsia="Times New Roman"/>
          <w:sz w:val="22"/>
          <w:szCs w:val="22"/>
        </w:rPr>
        <w:t xml:space="preserve"> Manual. </w:t>
      </w:r>
    </w:p>
    <w:p w14:paraId="70925A3C" w14:textId="54ABC487" w:rsidR="0018549D" w:rsidRPr="00C555D1" w:rsidRDefault="00C555D1" w:rsidP="00CA1E95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</w:rPr>
      </w:pPr>
      <w:r>
        <w:rPr>
          <w:rFonts w:eastAsia="Times New Roman"/>
          <w:sz w:val="22"/>
          <w:szCs w:val="22"/>
        </w:rPr>
        <w:t>Mi</w:t>
      </w:r>
      <w:r w:rsidR="4769D145" w:rsidRPr="007701CF">
        <w:rPr>
          <w:rFonts w:eastAsia="Times New Roman"/>
          <w:sz w:val="22"/>
          <w:szCs w:val="22"/>
        </w:rPr>
        <w:t xml:space="preserve">nimum reserve requirements </w:t>
      </w:r>
      <w:r w:rsidR="4769D145" w:rsidRPr="00B23716">
        <w:rPr>
          <w:rFonts w:eastAsia="Times New Roman"/>
          <w:sz w:val="22"/>
          <w:szCs w:val="22"/>
        </w:rPr>
        <w:t xml:space="preserve">for deposit-type contracts </w:t>
      </w:r>
      <w:r w:rsidR="4769D145" w:rsidRPr="007701CF">
        <w:rPr>
          <w:rFonts w:eastAsia="Times New Roman"/>
          <w:sz w:val="22"/>
          <w:szCs w:val="22"/>
        </w:rPr>
        <w:t>are those requirements as found in VM-A, VM-C and VM-22, as applicable.</w:t>
      </w:r>
      <w:r w:rsidR="00CA1E95">
        <w:rPr>
          <w:rFonts w:eastAsia="Times New Roman"/>
          <w:sz w:val="22"/>
          <w:szCs w:val="22"/>
        </w:rPr>
        <w:t xml:space="preserve">  </w:t>
      </w:r>
    </w:p>
    <w:p w14:paraId="4FF83559" w14:textId="03CEEEFB" w:rsidR="00C555D1" w:rsidRPr="000D77B3" w:rsidRDefault="00E45F03" w:rsidP="00C555D1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bookmarkStart w:id="1" w:name="_Hlk165641342"/>
      <w:r w:rsidRPr="00E45F03">
        <w:rPr>
          <w:color w:val="FF0000"/>
          <w:sz w:val="22"/>
          <w:szCs w:val="22"/>
          <w:u w:val="single"/>
        </w:rPr>
        <w:t xml:space="preserve">For deposit-type contracts with pre-defined cash flows and no withdrawal permitted prior to the contract maturity date that are not in scope of VM-22, the company </w:t>
      </w:r>
      <w:r w:rsidRPr="000D77B3">
        <w:rPr>
          <w:color w:val="FF0000"/>
          <w:sz w:val="22"/>
          <w:szCs w:val="22"/>
          <w:u w:val="single"/>
        </w:rPr>
        <w:t xml:space="preserve">may elect to </w:t>
      </w:r>
      <w:r w:rsidR="005B58AA" w:rsidRPr="000D77B3">
        <w:rPr>
          <w:color w:val="FF0000"/>
          <w:sz w:val="22"/>
          <w:szCs w:val="22"/>
          <w:u w:val="single"/>
        </w:rPr>
        <w:t xml:space="preserve">consistently </w:t>
      </w:r>
      <w:r w:rsidRPr="000D77B3">
        <w:rPr>
          <w:color w:val="FF0000"/>
          <w:sz w:val="22"/>
          <w:szCs w:val="22"/>
          <w:u w:val="single"/>
        </w:rPr>
        <w:t xml:space="preserve">determine statutory maximum valuation rates with the following adjustments </w:t>
      </w:r>
      <w:r w:rsidR="00643F09" w:rsidRPr="000D77B3">
        <w:rPr>
          <w:color w:val="FF0000"/>
          <w:sz w:val="22"/>
          <w:szCs w:val="22"/>
          <w:u w:val="single"/>
        </w:rPr>
        <w:t xml:space="preserve">to </w:t>
      </w:r>
      <w:r w:rsidRPr="000D77B3">
        <w:rPr>
          <w:color w:val="FF0000"/>
          <w:sz w:val="22"/>
          <w:szCs w:val="22"/>
          <w:u w:val="single"/>
        </w:rPr>
        <w:t>the requirements found in Model #820</w:t>
      </w:r>
      <w:r w:rsidR="00C555D1" w:rsidRPr="000D77B3">
        <w:rPr>
          <w:rFonts w:eastAsia="Times New Roman"/>
          <w:color w:val="FF0000"/>
          <w:sz w:val="22"/>
          <w:szCs w:val="22"/>
          <w:u w:val="single"/>
        </w:rPr>
        <w:t xml:space="preserve">:  </w:t>
      </w:r>
    </w:p>
    <w:p w14:paraId="00237718" w14:textId="1DBD8E96" w:rsidR="00C555D1" w:rsidRPr="000D77B3" w:rsidRDefault="00E45F03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statutory maximum valuation rate shall be determined </w:t>
      </w:r>
      <w:proofErr w:type="gramStart"/>
      <w:r w:rsidR="00A715C2" w:rsidRPr="000D77B3">
        <w:rPr>
          <w:color w:val="FF0000"/>
          <w:sz w:val="22"/>
          <w:szCs w:val="22"/>
          <w:u w:val="single"/>
        </w:rPr>
        <w:t>monthly</w:t>
      </w:r>
      <w:r w:rsidRPr="000D77B3">
        <w:rPr>
          <w:color w:val="FF0000"/>
          <w:sz w:val="22"/>
          <w:szCs w:val="22"/>
          <w:u w:val="single"/>
        </w:rPr>
        <w:t>;</w:t>
      </w:r>
      <w:proofErr w:type="gramEnd"/>
    </w:p>
    <w:p w14:paraId="6B9C8C70" w14:textId="4BDDCAA2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reference rate shall be defined as the monthly average of the composite yield on seasoned corporate bonds, as published by Moody’s Investors Service, Inc., for the month </w:t>
      </w:r>
      <w:r w:rsidR="005B58AA" w:rsidRPr="000D77B3">
        <w:rPr>
          <w:color w:val="FF0000"/>
          <w:sz w:val="22"/>
          <w:szCs w:val="22"/>
          <w:u w:val="single"/>
        </w:rPr>
        <w:t>prior to</w:t>
      </w:r>
      <w:r w:rsidRPr="000D77B3">
        <w:rPr>
          <w:color w:val="FF0000"/>
          <w:sz w:val="22"/>
          <w:szCs w:val="22"/>
          <w:u w:val="single"/>
        </w:rPr>
        <w:t xml:space="preserve"> contract issue</w:t>
      </w:r>
      <w:r w:rsidR="00E45F03" w:rsidRPr="000D77B3">
        <w:rPr>
          <w:color w:val="FF0000"/>
          <w:sz w:val="22"/>
          <w:szCs w:val="22"/>
          <w:u w:val="single"/>
        </w:rPr>
        <w:t>; and</w:t>
      </w:r>
    </w:p>
    <w:p w14:paraId="6FC491C8" w14:textId="77777777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statutory maximum valuation rate shall be rounded to the nearest one-hundredth of one percent (1/100 of 1%).</w:t>
      </w:r>
    </w:p>
    <w:p w14:paraId="539B8613" w14:textId="1EED372C" w:rsidR="00C555D1" w:rsidRDefault="00C555D1" w:rsidP="00C555D1">
      <w:p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company [shall notify / must receive approval from</w:t>
      </w:r>
      <w:r w:rsidR="00E45F03" w:rsidRPr="000D77B3">
        <w:rPr>
          <w:color w:val="FF0000"/>
          <w:sz w:val="22"/>
          <w:szCs w:val="22"/>
          <w:u w:val="single"/>
        </w:rPr>
        <w:t>]</w:t>
      </w:r>
      <w:r w:rsidRPr="000D77B3">
        <w:rPr>
          <w:color w:val="FF0000"/>
          <w:sz w:val="22"/>
          <w:szCs w:val="22"/>
          <w:u w:val="single"/>
        </w:rPr>
        <w:t xml:space="preserve"> the Commissioner of the state of domicile before making such an election. </w:t>
      </w:r>
      <w:r w:rsidR="005B58AA" w:rsidRPr="000D77B3">
        <w:rPr>
          <w:color w:val="FF0000"/>
          <w:sz w:val="22"/>
          <w:szCs w:val="22"/>
          <w:u w:val="single"/>
        </w:rPr>
        <w:t>Such an election may be made for contracts issued on or after Jan. 1, 2025</w:t>
      </w:r>
      <w:r w:rsidR="0000129D" w:rsidRPr="000D77B3">
        <w:rPr>
          <w:color w:val="FF0000"/>
          <w:sz w:val="22"/>
          <w:szCs w:val="22"/>
          <w:u w:val="single"/>
        </w:rPr>
        <w:t>,</w:t>
      </w:r>
      <w:r w:rsidR="005B58AA" w:rsidRPr="000D77B3">
        <w:rPr>
          <w:color w:val="FF0000"/>
          <w:sz w:val="22"/>
          <w:szCs w:val="22"/>
          <w:u w:val="single"/>
        </w:rPr>
        <w:t xml:space="preserve"> or</w:t>
      </w:r>
      <w:r w:rsidR="0029691A" w:rsidRPr="000D77B3">
        <w:rPr>
          <w:color w:val="FF0000"/>
          <w:sz w:val="22"/>
          <w:szCs w:val="22"/>
          <w:u w:val="single"/>
        </w:rPr>
        <w:t xml:space="preserve"> for contracts issued</w:t>
      </w:r>
      <w:r w:rsidR="005B58AA" w:rsidRPr="000D77B3">
        <w:rPr>
          <w:color w:val="FF0000"/>
          <w:sz w:val="22"/>
          <w:szCs w:val="22"/>
          <w:u w:val="single"/>
        </w:rPr>
        <w:t xml:space="preserve"> on or after the operative date of the Valuation Manual, but o</w:t>
      </w:r>
      <w:r w:rsidRPr="000D77B3">
        <w:rPr>
          <w:color w:val="FF0000"/>
          <w:sz w:val="22"/>
          <w:szCs w:val="22"/>
          <w:u w:val="single"/>
        </w:rPr>
        <w:t xml:space="preserve">nce a company </w:t>
      </w:r>
      <w:r w:rsidRPr="000D77B3">
        <w:rPr>
          <w:color w:val="FF0000"/>
          <w:sz w:val="22"/>
          <w:szCs w:val="22"/>
          <w:u w:val="single"/>
        </w:rPr>
        <w:lastRenderedPageBreak/>
        <w:t>has made such an election, the company shall continue to determine statutory maximum valuation rates using the same methodology for future valuations.</w:t>
      </w:r>
      <w:bookmarkEnd w:id="1"/>
    </w:p>
    <w:bookmarkEnd w:id="0"/>
    <w:p w14:paraId="47D1CF90" w14:textId="77777777" w:rsidR="00A054F0" w:rsidRPr="00E45F03" w:rsidRDefault="00A054F0" w:rsidP="00E45F03">
      <w:pPr>
        <w:spacing w:line="264" w:lineRule="auto"/>
        <w:contextualSpacing/>
        <w:jc w:val="both"/>
        <w:rPr>
          <w:color w:val="FF0000"/>
          <w:sz w:val="22"/>
          <w:szCs w:val="22"/>
        </w:rPr>
      </w:pPr>
    </w:p>
    <w:p w14:paraId="7CD65DE9" w14:textId="5CADE86F" w:rsidR="00D83A6B" w:rsidRDefault="000B2AB3" w:rsidP="00D83A6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83A6B" w:rsidRPr="007E39EC">
        <w:rPr>
          <w:sz w:val="22"/>
          <w:szCs w:val="22"/>
        </w:rPr>
        <w:tab/>
        <w:t>State the reason for the proposed amendment</w:t>
      </w:r>
      <w:r w:rsidR="00BD5A2D" w:rsidRPr="007E39EC">
        <w:rPr>
          <w:sz w:val="22"/>
          <w:szCs w:val="22"/>
        </w:rPr>
        <w:t>.</w:t>
      </w:r>
      <w:r w:rsidR="00D83A6B" w:rsidRPr="007E39EC">
        <w:rPr>
          <w:sz w:val="22"/>
          <w:szCs w:val="22"/>
        </w:rPr>
        <w:t xml:space="preserve"> (You may do this through an attachment.)</w:t>
      </w:r>
    </w:p>
    <w:p w14:paraId="5D3B240C" w14:textId="77777777" w:rsidR="007E39EC" w:rsidRPr="007E39EC" w:rsidRDefault="007E39EC" w:rsidP="00D83A6B">
      <w:pPr>
        <w:jc w:val="both"/>
        <w:rPr>
          <w:sz w:val="22"/>
          <w:szCs w:val="22"/>
        </w:rPr>
      </w:pPr>
    </w:p>
    <w:p w14:paraId="5F98F47F" w14:textId="63AA04D3" w:rsidR="0078637D" w:rsidRPr="00B23716" w:rsidRDefault="0078637D" w:rsidP="0078637D">
      <w:pPr>
        <w:ind w:left="720"/>
        <w:jc w:val="both"/>
        <w:rPr>
          <w:sz w:val="22"/>
          <w:szCs w:val="22"/>
        </w:rPr>
      </w:pPr>
      <w:r w:rsidRPr="00B23716">
        <w:rPr>
          <w:b/>
          <w:bCs/>
          <w:sz w:val="22"/>
          <w:szCs w:val="22"/>
        </w:rPr>
        <w:t>Current Methodology</w:t>
      </w:r>
    </w:p>
    <w:p w14:paraId="11F9117C" w14:textId="6A7E9F39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The valuation rate is determined annually and applied on a calendar year basis.</w:t>
      </w:r>
    </w:p>
    <w:p w14:paraId="36769C3A" w14:textId="5E11BE7A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It is based on an annual average of interest rates ending on 6/30 of the issue year:</w:t>
      </w:r>
      <w:r w:rsidRPr="00B23716">
        <w:rPr>
          <w:sz w:val="22"/>
          <w:szCs w:val="22"/>
        </w:rPr>
        <w:br/>
        <w:t>Val Rate = 3% + Weight x (Reference Rate – 3%), rounded to the nearest 25bps, where:</w:t>
      </w:r>
    </w:p>
    <w:p w14:paraId="2CFA7127" w14:textId="1C90657A" w:rsidR="0078637D" w:rsidRPr="00B23716" w:rsidRDefault="0078637D" w:rsidP="0078637D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 xml:space="preserve">Weight is based on </w:t>
      </w:r>
      <w:r w:rsidR="00BF6A3C" w:rsidRPr="00B23716">
        <w:rPr>
          <w:sz w:val="22"/>
          <w:szCs w:val="22"/>
        </w:rPr>
        <w:t>Plan Type, duration, reserve basis, presence of a future interest guarantee</w:t>
      </w:r>
      <w:r w:rsidRPr="00B23716">
        <w:rPr>
          <w:sz w:val="22"/>
          <w:szCs w:val="22"/>
        </w:rPr>
        <w:t>.</w:t>
      </w:r>
    </w:p>
    <w:p w14:paraId="09E8A3A7" w14:textId="6389D602" w:rsidR="0078637D" w:rsidRPr="00B23716" w:rsidRDefault="0078637D" w:rsidP="00D049DC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>Reference Rate is the average over a period of twelve (12) months, ending on June 30 of the calendar year of issue or purchase, of the MOODCAVG</w:t>
      </w:r>
      <w:r w:rsidR="000D77B3">
        <w:rPr>
          <w:sz w:val="22"/>
          <w:szCs w:val="22"/>
        </w:rPr>
        <w:t>.</w:t>
      </w:r>
    </w:p>
    <w:p w14:paraId="47E4DFB1" w14:textId="77777777" w:rsidR="0078637D" w:rsidRDefault="0078637D" w:rsidP="00C555D1">
      <w:pPr>
        <w:rPr>
          <w:b/>
          <w:bCs/>
          <w:sz w:val="22"/>
          <w:szCs w:val="22"/>
        </w:rPr>
      </w:pPr>
    </w:p>
    <w:p w14:paraId="324CEC3D" w14:textId="496A524B" w:rsidR="00101753" w:rsidRPr="007E39EC" w:rsidRDefault="00101753" w:rsidP="007E39EC">
      <w:pPr>
        <w:ind w:left="720"/>
        <w:rPr>
          <w:sz w:val="22"/>
          <w:szCs w:val="22"/>
        </w:rPr>
      </w:pPr>
      <w:r w:rsidRPr="007E39EC">
        <w:rPr>
          <w:b/>
          <w:bCs/>
          <w:sz w:val="22"/>
          <w:szCs w:val="22"/>
        </w:rPr>
        <w:t>Rationale</w:t>
      </w:r>
    </w:p>
    <w:p w14:paraId="4C0F9CA0" w14:textId="3CFA25D3" w:rsidR="00101753" w:rsidRDefault="0010175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 xml:space="preserve">The </w:t>
      </w:r>
      <w:r w:rsidR="00E45F03">
        <w:rPr>
          <w:sz w:val="22"/>
          <w:szCs w:val="22"/>
        </w:rPr>
        <w:t>monthly average rate</w:t>
      </w:r>
      <w:r w:rsidRPr="007E39EC">
        <w:rPr>
          <w:sz w:val="22"/>
          <w:szCs w:val="22"/>
        </w:rPr>
        <w:t xml:space="preserve"> better aligns with the yield on available assets and the interest rate environment at issue</w:t>
      </w:r>
      <w:r w:rsidR="71C1C681" w:rsidRPr="007E39EC">
        <w:rPr>
          <w:sz w:val="22"/>
          <w:szCs w:val="22"/>
        </w:rPr>
        <w:t xml:space="preserve"> than the current </w:t>
      </w:r>
      <w:r w:rsidR="0901BE98" w:rsidRPr="007E39EC">
        <w:rPr>
          <w:sz w:val="22"/>
          <w:szCs w:val="22"/>
        </w:rPr>
        <w:t xml:space="preserve">valuation </w:t>
      </w:r>
      <w:r w:rsidR="71C1C681" w:rsidRPr="007E39EC">
        <w:rPr>
          <w:sz w:val="22"/>
          <w:szCs w:val="22"/>
        </w:rPr>
        <w:t xml:space="preserve">rate, which utilizes </w:t>
      </w:r>
      <w:r w:rsidR="2F59992A" w:rsidRPr="007E39EC">
        <w:rPr>
          <w:sz w:val="22"/>
          <w:szCs w:val="22"/>
        </w:rPr>
        <w:t>as the Ref</w:t>
      </w:r>
      <w:r w:rsidR="29139EB3" w:rsidRPr="007E39EC">
        <w:rPr>
          <w:sz w:val="22"/>
          <w:szCs w:val="22"/>
        </w:rPr>
        <w:t>e</w:t>
      </w:r>
      <w:r w:rsidR="2F59992A" w:rsidRPr="007E39EC">
        <w:rPr>
          <w:sz w:val="22"/>
          <w:szCs w:val="22"/>
        </w:rPr>
        <w:t xml:space="preserve">rence Rate </w:t>
      </w:r>
      <w:r w:rsidR="71C1C681" w:rsidRPr="007E39EC">
        <w:rPr>
          <w:sz w:val="22"/>
          <w:szCs w:val="22"/>
        </w:rPr>
        <w:t>a twelve-month rolling average of the MOODCAVG ending on June 30 of the calendar year of issue</w:t>
      </w:r>
      <w:r w:rsidRPr="007E39EC">
        <w:rPr>
          <w:sz w:val="22"/>
          <w:szCs w:val="22"/>
        </w:rPr>
        <w:t xml:space="preserve">. </w:t>
      </w:r>
    </w:p>
    <w:p w14:paraId="74B32273" w14:textId="5E7EC54F" w:rsidR="00E45F03" w:rsidRPr="007E39EC" w:rsidRDefault="00E45F0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The monthly average rate is publicly available.</w:t>
      </w:r>
    </w:p>
    <w:p w14:paraId="5FC4AFB2" w14:textId="0B14F02A" w:rsidR="6966E6F1" w:rsidRPr="007E39EC" w:rsidRDefault="00CC6BD4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The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>
        <w:rPr>
          <w:rFonts w:eastAsia="Times New Roman"/>
          <w:color w:val="000000" w:themeColor="text1"/>
          <w:sz w:val="22"/>
          <w:szCs w:val="22"/>
        </w:rPr>
        <w:t>ontracts</w:t>
      </w:r>
      <w:r w:rsidR="6966E6F1" w:rsidRPr="4AEE8E01">
        <w:rPr>
          <w:rFonts w:eastAsia="Times New Roman"/>
          <w:color w:val="000000" w:themeColor="text1"/>
          <w:sz w:val="22"/>
          <w:szCs w:val="22"/>
        </w:rPr>
        <w:t xml:space="preserve"> are typically issued in a large size on a single day.</w:t>
      </w:r>
    </w:p>
    <w:p w14:paraId="737F9401" w14:textId="18089B1C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4AEE8E01">
        <w:rPr>
          <w:rFonts w:eastAsia="Times New Roman"/>
          <w:color w:val="000000" w:themeColor="text1"/>
          <w:sz w:val="22"/>
          <w:szCs w:val="22"/>
        </w:rPr>
        <w:t>Statutory reserve valuation rate is not known for the first half of the year.</w:t>
      </w:r>
      <w:r>
        <w:tab/>
      </w:r>
      <w:r>
        <w:tab/>
      </w:r>
    </w:p>
    <w:p w14:paraId="3407CAB1" w14:textId="72C9AF22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Does not result in appropriate valuation rates when there </w:t>
      </w:r>
      <w:r w:rsidR="5AE7AB1C" w:rsidRPr="007E39EC">
        <w:rPr>
          <w:rFonts w:eastAsia="Times New Roman"/>
          <w:color w:val="000000" w:themeColor="text1"/>
          <w:sz w:val="22"/>
          <w:szCs w:val="22"/>
        </w:rPr>
        <w:t>is</w:t>
      </w:r>
      <w:r w:rsidRPr="007E39EC">
        <w:rPr>
          <w:rFonts w:eastAsia="Times New Roman"/>
          <w:color w:val="000000" w:themeColor="text1"/>
          <w:sz w:val="22"/>
          <w:szCs w:val="22"/>
        </w:rPr>
        <w:t xml:space="preserve"> significant movement in interest rates. </w:t>
      </w:r>
    </w:p>
    <w:p w14:paraId="25602226" w14:textId="3D4E2179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Insurance companies can find it challenging to generate sufficient returns on new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 w:rsidR="00CC6BD4">
        <w:rPr>
          <w:rFonts w:eastAsia="Times New Roman"/>
          <w:color w:val="000000" w:themeColor="text1"/>
          <w:sz w:val="22"/>
          <w:szCs w:val="22"/>
        </w:rPr>
        <w:t>ontracts</w:t>
      </w:r>
      <w:r w:rsidR="007C3BFD" w:rsidRPr="007E39E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E39EC">
        <w:rPr>
          <w:rFonts w:eastAsia="Times New Roman"/>
          <w:color w:val="000000" w:themeColor="text1"/>
          <w:sz w:val="22"/>
          <w:szCs w:val="22"/>
        </w:rPr>
        <w:t>in the current market to cover the higher regulatory reserve requirements.</w:t>
      </w:r>
    </w:p>
    <w:p w14:paraId="327C6C00" w14:textId="77777777" w:rsidR="0078637D" w:rsidRDefault="0078637D" w:rsidP="761381FB">
      <w:pPr>
        <w:ind w:left="720"/>
        <w:rPr>
          <w:b/>
          <w:bCs/>
          <w:sz w:val="22"/>
          <w:szCs w:val="22"/>
        </w:rPr>
      </w:pPr>
    </w:p>
    <w:p w14:paraId="0AB7A758" w14:textId="77777777" w:rsidR="00D83A6B" w:rsidRPr="007E39EC" w:rsidRDefault="00D83A6B" w:rsidP="00D83A6B">
      <w:pPr>
        <w:ind w:left="720"/>
        <w:jc w:val="both"/>
        <w:rPr>
          <w:sz w:val="22"/>
          <w:szCs w:val="22"/>
        </w:rPr>
      </w:pPr>
    </w:p>
    <w:p w14:paraId="429B8F0C" w14:textId="77777777" w:rsidR="00D83A6B" w:rsidRPr="007E39EC" w:rsidRDefault="00D83A6B" w:rsidP="00D83A6B">
      <w:pPr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83A6B" w:rsidRPr="007E39EC" w14:paraId="02767EB6" w14:textId="77777777" w:rsidTr="79546DF8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64CB878D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b/>
                <w:sz w:val="22"/>
                <w:szCs w:val="22"/>
              </w:rPr>
              <w:t xml:space="preserve">Dates: </w:t>
            </w:r>
            <w:r w:rsidRPr="007E39EC">
              <w:rPr>
                <w:sz w:val="22"/>
                <w:szCs w:val="22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6F1C199E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240FA3B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070914FA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Considered</w:t>
            </w:r>
          </w:p>
        </w:tc>
      </w:tr>
      <w:tr w:rsidR="00D83A6B" w:rsidRPr="007E39EC" w14:paraId="0F941A50" w14:textId="77777777" w:rsidTr="79546DF8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16E7AEF6" w14:textId="049C55D3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03/26/2024</w:t>
            </w:r>
            <w:r w:rsidR="003B78CA">
              <w:rPr>
                <w:sz w:val="22"/>
                <w:szCs w:val="22"/>
              </w:rPr>
              <w:t>, 4/3/24</w:t>
            </w:r>
            <w:r w:rsidR="007D7213">
              <w:rPr>
                <w:sz w:val="22"/>
                <w:szCs w:val="22"/>
              </w:rPr>
              <w:t>, 5/7/24</w:t>
            </w:r>
          </w:p>
        </w:tc>
        <w:tc>
          <w:tcPr>
            <w:tcW w:w="1980" w:type="dxa"/>
            <w:shd w:val="clear" w:color="auto" w:fill="CCCCCC"/>
          </w:tcPr>
          <w:p w14:paraId="512FD89A" w14:textId="6DC0B00B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</w:t>
            </w:r>
            <w:r w:rsidR="007D7213">
              <w:rPr>
                <w:sz w:val="22"/>
                <w:szCs w:val="22"/>
              </w:rPr>
              <w:t>, S.O.</w:t>
            </w:r>
          </w:p>
        </w:tc>
        <w:tc>
          <w:tcPr>
            <w:tcW w:w="1955" w:type="dxa"/>
            <w:shd w:val="clear" w:color="auto" w:fill="CCCCCC"/>
          </w:tcPr>
          <w:p w14:paraId="3395767F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CCCCCC"/>
          </w:tcPr>
          <w:p w14:paraId="07EFA4D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83A6B" w:rsidRPr="007E39EC" w14:paraId="14FBE216" w14:textId="77777777" w:rsidTr="79546DF8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3FC21DBE" w14:textId="520D80C7" w:rsidR="00D83A6B" w:rsidRPr="007E39EC" w:rsidRDefault="00D83A6B" w:rsidP="00413EDD">
            <w:pPr>
              <w:jc w:val="both"/>
              <w:rPr>
                <w:sz w:val="22"/>
                <w:szCs w:val="22"/>
              </w:rPr>
            </w:pPr>
            <w:r w:rsidRPr="007E39EC">
              <w:rPr>
                <w:b/>
                <w:bCs/>
                <w:sz w:val="22"/>
                <w:szCs w:val="22"/>
              </w:rPr>
              <w:t>Notes:</w:t>
            </w:r>
            <w:r w:rsidRPr="007E39EC">
              <w:rPr>
                <w:sz w:val="22"/>
                <w:szCs w:val="22"/>
              </w:rPr>
              <w:t xml:space="preserve"> </w:t>
            </w:r>
            <w:r w:rsidR="00566D38">
              <w:rPr>
                <w:sz w:val="22"/>
                <w:szCs w:val="22"/>
              </w:rPr>
              <w:t>APF-2024-0</w:t>
            </w:r>
            <w:r w:rsidR="00905AF6">
              <w:rPr>
                <w:sz w:val="22"/>
                <w:szCs w:val="22"/>
              </w:rPr>
              <w:t>5</w:t>
            </w:r>
          </w:p>
        </w:tc>
      </w:tr>
    </w:tbl>
    <w:p w14:paraId="52836C0F" w14:textId="77777777" w:rsidR="00B53BFE" w:rsidRPr="007E39EC" w:rsidRDefault="00B53BFE">
      <w:pPr>
        <w:rPr>
          <w:sz w:val="22"/>
          <w:szCs w:val="22"/>
        </w:rPr>
      </w:pPr>
    </w:p>
    <w:sectPr w:rsidR="00B53BFE" w:rsidRPr="007E39EC" w:rsidSect="005936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C41C5" w14:textId="77777777" w:rsidR="00062D4B" w:rsidRDefault="00062D4B" w:rsidP="00463DA6">
      <w:r>
        <w:separator/>
      </w:r>
    </w:p>
  </w:endnote>
  <w:endnote w:type="continuationSeparator" w:id="0">
    <w:p w14:paraId="4C677A3C" w14:textId="77777777" w:rsidR="00062D4B" w:rsidRDefault="00062D4B" w:rsidP="004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4AEB4" w14:textId="77777777" w:rsidR="00062D4B" w:rsidRDefault="00062D4B" w:rsidP="00463DA6">
      <w:r>
        <w:separator/>
      </w:r>
    </w:p>
  </w:footnote>
  <w:footnote w:type="continuationSeparator" w:id="0">
    <w:p w14:paraId="5B7503E3" w14:textId="77777777" w:rsidR="00062D4B" w:rsidRDefault="00062D4B" w:rsidP="00463DA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2DBF"/>
    <w:multiLevelType w:val="hybridMultilevel"/>
    <w:tmpl w:val="86F4BBF6"/>
    <w:lvl w:ilvl="0" w:tplc="487632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72AB8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3E631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1E27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F23D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DD80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39C4E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39A8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6364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9EE061B"/>
    <w:multiLevelType w:val="hybridMultilevel"/>
    <w:tmpl w:val="CC66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9EE"/>
    <w:multiLevelType w:val="hybridMultilevel"/>
    <w:tmpl w:val="951852AC"/>
    <w:lvl w:ilvl="0" w:tplc="1E50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F6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0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C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C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AE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94A5"/>
    <w:multiLevelType w:val="hybridMultilevel"/>
    <w:tmpl w:val="1704496A"/>
    <w:lvl w:ilvl="0" w:tplc="2A9040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E3A972A">
      <w:start w:val="1"/>
      <w:numFmt w:val="lowerRoman"/>
      <w:lvlText w:val="%3."/>
      <w:lvlJc w:val="right"/>
      <w:pPr>
        <w:ind w:left="2160" w:hanging="180"/>
      </w:pPr>
    </w:lvl>
    <w:lvl w:ilvl="3" w:tplc="A63AA272">
      <w:start w:val="1"/>
      <w:numFmt w:val="decimal"/>
      <w:lvlText w:val="%4."/>
      <w:lvlJc w:val="left"/>
      <w:pPr>
        <w:ind w:left="2880" w:hanging="360"/>
      </w:pPr>
    </w:lvl>
    <w:lvl w:ilvl="4" w:tplc="8E8870F0">
      <w:start w:val="1"/>
      <w:numFmt w:val="lowerLetter"/>
      <w:lvlText w:val="%5."/>
      <w:lvlJc w:val="left"/>
      <w:pPr>
        <w:ind w:left="3600" w:hanging="360"/>
      </w:pPr>
    </w:lvl>
    <w:lvl w:ilvl="5" w:tplc="04F216B0">
      <w:start w:val="1"/>
      <w:numFmt w:val="lowerRoman"/>
      <w:lvlText w:val="%6."/>
      <w:lvlJc w:val="right"/>
      <w:pPr>
        <w:ind w:left="4320" w:hanging="180"/>
      </w:pPr>
    </w:lvl>
    <w:lvl w:ilvl="6" w:tplc="BDE6914E">
      <w:start w:val="1"/>
      <w:numFmt w:val="decimal"/>
      <w:lvlText w:val="%7."/>
      <w:lvlJc w:val="left"/>
      <w:pPr>
        <w:ind w:left="5040" w:hanging="360"/>
      </w:pPr>
    </w:lvl>
    <w:lvl w:ilvl="7" w:tplc="F35C96F8">
      <w:start w:val="1"/>
      <w:numFmt w:val="lowerLetter"/>
      <w:lvlText w:val="%8."/>
      <w:lvlJc w:val="left"/>
      <w:pPr>
        <w:ind w:left="5760" w:hanging="360"/>
      </w:pPr>
    </w:lvl>
    <w:lvl w:ilvl="8" w:tplc="370294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3B29"/>
    <w:multiLevelType w:val="hybridMultilevel"/>
    <w:tmpl w:val="83EED700"/>
    <w:lvl w:ilvl="0" w:tplc="487632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DA0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C1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C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2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601B"/>
    <w:multiLevelType w:val="hybridMultilevel"/>
    <w:tmpl w:val="869EEF80"/>
    <w:lvl w:ilvl="0" w:tplc="A86CC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A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E6BC7"/>
    <w:multiLevelType w:val="hybridMultilevel"/>
    <w:tmpl w:val="D78C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D2AA5"/>
    <w:multiLevelType w:val="hybridMultilevel"/>
    <w:tmpl w:val="5322B5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0350">
    <w:abstractNumId w:val="5"/>
  </w:num>
  <w:num w:numId="2" w16cid:durableId="823278972">
    <w:abstractNumId w:val="4"/>
  </w:num>
  <w:num w:numId="3" w16cid:durableId="159390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90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540795">
    <w:abstractNumId w:val="0"/>
  </w:num>
  <w:num w:numId="6" w16cid:durableId="1166438648">
    <w:abstractNumId w:val="6"/>
  </w:num>
  <w:num w:numId="7" w16cid:durableId="1794591064">
    <w:abstractNumId w:val="2"/>
  </w:num>
  <w:num w:numId="8" w16cid:durableId="1916432732">
    <w:abstractNumId w:val="3"/>
  </w:num>
  <w:num w:numId="9" w16cid:durableId="1069839196">
    <w:abstractNumId w:val="8"/>
  </w:num>
  <w:num w:numId="10" w16cid:durableId="410277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B"/>
    <w:rsid w:val="00001275"/>
    <w:rsid w:val="0000129D"/>
    <w:rsid w:val="00005DE9"/>
    <w:rsid w:val="000545FB"/>
    <w:rsid w:val="00062D4B"/>
    <w:rsid w:val="00063AE5"/>
    <w:rsid w:val="00086496"/>
    <w:rsid w:val="000B2AB3"/>
    <w:rsid w:val="000B2EA9"/>
    <w:rsid w:val="000D77B3"/>
    <w:rsid w:val="00101753"/>
    <w:rsid w:val="0012634C"/>
    <w:rsid w:val="0013076C"/>
    <w:rsid w:val="00151335"/>
    <w:rsid w:val="001620E4"/>
    <w:rsid w:val="00167C7E"/>
    <w:rsid w:val="00177E52"/>
    <w:rsid w:val="0018549D"/>
    <w:rsid w:val="00234D1A"/>
    <w:rsid w:val="00280D81"/>
    <w:rsid w:val="0029332B"/>
    <w:rsid w:val="0029691A"/>
    <w:rsid w:val="003209D6"/>
    <w:rsid w:val="00322AD3"/>
    <w:rsid w:val="00330057"/>
    <w:rsid w:val="0034052F"/>
    <w:rsid w:val="003665D4"/>
    <w:rsid w:val="003B03DE"/>
    <w:rsid w:val="003B78CA"/>
    <w:rsid w:val="003C2637"/>
    <w:rsid w:val="003D4769"/>
    <w:rsid w:val="00413EDD"/>
    <w:rsid w:val="00420CD5"/>
    <w:rsid w:val="00456FE7"/>
    <w:rsid w:val="004610F0"/>
    <w:rsid w:val="00463DA6"/>
    <w:rsid w:val="00476CA4"/>
    <w:rsid w:val="0048308E"/>
    <w:rsid w:val="00501F1E"/>
    <w:rsid w:val="005068A4"/>
    <w:rsid w:val="005071FE"/>
    <w:rsid w:val="00507C58"/>
    <w:rsid w:val="00522831"/>
    <w:rsid w:val="0053469A"/>
    <w:rsid w:val="00536737"/>
    <w:rsid w:val="00546DCC"/>
    <w:rsid w:val="00566D38"/>
    <w:rsid w:val="00592B00"/>
    <w:rsid w:val="00593686"/>
    <w:rsid w:val="005A1280"/>
    <w:rsid w:val="005A16F3"/>
    <w:rsid w:val="005A244C"/>
    <w:rsid w:val="005B58AA"/>
    <w:rsid w:val="005E3035"/>
    <w:rsid w:val="00627DA3"/>
    <w:rsid w:val="00643F09"/>
    <w:rsid w:val="00670A35"/>
    <w:rsid w:val="00682665"/>
    <w:rsid w:val="006A2924"/>
    <w:rsid w:val="006B40A1"/>
    <w:rsid w:val="006D4C85"/>
    <w:rsid w:val="007015E9"/>
    <w:rsid w:val="00704BFF"/>
    <w:rsid w:val="00713BA2"/>
    <w:rsid w:val="007160FE"/>
    <w:rsid w:val="00735740"/>
    <w:rsid w:val="00746BA7"/>
    <w:rsid w:val="00751A27"/>
    <w:rsid w:val="00765C7F"/>
    <w:rsid w:val="007701CF"/>
    <w:rsid w:val="0078637D"/>
    <w:rsid w:val="00793A9B"/>
    <w:rsid w:val="00794B69"/>
    <w:rsid w:val="007A28ED"/>
    <w:rsid w:val="007C3BFD"/>
    <w:rsid w:val="007D3621"/>
    <w:rsid w:val="007D7213"/>
    <w:rsid w:val="007E39EC"/>
    <w:rsid w:val="00812799"/>
    <w:rsid w:val="00812EA7"/>
    <w:rsid w:val="00823400"/>
    <w:rsid w:val="00840CC4"/>
    <w:rsid w:val="008455AE"/>
    <w:rsid w:val="00860934"/>
    <w:rsid w:val="00861F18"/>
    <w:rsid w:val="008E2DE3"/>
    <w:rsid w:val="008E3306"/>
    <w:rsid w:val="008E6219"/>
    <w:rsid w:val="008F6D26"/>
    <w:rsid w:val="00900606"/>
    <w:rsid w:val="00903687"/>
    <w:rsid w:val="00905AF6"/>
    <w:rsid w:val="009256F4"/>
    <w:rsid w:val="00934B15"/>
    <w:rsid w:val="009502FD"/>
    <w:rsid w:val="00953E8B"/>
    <w:rsid w:val="009853BF"/>
    <w:rsid w:val="0099442E"/>
    <w:rsid w:val="00994662"/>
    <w:rsid w:val="009C06E8"/>
    <w:rsid w:val="009E26E3"/>
    <w:rsid w:val="00A054F0"/>
    <w:rsid w:val="00A177B9"/>
    <w:rsid w:val="00A47641"/>
    <w:rsid w:val="00A5065C"/>
    <w:rsid w:val="00A55253"/>
    <w:rsid w:val="00A715C2"/>
    <w:rsid w:val="00AD3AB3"/>
    <w:rsid w:val="00AD52A5"/>
    <w:rsid w:val="00B23716"/>
    <w:rsid w:val="00B53BFE"/>
    <w:rsid w:val="00B7616B"/>
    <w:rsid w:val="00B86721"/>
    <w:rsid w:val="00B86D9D"/>
    <w:rsid w:val="00BB3008"/>
    <w:rsid w:val="00BD5A2D"/>
    <w:rsid w:val="00BF5626"/>
    <w:rsid w:val="00BF6A3C"/>
    <w:rsid w:val="00C35156"/>
    <w:rsid w:val="00C42651"/>
    <w:rsid w:val="00C51232"/>
    <w:rsid w:val="00C555D1"/>
    <w:rsid w:val="00C63449"/>
    <w:rsid w:val="00C67283"/>
    <w:rsid w:val="00C94DFA"/>
    <w:rsid w:val="00CA00A6"/>
    <w:rsid w:val="00CA1E95"/>
    <w:rsid w:val="00CC6BD4"/>
    <w:rsid w:val="00D03F50"/>
    <w:rsid w:val="00D049DC"/>
    <w:rsid w:val="00D740A2"/>
    <w:rsid w:val="00D833CF"/>
    <w:rsid w:val="00D83A6B"/>
    <w:rsid w:val="00D97832"/>
    <w:rsid w:val="00DC1867"/>
    <w:rsid w:val="00DC4661"/>
    <w:rsid w:val="00DF589F"/>
    <w:rsid w:val="00E260E7"/>
    <w:rsid w:val="00E45F03"/>
    <w:rsid w:val="00E60A59"/>
    <w:rsid w:val="00E665C0"/>
    <w:rsid w:val="00E86B69"/>
    <w:rsid w:val="00E96BE2"/>
    <w:rsid w:val="00EE4FBA"/>
    <w:rsid w:val="00F072B6"/>
    <w:rsid w:val="00F21A24"/>
    <w:rsid w:val="00F328D8"/>
    <w:rsid w:val="00F52B3D"/>
    <w:rsid w:val="00FB7884"/>
    <w:rsid w:val="00FF127F"/>
    <w:rsid w:val="0901BE98"/>
    <w:rsid w:val="29139EB3"/>
    <w:rsid w:val="2F59992A"/>
    <w:rsid w:val="300562CD"/>
    <w:rsid w:val="4453989D"/>
    <w:rsid w:val="4769D145"/>
    <w:rsid w:val="49CB4ADF"/>
    <w:rsid w:val="4AEE8E01"/>
    <w:rsid w:val="4EC90ECA"/>
    <w:rsid w:val="55C679F5"/>
    <w:rsid w:val="5AE7AB1C"/>
    <w:rsid w:val="67A5AEA4"/>
    <w:rsid w:val="684A873B"/>
    <w:rsid w:val="6966E6F1"/>
    <w:rsid w:val="71C1C681"/>
    <w:rsid w:val="761381FB"/>
    <w:rsid w:val="79546DF8"/>
    <w:rsid w:val="7DF8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A5C"/>
  <w15:chartTrackingRefBased/>
  <w15:docId w15:val="{FBC6FACC-5EAC-42F3-ADB0-DA49F81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6B"/>
    <w:pPr>
      <w:ind w:left="720"/>
    </w:pPr>
  </w:style>
  <w:style w:type="paragraph" w:styleId="Revision">
    <w:name w:val="Revision"/>
    <w:hidden/>
    <w:uiPriority w:val="99"/>
    <w:semiHidden/>
    <w:rsid w:val="00F072B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D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A6"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63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2024-02-05T21:41:45+00:00</_EndDate>
    <StartDate xmlns="http://schemas.microsoft.com/sharepoint/v3">2024-02-05T21:41:45+00:00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835F-F854-4C6B-9F1E-FA5B912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04E8-31FF-4EEC-9AE2-260BDB3B17A9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B9353486-8B2D-407D-A84E-A4564AC74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FCA89-6475-48C9-B086-01B7777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Ugo De Gobbi</dc:creator>
  <cp:keywords/>
  <dc:description/>
  <cp:lastModifiedBy>Frasier, Jennifer</cp:lastModifiedBy>
  <cp:revision>14</cp:revision>
  <dcterms:created xsi:type="dcterms:W3CDTF">2024-05-07T16:44:00Z</dcterms:created>
  <dcterms:modified xsi:type="dcterms:W3CDTF">2024-06-03T18:59:00Z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dca07537-3519-4758-a98c-68d0ae03748e_Enabled">
    <vt:lpwstr>true</vt:lpwstr>
  </property>
  <property fmtid="{D5CDD505-2E9C-101B-9397-08002B2CF9AE}" pid="5" name="MSIP_Label_dca07537-3519-4758-a98c-68d0ae03748e_SetDate">
    <vt:lpwstr>2024-03-25T15:31:11Z</vt:lpwstr>
  </property>
  <property fmtid="{D5CDD505-2E9C-101B-9397-08002B2CF9AE}" pid="6" name="MSIP_Label_dca07537-3519-4758-a98c-68d0ae03748e_Method">
    <vt:lpwstr>Standard</vt:lpwstr>
  </property>
  <property fmtid="{D5CDD505-2E9C-101B-9397-08002B2CF9AE}" pid="7" name="MSIP_Label_dca07537-3519-4758-a98c-68d0ae03748e_Name">
    <vt:lpwstr>Internal Use</vt:lpwstr>
  </property>
  <property fmtid="{D5CDD505-2E9C-101B-9397-08002B2CF9AE}" pid="8" name="MSIP_Label_dca07537-3519-4758-a98c-68d0ae03748e_SiteId">
    <vt:lpwstr>e5bd3c32-3235-4c1d-a4e2-80e86c8cc2e7</vt:lpwstr>
  </property>
  <property fmtid="{D5CDD505-2E9C-101B-9397-08002B2CF9AE}" pid="9" name="MSIP_Label_dca07537-3519-4758-a98c-68d0ae03748e_ActionId">
    <vt:lpwstr>3fcb658b-fcfd-4ac4-a02f-548ddec43ea8</vt:lpwstr>
  </property>
  <property fmtid="{D5CDD505-2E9C-101B-9397-08002B2CF9AE}" pid="10" name="MSIP_Label_dca07537-3519-4758-a98c-68d0ae03748e_ContentBits">
    <vt:lpwstr>0</vt:lpwstr>
  </property>
</Properties>
</file>