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D8D10" w14:textId="77777777" w:rsidR="00656CEA" w:rsidRDefault="00656CEA" w:rsidP="008863E5">
      <w:pPr>
        <w:jc w:val="both"/>
        <w:rPr>
          <w:sz w:val="20"/>
          <w:szCs w:val="20"/>
        </w:rPr>
      </w:pPr>
    </w:p>
    <w:p w14:paraId="0EA97D3A" w14:textId="77777777" w:rsidR="00EF7C60" w:rsidRPr="00EF7C60" w:rsidRDefault="00EF7C60" w:rsidP="00EF7C60">
      <w:pPr>
        <w:jc w:val="center"/>
        <w:rPr>
          <w:b/>
          <w:sz w:val="28"/>
          <w:szCs w:val="28"/>
        </w:rPr>
      </w:pPr>
      <w:r>
        <w:rPr>
          <w:b/>
          <w:sz w:val="28"/>
          <w:szCs w:val="28"/>
        </w:rPr>
        <w:t xml:space="preserve">Life Actuarial </w:t>
      </w:r>
      <w:r w:rsidR="00522E03">
        <w:rPr>
          <w:b/>
          <w:sz w:val="28"/>
          <w:szCs w:val="28"/>
        </w:rPr>
        <w:t xml:space="preserve">(A) </w:t>
      </w:r>
      <w:r>
        <w:rPr>
          <w:b/>
          <w:sz w:val="28"/>
          <w:szCs w:val="28"/>
        </w:rPr>
        <w:t>Task Force</w:t>
      </w:r>
      <w:r w:rsidR="00522E03">
        <w:rPr>
          <w:b/>
          <w:sz w:val="28"/>
          <w:szCs w:val="28"/>
        </w:rPr>
        <w:t>/ Health Actuarial (B) Task Force</w:t>
      </w:r>
    </w:p>
    <w:p w14:paraId="1735C874" w14:textId="77777777" w:rsidR="00857F91" w:rsidRPr="00EF7C60" w:rsidRDefault="00A179E7" w:rsidP="008863E5">
      <w:pPr>
        <w:jc w:val="center"/>
        <w:rPr>
          <w:b/>
        </w:rPr>
      </w:pPr>
      <w:r w:rsidRPr="00EF7C60">
        <w:rPr>
          <w:b/>
        </w:rPr>
        <w:t>Amendment Proposal Form</w:t>
      </w:r>
      <w:r w:rsidR="006B22FB" w:rsidRPr="00EF7C60">
        <w:rPr>
          <w:b/>
        </w:rPr>
        <w:t>*</w:t>
      </w:r>
    </w:p>
    <w:p w14:paraId="0557CE54" w14:textId="77777777" w:rsidR="00A179E7" w:rsidRPr="002F4168" w:rsidRDefault="00A179E7" w:rsidP="008863E5">
      <w:pPr>
        <w:jc w:val="both"/>
        <w:rPr>
          <w:sz w:val="20"/>
          <w:szCs w:val="20"/>
        </w:rPr>
      </w:pPr>
    </w:p>
    <w:p w14:paraId="14932B3C" w14:textId="77777777" w:rsidR="00A253B2" w:rsidRPr="004710B9" w:rsidRDefault="004A3756" w:rsidP="008863E5">
      <w:pPr>
        <w:jc w:val="both"/>
        <w:rPr>
          <w:sz w:val="22"/>
          <w:szCs w:val="22"/>
        </w:rPr>
      </w:pPr>
      <w:r w:rsidRPr="004710B9">
        <w:rPr>
          <w:sz w:val="22"/>
          <w:szCs w:val="22"/>
        </w:rPr>
        <w:t>1.</w:t>
      </w:r>
      <w:r w:rsidRPr="004710B9">
        <w:rPr>
          <w:sz w:val="22"/>
          <w:szCs w:val="22"/>
        </w:rPr>
        <w:tab/>
      </w:r>
      <w:r w:rsidR="00A253B2" w:rsidRPr="004710B9">
        <w:rPr>
          <w:sz w:val="22"/>
          <w:szCs w:val="22"/>
        </w:rPr>
        <w:t>Identify yourself, your affiliation and a very brief description</w:t>
      </w:r>
      <w:r w:rsidR="00942EC6" w:rsidRPr="004710B9">
        <w:rPr>
          <w:sz w:val="22"/>
          <w:szCs w:val="22"/>
        </w:rPr>
        <w:t xml:space="preserve"> (title)</w:t>
      </w:r>
      <w:r w:rsidR="00A253B2" w:rsidRPr="004710B9">
        <w:rPr>
          <w:sz w:val="22"/>
          <w:szCs w:val="22"/>
        </w:rPr>
        <w:t xml:space="preserve"> of the issue.</w:t>
      </w:r>
    </w:p>
    <w:p w14:paraId="6CEE518B" w14:textId="77777777" w:rsidR="00A253B2" w:rsidRPr="004710B9" w:rsidRDefault="00A253B2" w:rsidP="008863E5">
      <w:pPr>
        <w:jc w:val="both"/>
        <w:rPr>
          <w:sz w:val="22"/>
          <w:szCs w:val="22"/>
        </w:rPr>
      </w:pPr>
    </w:p>
    <w:p w14:paraId="0DBB3CE8" w14:textId="77777777" w:rsidR="00A253B2" w:rsidRPr="004710B9" w:rsidRDefault="00883E51" w:rsidP="008863E5">
      <w:pPr>
        <w:jc w:val="both"/>
        <w:rPr>
          <w:color w:val="0000FF"/>
          <w:sz w:val="22"/>
          <w:szCs w:val="22"/>
        </w:rPr>
      </w:pPr>
      <w:r w:rsidRPr="004710B9">
        <w:rPr>
          <w:color w:val="0000FF"/>
          <w:sz w:val="22"/>
          <w:szCs w:val="22"/>
        </w:rPr>
        <w:tab/>
        <w:t>Elaine Lam, California Department of Insurance</w:t>
      </w:r>
    </w:p>
    <w:p w14:paraId="631C4A0D" w14:textId="77777777" w:rsidR="00D81045" w:rsidRPr="004710B9" w:rsidRDefault="00D81045" w:rsidP="008863E5">
      <w:pPr>
        <w:jc w:val="both"/>
        <w:rPr>
          <w:color w:val="0000FF"/>
          <w:sz w:val="22"/>
          <w:szCs w:val="22"/>
        </w:rPr>
      </w:pPr>
      <w:r w:rsidRPr="004710B9">
        <w:rPr>
          <w:color w:val="0000FF"/>
          <w:sz w:val="22"/>
          <w:szCs w:val="22"/>
        </w:rPr>
        <w:tab/>
      </w:r>
      <w:r w:rsidRPr="00A9283D">
        <w:rPr>
          <w:color w:val="0000FF"/>
          <w:sz w:val="22"/>
          <w:szCs w:val="22"/>
        </w:rPr>
        <w:t>Ben Slutsker, Minnesota Department of Commerce</w:t>
      </w:r>
    </w:p>
    <w:p w14:paraId="4F51B049" w14:textId="77777777" w:rsidR="008A1A52" w:rsidRPr="004710B9" w:rsidRDefault="008A1A52" w:rsidP="008A1A52">
      <w:pPr>
        <w:ind w:left="720"/>
        <w:jc w:val="both"/>
        <w:rPr>
          <w:color w:val="0000FF"/>
          <w:sz w:val="22"/>
          <w:szCs w:val="22"/>
        </w:rPr>
      </w:pPr>
    </w:p>
    <w:p w14:paraId="0BE4B903" w14:textId="77777777" w:rsidR="00883E51" w:rsidRPr="004710B9" w:rsidRDefault="00883E51" w:rsidP="008A1A52">
      <w:pPr>
        <w:ind w:left="720"/>
        <w:jc w:val="both"/>
        <w:rPr>
          <w:color w:val="0000FF"/>
          <w:sz w:val="22"/>
          <w:szCs w:val="22"/>
        </w:rPr>
      </w:pPr>
      <w:r w:rsidRPr="004710B9">
        <w:rPr>
          <w:color w:val="0000FF"/>
          <w:sz w:val="22"/>
          <w:szCs w:val="22"/>
        </w:rPr>
        <w:t xml:space="preserve">Clarify </w:t>
      </w:r>
      <w:r w:rsidR="008A1A52" w:rsidRPr="004710B9">
        <w:rPr>
          <w:color w:val="0000FF"/>
          <w:sz w:val="22"/>
          <w:szCs w:val="22"/>
        </w:rPr>
        <w:t xml:space="preserve">calculation </w:t>
      </w:r>
      <w:r w:rsidRPr="004710B9">
        <w:rPr>
          <w:color w:val="0000FF"/>
          <w:sz w:val="22"/>
          <w:szCs w:val="22"/>
        </w:rPr>
        <w:t xml:space="preserve">mechanics </w:t>
      </w:r>
      <w:r w:rsidR="008A1A52" w:rsidRPr="004710B9">
        <w:rPr>
          <w:color w:val="0000FF"/>
          <w:sz w:val="22"/>
          <w:szCs w:val="22"/>
        </w:rPr>
        <w:t>in</w:t>
      </w:r>
      <w:r w:rsidRPr="004710B9">
        <w:rPr>
          <w:color w:val="0000FF"/>
          <w:sz w:val="22"/>
          <w:szCs w:val="22"/>
        </w:rPr>
        <w:t xml:space="preserve"> the VM-22 SPA dynamic lapse formula, specifically in the Market Factor and Rate Factor</w:t>
      </w:r>
      <w:r w:rsidR="00A804B3">
        <w:rPr>
          <w:color w:val="0000FF"/>
          <w:sz w:val="22"/>
          <w:szCs w:val="22"/>
        </w:rPr>
        <w:t xml:space="preserve"> formulas</w:t>
      </w:r>
      <w:r w:rsidR="008A1A52" w:rsidRPr="004710B9">
        <w:rPr>
          <w:color w:val="0000FF"/>
          <w:sz w:val="22"/>
          <w:szCs w:val="22"/>
        </w:rPr>
        <w:t>.</w:t>
      </w:r>
    </w:p>
    <w:p w14:paraId="609A6F6B" w14:textId="77777777" w:rsidR="00B02ACB" w:rsidRPr="004710B9" w:rsidRDefault="00B02ACB" w:rsidP="008863E5">
      <w:pPr>
        <w:jc w:val="both"/>
        <w:rPr>
          <w:sz w:val="22"/>
          <w:szCs w:val="22"/>
        </w:rPr>
      </w:pPr>
    </w:p>
    <w:p w14:paraId="1FB15914" w14:textId="77777777" w:rsidR="00A179E7" w:rsidRPr="004710B9" w:rsidRDefault="004A3756" w:rsidP="008863E5">
      <w:pPr>
        <w:ind w:left="720" w:hanging="720"/>
        <w:jc w:val="both"/>
        <w:rPr>
          <w:sz w:val="22"/>
          <w:szCs w:val="22"/>
        </w:rPr>
      </w:pPr>
      <w:r w:rsidRPr="004710B9">
        <w:rPr>
          <w:sz w:val="22"/>
          <w:szCs w:val="22"/>
        </w:rPr>
        <w:t>2.</w:t>
      </w:r>
      <w:r w:rsidRPr="004710B9">
        <w:rPr>
          <w:sz w:val="22"/>
          <w:szCs w:val="22"/>
        </w:rPr>
        <w:tab/>
      </w:r>
      <w:r w:rsidR="00A179E7" w:rsidRPr="004710B9">
        <w:rPr>
          <w:sz w:val="22"/>
          <w:szCs w:val="22"/>
        </w:rPr>
        <w:t>Identify the document</w:t>
      </w:r>
      <w:r w:rsidR="006B22FB" w:rsidRPr="004710B9">
        <w:rPr>
          <w:sz w:val="22"/>
          <w:szCs w:val="22"/>
        </w:rPr>
        <w:t>, including the date if the document is “released for comment</w:t>
      </w:r>
      <w:r w:rsidR="000F2FC6" w:rsidRPr="004710B9">
        <w:rPr>
          <w:sz w:val="22"/>
          <w:szCs w:val="22"/>
        </w:rPr>
        <w:t>,”</w:t>
      </w:r>
      <w:r w:rsidR="00A179E7" w:rsidRPr="004710B9">
        <w:rPr>
          <w:sz w:val="22"/>
          <w:szCs w:val="22"/>
        </w:rPr>
        <w:t xml:space="preserve"> </w:t>
      </w:r>
      <w:r w:rsidR="00942EC6" w:rsidRPr="004710B9">
        <w:rPr>
          <w:sz w:val="22"/>
          <w:szCs w:val="22"/>
        </w:rPr>
        <w:t xml:space="preserve">and the location in the document </w:t>
      </w:r>
      <w:r w:rsidR="00A179E7" w:rsidRPr="004710B9">
        <w:rPr>
          <w:sz w:val="22"/>
          <w:szCs w:val="22"/>
        </w:rPr>
        <w:t>where the amendment is proposed:</w:t>
      </w:r>
    </w:p>
    <w:p w14:paraId="71B31BBF" w14:textId="77777777" w:rsidR="00656CEA" w:rsidRPr="004710B9" w:rsidRDefault="00656CEA" w:rsidP="008863E5">
      <w:pPr>
        <w:ind w:left="720" w:hanging="720"/>
        <w:jc w:val="both"/>
        <w:rPr>
          <w:sz w:val="22"/>
          <w:szCs w:val="22"/>
        </w:rPr>
      </w:pPr>
    </w:p>
    <w:p w14:paraId="7F3C5329" w14:textId="77777777" w:rsidR="004710B9" w:rsidRPr="004710B9" w:rsidRDefault="004710B9" w:rsidP="004710B9">
      <w:pPr>
        <w:ind w:left="720"/>
        <w:jc w:val="both"/>
        <w:rPr>
          <w:color w:val="0000FF"/>
          <w:sz w:val="22"/>
          <w:szCs w:val="22"/>
        </w:rPr>
      </w:pPr>
      <w:r w:rsidRPr="004710B9">
        <w:rPr>
          <w:color w:val="0000FF"/>
          <w:sz w:val="22"/>
          <w:szCs w:val="22"/>
        </w:rPr>
        <w:t xml:space="preserve">January 1, </w:t>
      </w:r>
      <w:proofErr w:type="gramStart"/>
      <w:r w:rsidRPr="004710B9">
        <w:rPr>
          <w:color w:val="0000FF"/>
          <w:sz w:val="22"/>
          <w:szCs w:val="22"/>
        </w:rPr>
        <w:t>2026</w:t>
      </w:r>
      <w:proofErr w:type="gramEnd"/>
      <w:r w:rsidRPr="004710B9">
        <w:rPr>
          <w:color w:val="0000FF"/>
          <w:sz w:val="22"/>
          <w:szCs w:val="22"/>
        </w:rPr>
        <w:t xml:space="preserve"> Edition of the </w:t>
      </w:r>
      <w:r w:rsidRPr="004710B9">
        <w:rPr>
          <w:i/>
          <w:iCs/>
          <w:color w:val="0000FF"/>
          <w:sz w:val="22"/>
          <w:szCs w:val="22"/>
        </w:rPr>
        <w:t>Valuation Manual</w:t>
      </w:r>
      <w:r w:rsidRPr="004710B9">
        <w:rPr>
          <w:color w:val="0000FF"/>
          <w:sz w:val="22"/>
          <w:szCs w:val="22"/>
        </w:rPr>
        <w:t xml:space="preserve"> – </w:t>
      </w:r>
      <w:r w:rsidR="00883E51" w:rsidRPr="004710B9">
        <w:rPr>
          <w:color w:val="0000FF"/>
          <w:sz w:val="22"/>
          <w:szCs w:val="22"/>
        </w:rPr>
        <w:t>VM-22 Section 6.C.5</w:t>
      </w:r>
      <w:r w:rsidRPr="004710B9">
        <w:rPr>
          <w:color w:val="0000FF"/>
          <w:sz w:val="22"/>
          <w:szCs w:val="22"/>
        </w:rPr>
        <w:t xml:space="preserve"> Full Surrenders</w:t>
      </w:r>
    </w:p>
    <w:p w14:paraId="484F57EF" w14:textId="77777777" w:rsidR="00A179E7" w:rsidRPr="004710B9" w:rsidRDefault="00A179E7" w:rsidP="008863E5">
      <w:pPr>
        <w:jc w:val="both"/>
        <w:rPr>
          <w:sz w:val="22"/>
          <w:szCs w:val="22"/>
        </w:rPr>
      </w:pPr>
    </w:p>
    <w:p w14:paraId="26ED5866" w14:textId="77777777" w:rsidR="00A179E7" w:rsidRPr="004710B9" w:rsidRDefault="00942EC6" w:rsidP="008863E5">
      <w:pPr>
        <w:ind w:left="720" w:hanging="720"/>
        <w:jc w:val="both"/>
        <w:rPr>
          <w:sz w:val="22"/>
          <w:szCs w:val="22"/>
        </w:rPr>
      </w:pPr>
      <w:r w:rsidRPr="004710B9">
        <w:rPr>
          <w:sz w:val="22"/>
          <w:szCs w:val="22"/>
        </w:rPr>
        <w:t>3.</w:t>
      </w:r>
      <w:r w:rsidRPr="004710B9">
        <w:rPr>
          <w:sz w:val="22"/>
          <w:szCs w:val="22"/>
        </w:rPr>
        <w:tab/>
      </w:r>
      <w:r w:rsidR="00994830" w:rsidRPr="004710B9">
        <w:rPr>
          <w:sz w:val="22"/>
          <w:szCs w:val="22"/>
        </w:rPr>
        <w:t xml:space="preserve">Show what changes are needed by providing a red-line version of the original verbiage with deletions and </w:t>
      </w:r>
      <w:r w:rsidR="00C818E5" w:rsidRPr="004710B9">
        <w:rPr>
          <w:sz w:val="22"/>
          <w:szCs w:val="22"/>
        </w:rPr>
        <w:t>i</w:t>
      </w:r>
      <w:r w:rsidR="001637CF" w:rsidRPr="004710B9">
        <w:rPr>
          <w:sz w:val="22"/>
          <w:szCs w:val="22"/>
        </w:rPr>
        <w:t>dentify</w:t>
      </w:r>
      <w:r w:rsidR="00A179E7" w:rsidRPr="004710B9">
        <w:rPr>
          <w:sz w:val="22"/>
          <w:szCs w:val="22"/>
        </w:rPr>
        <w:t xml:space="preserve"> the verbiage to be </w:t>
      </w:r>
      <w:r w:rsidR="001637CF" w:rsidRPr="004710B9">
        <w:rPr>
          <w:sz w:val="22"/>
          <w:szCs w:val="22"/>
        </w:rPr>
        <w:t xml:space="preserve">deleted, </w:t>
      </w:r>
      <w:r w:rsidR="00A179E7" w:rsidRPr="004710B9">
        <w:rPr>
          <w:sz w:val="22"/>
          <w:szCs w:val="22"/>
        </w:rPr>
        <w:t>inserted or changed</w:t>
      </w:r>
      <w:r w:rsidRPr="004710B9">
        <w:rPr>
          <w:sz w:val="22"/>
          <w:szCs w:val="22"/>
        </w:rPr>
        <w:t xml:space="preserve"> by providing a red-line (turn on “track changes” in Word®) version of the verbiage. (You may do this through an attachment.)</w:t>
      </w:r>
    </w:p>
    <w:p w14:paraId="7A64FC18" w14:textId="77777777" w:rsidR="005F04CC" w:rsidRPr="004710B9" w:rsidRDefault="005F04CC" w:rsidP="005F04CC">
      <w:pPr>
        <w:ind w:left="1152" w:hanging="576"/>
        <w:jc w:val="both"/>
        <w:rPr>
          <w:sz w:val="22"/>
          <w:szCs w:val="22"/>
        </w:rPr>
      </w:pPr>
    </w:p>
    <w:p w14:paraId="0F282A05" w14:textId="77777777" w:rsidR="004710B9" w:rsidRPr="004710B9" w:rsidRDefault="004710B9" w:rsidP="008A1A52">
      <w:pPr>
        <w:ind w:left="720"/>
        <w:jc w:val="both"/>
        <w:rPr>
          <w:color w:val="0000FF"/>
          <w:sz w:val="22"/>
          <w:szCs w:val="22"/>
        </w:rPr>
      </w:pPr>
      <w:r w:rsidRPr="004710B9">
        <w:rPr>
          <w:color w:val="0000FF"/>
          <w:sz w:val="22"/>
          <w:szCs w:val="22"/>
        </w:rPr>
        <w:t>See attached.</w:t>
      </w:r>
    </w:p>
    <w:p w14:paraId="12E0BAB1" w14:textId="77777777" w:rsidR="004710B9" w:rsidRPr="004710B9" w:rsidRDefault="004710B9" w:rsidP="008A1A52">
      <w:pPr>
        <w:ind w:left="720"/>
        <w:jc w:val="both"/>
        <w:rPr>
          <w:color w:val="0000FF"/>
          <w:sz w:val="22"/>
          <w:szCs w:val="22"/>
        </w:rPr>
      </w:pPr>
    </w:p>
    <w:p w14:paraId="5266C69B" w14:textId="77777777" w:rsidR="00A179E7" w:rsidRPr="004710B9" w:rsidRDefault="00942EC6" w:rsidP="008863E5">
      <w:pPr>
        <w:jc w:val="both"/>
        <w:rPr>
          <w:sz w:val="22"/>
          <w:szCs w:val="22"/>
        </w:rPr>
      </w:pPr>
      <w:r w:rsidRPr="004710B9">
        <w:rPr>
          <w:sz w:val="22"/>
          <w:szCs w:val="22"/>
        </w:rPr>
        <w:t>4.</w:t>
      </w:r>
      <w:r w:rsidRPr="004710B9">
        <w:rPr>
          <w:sz w:val="22"/>
          <w:szCs w:val="22"/>
        </w:rPr>
        <w:tab/>
      </w:r>
      <w:r w:rsidR="00A253B2" w:rsidRPr="004710B9">
        <w:rPr>
          <w:sz w:val="22"/>
          <w:szCs w:val="22"/>
        </w:rPr>
        <w:t>S</w:t>
      </w:r>
      <w:r w:rsidR="006B22FB" w:rsidRPr="004710B9">
        <w:rPr>
          <w:sz w:val="22"/>
          <w:szCs w:val="22"/>
        </w:rPr>
        <w:t>tate</w:t>
      </w:r>
      <w:r w:rsidR="00A179E7" w:rsidRPr="004710B9">
        <w:rPr>
          <w:sz w:val="22"/>
          <w:szCs w:val="22"/>
        </w:rPr>
        <w:t xml:space="preserve"> the reason for the proposed </w:t>
      </w:r>
      <w:proofErr w:type="gramStart"/>
      <w:r w:rsidR="006C599E" w:rsidRPr="004710B9">
        <w:rPr>
          <w:sz w:val="22"/>
          <w:szCs w:val="22"/>
        </w:rPr>
        <w:t>amendment</w:t>
      </w:r>
      <w:r w:rsidR="006B22FB" w:rsidRPr="004710B9">
        <w:rPr>
          <w:sz w:val="22"/>
          <w:szCs w:val="22"/>
        </w:rPr>
        <w:t>?</w:t>
      </w:r>
      <w:proofErr w:type="gramEnd"/>
      <w:r w:rsidR="006B22FB" w:rsidRPr="004710B9">
        <w:rPr>
          <w:sz w:val="22"/>
          <w:szCs w:val="22"/>
        </w:rPr>
        <w:t xml:space="preserve"> (You may do this through an attachment.)</w:t>
      </w:r>
    </w:p>
    <w:p w14:paraId="4BDE0BE3" w14:textId="77777777" w:rsidR="00A179E7" w:rsidRPr="004710B9" w:rsidRDefault="00A179E7" w:rsidP="008863E5">
      <w:pPr>
        <w:jc w:val="both"/>
        <w:rPr>
          <w:sz w:val="22"/>
          <w:szCs w:val="22"/>
        </w:rPr>
      </w:pPr>
    </w:p>
    <w:p w14:paraId="207AECAB" w14:textId="77777777" w:rsidR="00B02ACB" w:rsidRPr="004710B9" w:rsidRDefault="004710B9" w:rsidP="008A1A52">
      <w:pPr>
        <w:pBdr>
          <w:bottom w:val="single" w:sz="6" w:space="1" w:color="auto"/>
        </w:pBdr>
        <w:ind w:left="720"/>
        <w:jc w:val="both"/>
        <w:rPr>
          <w:color w:val="0000FF"/>
          <w:sz w:val="22"/>
          <w:szCs w:val="22"/>
        </w:rPr>
      </w:pPr>
      <w:r>
        <w:rPr>
          <w:color w:val="0000FF"/>
          <w:sz w:val="22"/>
          <w:szCs w:val="22"/>
        </w:rPr>
        <w:t>In the c</w:t>
      </w:r>
      <w:r w:rsidR="004946E2" w:rsidRPr="004710B9">
        <w:rPr>
          <w:color w:val="0000FF"/>
          <w:sz w:val="22"/>
          <w:szCs w:val="22"/>
        </w:rPr>
        <w:t xml:space="preserve">urrent </w:t>
      </w:r>
      <w:r w:rsidR="008A1A52" w:rsidRPr="004710B9">
        <w:rPr>
          <w:color w:val="0000FF"/>
          <w:sz w:val="22"/>
          <w:szCs w:val="22"/>
        </w:rPr>
        <w:t>VM-22 SPA dynamic lapse formula,</w:t>
      </w:r>
      <w:r w:rsidR="00714183" w:rsidRPr="00714183">
        <w:rPr>
          <w:color w:val="0000FF"/>
          <w:sz w:val="22"/>
          <w:szCs w:val="22"/>
        </w:rPr>
        <w:t xml:space="preserve"> </w:t>
      </w:r>
      <w:proofErr w:type="gramStart"/>
      <w:r w:rsidR="00714183" w:rsidRPr="004710B9">
        <w:rPr>
          <w:color w:val="0000FF"/>
          <w:sz w:val="22"/>
          <w:szCs w:val="22"/>
        </w:rPr>
        <w:t>in order to</w:t>
      </w:r>
      <w:proofErr w:type="gramEnd"/>
      <w:r w:rsidR="00714183" w:rsidRPr="004710B9">
        <w:rPr>
          <w:color w:val="0000FF"/>
          <w:sz w:val="22"/>
          <w:szCs w:val="22"/>
        </w:rPr>
        <w:t xml:space="preserve"> get the intended resul</w:t>
      </w:r>
      <w:r w:rsidR="00714183">
        <w:rPr>
          <w:color w:val="0000FF"/>
          <w:sz w:val="22"/>
          <w:szCs w:val="22"/>
        </w:rPr>
        <w:t>t,</w:t>
      </w:r>
      <w:r w:rsidR="008A1A52" w:rsidRPr="004710B9">
        <w:rPr>
          <w:color w:val="0000FF"/>
          <w:sz w:val="22"/>
          <w:szCs w:val="22"/>
        </w:rPr>
        <w:t xml:space="preserve"> the Market Factor </w:t>
      </w:r>
      <w:r w:rsidR="00714183">
        <w:rPr>
          <w:color w:val="0000FF"/>
          <w:sz w:val="22"/>
          <w:szCs w:val="22"/>
        </w:rPr>
        <w:t>accept</w:t>
      </w:r>
      <w:r w:rsidR="00DA3D86">
        <w:rPr>
          <w:color w:val="0000FF"/>
          <w:sz w:val="22"/>
          <w:szCs w:val="22"/>
        </w:rPr>
        <w:t>ed</w:t>
      </w:r>
      <w:r w:rsidR="008A1A52" w:rsidRPr="004710B9">
        <w:rPr>
          <w:color w:val="0000FF"/>
          <w:sz w:val="22"/>
          <w:szCs w:val="22"/>
        </w:rPr>
        <w:t xml:space="preserve"> percentage inputs </w:t>
      </w:r>
      <w:r w:rsidR="00F02D8D" w:rsidRPr="004710B9">
        <w:rPr>
          <w:color w:val="0000FF"/>
          <w:sz w:val="22"/>
          <w:szCs w:val="22"/>
        </w:rPr>
        <w:t xml:space="preserve">(for CR, MR, BF) </w:t>
      </w:r>
      <w:r w:rsidR="008A1A52" w:rsidRPr="004710B9">
        <w:rPr>
          <w:color w:val="0000FF"/>
          <w:sz w:val="22"/>
          <w:szCs w:val="22"/>
        </w:rPr>
        <w:t>as whole numbers rather than decimals. For example, 5% was expected to be input as 5</w:t>
      </w:r>
      <w:r w:rsidR="00714183">
        <w:rPr>
          <w:color w:val="0000FF"/>
          <w:sz w:val="22"/>
          <w:szCs w:val="22"/>
        </w:rPr>
        <w:t>, instead of 0.05</w:t>
      </w:r>
      <w:r w:rsidR="008A1A52" w:rsidRPr="004710B9">
        <w:rPr>
          <w:color w:val="0000FF"/>
          <w:sz w:val="22"/>
          <w:szCs w:val="22"/>
        </w:rPr>
        <w:t xml:space="preserve">. </w:t>
      </w:r>
      <w:r w:rsidR="00CC4E35" w:rsidRPr="004710B9">
        <w:rPr>
          <w:color w:val="0000FF"/>
          <w:sz w:val="22"/>
          <w:szCs w:val="22"/>
        </w:rPr>
        <w:t>T</w:t>
      </w:r>
      <w:r w:rsidR="00F02D8D" w:rsidRPr="004710B9">
        <w:rPr>
          <w:color w:val="0000FF"/>
          <w:sz w:val="22"/>
          <w:szCs w:val="22"/>
        </w:rPr>
        <w:t xml:space="preserve">his </w:t>
      </w:r>
      <w:r w:rsidR="00A44ABE">
        <w:rPr>
          <w:color w:val="0000FF"/>
          <w:sz w:val="22"/>
          <w:szCs w:val="22"/>
        </w:rPr>
        <w:t xml:space="preserve">input format </w:t>
      </w:r>
      <w:r w:rsidR="00F02D8D" w:rsidRPr="004710B9">
        <w:rPr>
          <w:color w:val="0000FF"/>
          <w:sz w:val="22"/>
          <w:szCs w:val="22"/>
        </w:rPr>
        <w:t>cause</w:t>
      </w:r>
      <w:r w:rsidR="00714183">
        <w:rPr>
          <w:color w:val="0000FF"/>
          <w:sz w:val="22"/>
          <w:szCs w:val="22"/>
        </w:rPr>
        <w:t>d</w:t>
      </w:r>
      <w:r w:rsidR="00F02D8D" w:rsidRPr="004710B9">
        <w:rPr>
          <w:color w:val="0000FF"/>
          <w:sz w:val="22"/>
          <w:szCs w:val="22"/>
        </w:rPr>
        <w:t xml:space="preserve"> confusion due to</w:t>
      </w:r>
      <w:r w:rsidR="001C0713">
        <w:rPr>
          <w:color w:val="0000FF"/>
          <w:sz w:val="22"/>
          <w:szCs w:val="22"/>
        </w:rPr>
        <w:t xml:space="preserve"> inconsistency with</w:t>
      </w:r>
      <w:r w:rsidR="00F02D8D" w:rsidRPr="004710B9">
        <w:rPr>
          <w:color w:val="0000FF"/>
          <w:sz w:val="22"/>
          <w:szCs w:val="22"/>
        </w:rPr>
        <w:t xml:space="preserve"> </w:t>
      </w:r>
      <w:r w:rsidR="008A1A52" w:rsidRPr="004710B9">
        <w:rPr>
          <w:color w:val="0000FF"/>
          <w:sz w:val="22"/>
          <w:szCs w:val="22"/>
        </w:rPr>
        <w:t xml:space="preserve">mathematical convention where percentages are </w:t>
      </w:r>
      <w:r w:rsidR="00CC4E35" w:rsidRPr="004710B9">
        <w:rPr>
          <w:color w:val="0000FF"/>
          <w:sz w:val="22"/>
          <w:szCs w:val="22"/>
        </w:rPr>
        <w:t>typically expressed</w:t>
      </w:r>
      <w:r w:rsidR="007F569A" w:rsidRPr="004710B9">
        <w:rPr>
          <w:color w:val="0000FF"/>
          <w:sz w:val="22"/>
          <w:szCs w:val="22"/>
        </w:rPr>
        <w:t xml:space="preserve"> as </w:t>
      </w:r>
      <w:r w:rsidR="008A1A52" w:rsidRPr="004710B9">
        <w:rPr>
          <w:color w:val="0000FF"/>
          <w:sz w:val="22"/>
          <w:szCs w:val="22"/>
        </w:rPr>
        <w:t>decimals</w:t>
      </w:r>
      <w:r w:rsidR="00DA3D86">
        <w:rPr>
          <w:color w:val="0000FF"/>
          <w:sz w:val="22"/>
          <w:szCs w:val="22"/>
        </w:rPr>
        <w:t xml:space="preserve"> (e.g., 5% is 0.05, not 5)</w:t>
      </w:r>
      <w:r w:rsidR="004946E2" w:rsidRPr="004710B9">
        <w:rPr>
          <w:color w:val="0000FF"/>
          <w:sz w:val="22"/>
          <w:szCs w:val="22"/>
        </w:rPr>
        <w:t>.</w:t>
      </w:r>
    </w:p>
    <w:p w14:paraId="26D6107F" w14:textId="77777777" w:rsidR="008A1A52" w:rsidRPr="004710B9" w:rsidRDefault="008A1A52" w:rsidP="008A1A52">
      <w:pPr>
        <w:pBdr>
          <w:bottom w:val="single" w:sz="6" w:space="1" w:color="auto"/>
        </w:pBdr>
        <w:ind w:left="720"/>
        <w:jc w:val="both"/>
        <w:rPr>
          <w:color w:val="0000FF"/>
          <w:sz w:val="22"/>
          <w:szCs w:val="22"/>
        </w:rPr>
      </w:pPr>
    </w:p>
    <w:p w14:paraId="7D43B0B3" w14:textId="77777777" w:rsidR="00D57F0E" w:rsidRPr="004710B9" w:rsidRDefault="00F02D8D" w:rsidP="00D57F0E">
      <w:pPr>
        <w:pBdr>
          <w:bottom w:val="single" w:sz="6" w:space="1" w:color="auto"/>
        </w:pBdr>
        <w:ind w:left="720"/>
        <w:jc w:val="both"/>
        <w:rPr>
          <w:color w:val="0000FF"/>
          <w:sz w:val="22"/>
          <w:szCs w:val="22"/>
        </w:rPr>
      </w:pPr>
      <w:r w:rsidRPr="004710B9">
        <w:rPr>
          <w:color w:val="0000FF"/>
          <w:sz w:val="22"/>
          <w:szCs w:val="22"/>
        </w:rPr>
        <w:t>T</w:t>
      </w:r>
      <w:r w:rsidR="008A1A52" w:rsidRPr="004710B9">
        <w:rPr>
          <w:color w:val="0000FF"/>
          <w:sz w:val="22"/>
          <w:szCs w:val="22"/>
        </w:rPr>
        <w:t xml:space="preserve">his APF updates the </w:t>
      </w:r>
      <w:r w:rsidR="004946E2" w:rsidRPr="004710B9">
        <w:rPr>
          <w:color w:val="0000FF"/>
          <w:sz w:val="22"/>
          <w:szCs w:val="22"/>
        </w:rPr>
        <w:t xml:space="preserve">formula for </w:t>
      </w:r>
      <w:r w:rsidR="008A1A52" w:rsidRPr="004710B9">
        <w:rPr>
          <w:color w:val="0000FF"/>
          <w:sz w:val="22"/>
          <w:szCs w:val="22"/>
        </w:rPr>
        <w:t>Market Factor to accept decimal inputs for percentages rather than whole number inputs</w:t>
      </w:r>
      <w:r w:rsidRPr="004710B9">
        <w:rPr>
          <w:color w:val="0000FF"/>
          <w:sz w:val="22"/>
          <w:szCs w:val="22"/>
        </w:rPr>
        <w:t>, which follows mathematical convention</w:t>
      </w:r>
      <w:r w:rsidR="008A1A52" w:rsidRPr="004710B9">
        <w:rPr>
          <w:color w:val="0000FF"/>
          <w:sz w:val="22"/>
          <w:szCs w:val="22"/>
        </w:rPr>
        <w:t xml:space="preserve">. </w:t>
      </w:r>
      <w:r w:rsidR="00CC4E35" w:rsidRPr="004710B9">
        <w:rPr>
          <w:color w:val="0000FF"/>
          <w:sz w:val="22"/>
          <w:szCs w:val="22"/>
        </w:rPr>
        <w:t>The formula for Rate Factor also requires updating</w:t>
      </w:r>
      <w:r w:rsidR="004710B9">
        <w:rPr>
          <w:color w:val="0000FF"/>
          <w:sz w:val="22"/>
          <w:szCs w:val="22"/>
        </w:rPr>
        <w:t>, to output a decimal percentage rather than a whole number percentage</w:t>
      </w:r>
      <w:r w:rsidR="00DA3D86">
        <w:rPr>
          <w:color w:val="0000FF"/>
          <w:sz w:val="22"/>
          <w:szCs w:val="22"/>
        </w:rPr>
        <w:t xml:space="preserve"> (</w:t>
      </w:r>
      <w:r w:rsidR="00A44ABE">
        <w:rPr>
          <w:color w:val="0000FF"/>
          <w:sz w:val="22"/>
          <w:szCs w:val="22"/>
        </w:rPr>
        <w:t>w</w:t>
      </w:r>
      <w:r w:rsidR="00A44ABE" w:rsidRPr="004710B9">
        <w:rPr>
          <w:color w:val="0000FF"/>
          <w:sz w:val="22"/>
          <w:szCs w:val="22"/>
        </w:rPr>
        <w:t>hich</w:t>
      </w:r>
      <w:r w:rsidR="00A44ABE">
        <w:rPr>
          <w:color w:val="0000FF"/>
          <w:sz w:val="22"/>
          <w:szCs w:val="22"/>
        </w:rPr>
        <w:t xml:space="preserve"> again</w:t>
      </w:r>
      <w:r w:rsidR="00A44ABE" w:rsidRPr="004710B9">
        <w:rPr>
          <w:color w:val="0000FF"/>
          <w:sz w:val="22"/>
          <w:szCs w:val="22"/>
        </w:rPr>
        <w:t xml:space="preserve"> follows mathematical convention</w:t>
      </w:r>
      <w:r w:rsidR="00DA3D86">
        <w:rPr>
          <w:color w:val="0000FF"/>
          <w:sz w:val="22"/>
          <w:szCs w:val="22"/>
        </w:rPr>
        <w:t>), to be correctly input into the Total Lapse formula</w:t>
      </w:r>
      <w:r w:rsidR="00CC4E35" w:rsidRPr="004710B9">
        <w:rPr>
          <w:color w:val="0000FF"/>
          <w:sz w:val="22"/>
          <w:szCs w:val="22"/>
        </w:rPr>
        <w:t xml:space="preserve">. </w:t>
      </w:r>
      <w:r w:rsidR="00D57F0E">
        <w:rPr>
          <w:color w:val="0000FF"/>
          <w:sz w:val="22"/>
          <w:szCs w:val="22"/>
        </w:rPr>
        <w:t>In the end, the Total Lapse result will be unchanged.</w:t>
      </w:r>
    </w:p>
    <w:p w14:paraId="28DEB7B1" w14:textId="77777777" w:rsidR="00DA3D86" w:rsidRDefault="00DA3D86" w:rsidP="008A1A52">
      <w:pPr>
        <w:pBdr>
          <w:bottom w:val="single" w:sz="6" w:space="1" w:color="auto"/>
        </w:pBdr>
        <w:ind w:left="720"/>
        <w:jc w:val="both"/>
        <w:rPr>
          <w:color w:val="0000FF"/>
          <w:sz w:val="22"/>
          <w:szCs w:val="22"/>
        </w:rPr>
      </w:pPr>
    </w:p>
    <w:p w14:paraId="0339D41A" w14:textId="77777777" w:rsidR="00DA3D86" w:rsidRDefault="00DA3D86" w:rsidP="008A1A52">
      <w:pPr>
        <w:pBdr>
          <w:bottom w:val="single" w:sz="6" w:space="1" w:color="auto"/>
        </w:pBdr>
        <w:ind w:left="720"/>
        <w:jc w:val="both"/>
        <w:rPr>
          <w:color w:val="0000FF"/>
          <w:sz w:val="22"/>
          <w:szCs w:val="22"/>
        </w:rPr>
      </w:pPr>
      <w:r>
        <w:rPr>
          <w:color w:val="0000FF"/>
          <w:sz w:val="22"/>
          <w:szCs w:val="22"/>
        </w:rPr>
        <w:t>Mechanically</w:t>
      </w:r>
      <w:r w:rsidR="00D57F0E">
        <w:rPr>
          <w:color w:val="0000FF"/>
          <w:sz w:val="22"/>
          <w:szCs w:val="22"/>
        </w:rPr>
        <w:t xml:space="preserve">, to end up with the same result, </w:t>
      </w:r>
      <w:r>
        <w:rPr>
          <w:color w:val="0000FF"/>
          <w:sz w:val="22"/>
          <w:szCs w:val="22"/>
        </w:rPr>
        <w:t>t</w:t>
      </w:r>
      <w:r w:rsidR="00714183">
        <w:rPr>
          <w:color w:val="0000FF"/>
          <w:sz w:val="22"/>
          <w:szCs w:val="22"/>
        </w:rPr>
        <w:t>he changes</w:t>
      </w:r>
      <w:r w:rsidR="00D57F0E">
        <w:rPr>
          <w:color w:val="0000FF"/>
          <w:sz w:val="22"/>
          <w:szCs w:val="22"/>
        </w:rPr>
        <w:t xml:space="preserve"> being proposed are</w:t>
      </w:r>
      <w:r w:rsidR="001C0713">
        <w:rPr>
          <w:color w:val="0000FF"/>
          <w:sz w:val="22"/>
          <w:szCs w:val="22"/>
        </w:rPr>
        <w:t xml:space="preserve"> to</w:t>
      </w:r>
      <w:r>
        <w:rPr>
          <w:color w:val="0000FF"/>
          <w:sz w:val="22"/>
          <w:szCs w:val="22"/>
        </w:rPr>
        <w:t>:</w:t>
      </w:r>
    </w:p>
    <w:p w14:paraId="5C8A91E8" w14:textId="77777777" w:rsidR="00DA3D86" w:rsidRDefault="00DA3D86" w:rsidP="00DA3D86">
      <w:pPr>
        <w:pBdr>
          <w:bottom w:val="single" w:sz="6" w:space="1" w:color="auto"/>
        </w:pBdr>
        <w:ind w:left="720" w:firstLine="720"/>
        <w:jc w:val="both"/>
        <w:rPr>
          <w:color w:val="0000FF"/>
          <w:sz w:val="22"/>
          <w:szCs w:val="22"/>
        </w:rPr>
      </w:pPr>
      <w:r>
        <w:rPr>
          <w:color w:val="0000FF"/>
          <w:sz w:val="22"/>
          <w:szCs w:val="22"/>
        </w:rPr>
        <w:t>-</w:t>
      </w:r>
      <w:r w:rsidR="00714183">
        <w:rPr>
          <w:color w:val="0000FF"/>
          <w:sz w:val="22"/>
          <w:szCs w:val="22"/>
        </w:rPr>
        <w:t xml:space="preserve"> </w:t>
      </w:r>
      <w:r>
        <w:rPr>
          <w:color w:val="0000FF"/>
          <w:sz w:val="22"/>
          <w:szCs w:val="22"/>
        </w:rPr>
        <w:t xml:space="preserve">multiply the decimal percentage inputs of the </w:t>
      </w:r>
      <w:r w:rsidR="004946E2" w:rsidRPr="004710B9">
        <w:rPr>
          <w:color w:val="0000FF"/>
          <w:sz w:val="22"/>
          <w:szCs w:val="22"/>
        </w:rPr>
        <w:t>Market Factor</w:t>
      </w:r>
      <w:r>
        <w:rPr>
          <w:color w:val="0000FF"/>
          <w:sz w:val="22"/>
          <w:szCs w:val="22"/>
        </w:rPr>
        <w:t xml:space="preserve"> </w:t>
      </w:r>
      <w:r w:rsidR="004946E2" w:rsidRPr="004710B9">
        <w:rPr>
          <w:color w:val="0000FF"/>
          <w:sz w:val="22"/>
          <w:szCs w:val="22"/>
        </w:rPr>
        <w:t>by 100</w:t>
      </w:r>
    </w:p>
    <w:p w14:paraId="4B0C4E6B" w14:textId="77777777" w:rsidR="00DA3D86" w:rsidRDefault="00DA3D86" w:rsidP="00DA3D86">
      <w:pPr>
        <w:pBdr>
          <w:bottom w:val="single" w:sz="6" w:space="1" w:color="auto"/>
        </w:pBdr>
        <w:ind w:left="720" w:firstLine="720"/>
        <w:jc w:val="both"/>
        <w:rPr>
          <w:color w:val="0000FF"/>
          <w:sz w:val="22"/>
          <w:szCs w:val="22"/>
        </w:rPr>
      </w:pPr>
      <w:r>
        <w:rPr>
          <w:color w:val="0000FF"/>
          <w:sz w:val="22"/>
          <w:szCs w:val="22"/>
        </w:rPr>
        <w:t>- divid</w:t>
      </w:r>
      <w:r w:rsidR="001C0713">
        <w:rPr>
          <w:color w:val="0000FF"/>
          <w:sz w:val="22"/>
          <w:szCs w:val="22"/>
        </w:rPr>
        <w:t>e</w:t>
      </w:r>
      <w:r>
        <w:rPr>
          <w:color w:val="0000FF"/>
          <w:sz w:val="22"/>
          <w:szCs w:val="22"/>
        </w:rPr>
        <w:t xml:space="preserve"> the </w:t>
      </w:r>
      <w:r w:rsidR="004946E2" w:rsidRPr="004710B9">
        <w:rPr>
          <w:color w:val="0000FF"/>
          <w:sz w:val="22"/>
          <w:szCs w:val="22"/>
        </w:rPr>
        <w:t>Rate Factor by 100</w:t>
      </w:r>
      <w:r>
        <w:rPr>
          <w:color w:val="0000FF"/>
          <w:sz w:val="22"/>
          <w:szCs w:val="22"/>
        </w:rPr>
        <w:t xml:space="preserve"> to </w:t>
      </w:r>
      <w:r w:rsidR="00D57F0E">
        <w:rPr>
          <w:color w:val="0000FF"/>
          <w:sz w:val="22"/>
          <w:szCs w:val="22"/>
        </w:rPr>
        <w:t>turn</w:t>
      </w:r>
      <w:r>
        <w:rPr>
          <w:color w:val="0000FF"/>
          <w:sz w:val="22"/>
          <w:szCs w:val="22"/>
        </w:rPr>
        <w:t xml:space="preserve"> it</w:t>
      </w:r>
      <w:r w:rsidR="00D57F0E">
        <w:rPr>
          <w:color w:val="0000FF"/>
          <w:sz w:val="22"/>
          <w:szCs w:val="22"/>
        </w:rPr>
        <w:t xml:space="preserve"> into</w:t>
      </w:r>
      <w:r>
        <w:rPr>
          <w:color w:val="0000FF"/>
          <w:sz w:val="22"/>
          <w:szCs w:val="22"/>
        </w:rPr>
        <w:t xml:space="preserve"> a decimal percentage output</w:t>
      </w:r>
    </w:p>
    <w:p w14:paraId="3229473F" w14:textId="77777777" w:rsidR="004946E2" w:rsidRPr="004710B9" w:rsidRDefault="004946E2" w:rsidP="008A1A52">
      <w:pPr>
        <w:pBdr>
          <w:bottom w:val="single" w:sz="6" w:space="1" w:color="auto"/>
        </w:pBdr>
        <w:ind w:left="720"/>
        <w:jc w:val="both"/>
        <w:rPr>
          <w:color w:val="0000FF"/>
          <w:sz w:val="22"/>
          <w:szCs w:val="22"/>
        </w:rPr>
      </w:pPr>
    </w:p>
    <w:p w14:paraId="749F16B2" w14:textId="77777777" w:rsidR="004710B9" w:rsidRDefault="004946E2" w:rsidP="008A1A52">
      <w:pPr>
        <w:pBdr>
          <w:bottom w:val="single" w:sz="6" w:space="1" w:color="auto"/>
        </w:pBdr>
        <w:ind w:left="720"/>
        <w:jc w:val="both"/>
        <w:rPr>
          <w:color w:val="0000FF"/>
          <w:sz w:val="22"/>
          <w:szCs w:val="22"/>
        </w:rPr>
      </w:pPr>
      <w:r w:rsidRPr="004710B9">
        <w:rPr>
          <w:color w:val="0000FF"/>
          <w:sz w:val="22"/>
          <w:szCs w:val="22"/>
        </w:rPr>
        <w:t>(Footnote: CR = Crediting Rate; MR = Market Rate; BF = Buffer Factor)</w:t>
      </w:r>
    </w:p>
    <w:p w14:paraId="1636B090" w14:textId="77777777" w:rsidR="007751F6" w:rsidRDefault="007751F6" w:rsidP="008A1A52">
      <w:pPr>
        <w:pBdr>
          <w:bottom w:val="single" w:sz="6" w:space="1" w:color="auto"/>
        </w:pBdr>
        <w:ind w:left="720"/>
        <w:jc w:val="both"/>
        <w:rPr>
          <w:color w:val="0000FF"/>
          <w:sz w:val="22"/>
          <w:szCs w:val="22"/>
        </w:rPr>
      </w:pPr>
    </w:p>
    <w:p w14:paraId="4B204E91" w14:textId="77777777" w:rsidR="007751F6" w:rsidRPr="007751F6" w:rsidRDefault="007751F6" w:rsidP="007751F6">
      <w:pPr>
        <w:pBdr>
          <w:bottom w:val="single" w:sz="6" w:space="1" w:color="auto"/>
        </w:pBdr>
        <w:ind w:left="720"/>
        <w:jc w:val="both"/>
        <w:rPr>
          <w:color w:val="0000FF"/>
          <w:sz w:val="20"/>
          <w:szCs w:val="20"/>
        </w:rPr>
      </w:pPr>
      <w:r>
        <w:rPr>
          <w:color w:val="0000FF"/>
          <w:sz w:val="22"/>
          <w:szCs w:val="22"/>
        </w:rPr>
        <w:t>A subsequent update to the APF puts “</w:t>
      </w:r>
      <w:r w:rsidRPr="004710B9">
        <w:rPr>
          <w:color w:val="EE0000"/>
          <w:sz w:val="22"/>
          <w:szCs w:val="22"/>
        </w:rPr>
        <w:t>÷ 100</w:t>
      </w:r>
      <w:r w:rsidRPr="007751F6">
        <w:rPr>
          <w:color w:val="0000FF"/>
          <w:sz w:val="22"/>
          <w:szCs w:val="22"/>
        </w:rPr>
        <w:t xml:space="preserve">” into </w:t>
      </w:r>
      <w:r>
        <w:rPr>
          <w:color w:val="0000FF"/>
          <w:sz w:val="22"/>
          <w:szCs w:val="22"/>
        </w:rPr>
        <w:t xml:space="preserve">the </w:t>
      </w:r>
      <w:r w:rsidRPr="007751F6">
        <w:rPr>
          <w:color w:val="0000FF"/>
          <w:sz w:val="22"/>
          <w:szCs w:val="22"/>
        </w:rPr>
        <w:t>Market Factor rather than the Rate Factor.</w:t>
      </w:r>
      <w:r>
        <w:rPr>
          <w:color w:val="0000FF"/>
          <w:sz w:val="22"/>
          <w:szCs w:val="22"/>
        </w:rPr>
        <w:t xml:space="preserve"> </w:t>
      </w:r>
      <w:r w:rsidRPr="007751F6">
        <w:rPr>
          <w:color w:val="0000FF"/>
          <w:sz w:val="22"/>
          <w:szCs w:val="22"/>
        </w:rPr>
        <w:t xml:space="preserve">This </w:t>
      </w:r>
      <w:r>
        <w:rPr>
          <w:color w:val="0000FF"/>
          <w:sz w:val="22"/>
          <w:szCs w:val="22"/>
        </w:rPr>
        <w:t>h</w:t>
      </w:r>
      <w:r w:rsidRPr="007751F6">
        <w:rPr>
          <w:color w:val="0000FF"/>
          <w:sz w:val="22"/>
          <w:szCs w:val="22"/>
        </w:rPr>
        <w:t>a</w:t>
      </w:r>
      <w:r>
        <w:rPr>
          <w:color w:val="0000FF"/>
          <w:sz w:val="22"/>
          <w:szCs w:val="22"/>
        </w:rPr>
        <w:t>s</w:t>
      </w:r>
      <w:r w:rsidRPr="007751F6">
        <w:rPr>
          <w:color w:val="0000FF"/>
          <w:sz w:val="22"/>
          <w:szCs w:val="22"/>
        </w:rPr>
        <w:t xml:space="preserve"> the advantage of both the Market Factor and Rate </w:t>
      </w:r>
      <w:proofErr w:type="gramStart"/>
      <w:r w:rsidRPr="007751F6">
        <w:rPr>
          <w:color w:val="0000FF"/>
          <w:sz w:val="22"/>
          <w:szCs w:val="22"/>
        </w:rPr>
        <w:t xml:space="preserve">Factor </w:t>
      </w:r>
      <w:r>
        <w:rPr>
          <w:color w:val="0000FF"/>
          <w:sz w:val="22"/>
          <w:szCs w:val="22"/>
        </w:rPr>
        <w:t>to</w:t>
      </w:r>
      <w:proofErr w:type="gramEnd"/>
      <w:r>
        <w:rPr>
          <w:color w:val="0000FF"/>
          <w:sz w:val="22"/>
          <w:szCs w:val="22"/>
        </w:rPr>
        <w:t xml:space="preserve"> </w:t>
      </w:r>
      <w:r w:rsidRPr="007751F6">
        <w:rPr>
          <w:color w:val="0000FF"/>
          <w:sz w:val="22"/>
          <w:szCs w:val="22"/>
        </w:rPr>
        <w:t xml:space="preserve">consistently </w:t>
      </w:r>
      <w:proofErr w:type="gramStart"/>
      <w:r>
        <w:rPr>
          <w:color w:val="0000FF"/>
          <w:sz w:val="22"/>
          <w:szCs w:val="22"/>
        </w:rPr>
        <w:t>be</w:t>
      </w:r>
      <w:proofErr w:type="gramEnd"/>
      <w:r>
        <w:rPr>
          <w:color w:val="0000FF"/>
          <w:sz w:val="22"/>
          <w:szCs w:val="22"/>
        </w:rPr>
        <w:t xml:space="preserve"> </w:t>
      </w:r>
      <w:r w:rsidRPr="007751F6">
        <w:rPr>
          <w:color w:val="0000FF"/>
          <w:sz w:val="22"/>
          <w:szCs w:val="22"/>
        </w:rPr>
        <w:t>decimals</w:t>
      </w:r>
      <w:r>
        <w:rPr>
          <w:color w:val="0000FF"/>
          <w:sz w:val="22"/>
          <w:szCs w:val="22"/>
        </w:rPr>
        <w:t>.</w:t>
      </w:r>
    </w:p>
    <w:p w14:paraId="3172EABE" w14:textId="77777777" w:rsidR="008A1A52" w:rsidRDefault="008A1A52" w:rsidP="007F569A">
      <w:pPr>
        <w:pBdr>
          <w:bottom w:val="single" w:sz="6" w:space="1" w:color="auto"/>
        </w:pBdr>
        <w:jc w:val="both"/>
        <w:rPr>
          <w:sz w:val="20"/>
          <w:szCs w:val="20"/>
        </w:rPr>
      </w:pPr>
    </w:p>
    <w:p w14:paraId="20A43B3D" w14:textId="77777777" w:rsidR="007751F6" w:rsidRPr="002F4168" w:rsidRDefault="007751F6" w:rsidP="007F569A">
      <w:pPr>
        <w:pBdr>
          <w:bottom w:val="single" w:sz="6" w:space="1" w:color="auto"/>
        </w:pBdr>
        <w:jc w:val="both"/>
        <w:rPr>
          <w:sz w:val="20"/>
          <w:szCs w:val="20"/>
        </w:rPr>
      </w:pPr>
    </w:p>
    <w:p w14:paraId="5781602F" w14:textId="77777777" w:rsidR="00603123" w:rsidRPr="00161C33" w:rsidRDefault="006B22FB" w:rsidP="008863E5">
      <w:pPr>
        <w:pBdr>
          <w:bottom w:val="single" w:sz="6" w:space="1" w:color="auto"/>
        </w:pBdr>
        <w:jc w:val="both"/>
        <w:rPr>
          <w:sz w:val="16"/>
          <w:szCs w:val="16"/>
        </w:rPr>
      </w:pPr>
      <w:r w:rsidRPr="00161C33">
        <w:rPr>
          <w:sz w:val="16"/>
          <w:szCs w:val="16"/>
        </w:rPr>
        <w:t xml:space="preserve">* This form is not intended for minor </w:t>
      </w:r>
      <w:r w:rsidR="002E3959" w:rsidRPr="00161C33">
        <w:rPr>
          <w:sz w:val="16"/>
          <w:szCs w:val="16"/>
        </w:rPr>
        <w:t xml:space="preserve">corrections, such as formatting, </w:t>
      </w:r>
      <w:r w:rsidRPr="00161C33">
        <w:rPr>
          <w:sz w:val="16"/>
          <w:szCs w:val="16"/>
        </w:rPr>
        <w:t>gramma</w:t>
      </w:r>
      <w:r w:rsidR="002E3959" w:rsidRPr="00161C33">
        <w:rPr>
          <w:sz w:val="16"/>
          <w:szCs w:val="16"/>
        </w:rPr>
        <w:t>r</w:t>
      </w:r>
      <w:r w:rsidRPr="00161C33">
        <w:rPr>
          <w:sz w:val="16"/>
          <w:szCs w:val="16"/>
        </w:rPr>
        <w:t xml:space="preserve">, </w:t>
      </w:r>
      <w:r w:rsidR="002E3959" w:rsidRPr="00161C33">
        <w:rPr>
          <w:sz w:val="16"/>
          <w:szCs w:val="16"/>
        </w:rPr>
        <w:t xml:space="preserve">cross–references </w:t>
      </w:r>
      <w:r w:rsidRPr="00161C33">
        <w:rPr>
          <w:sz w:val="16"/>
          <w:szCs w:val="16"/>
        </w:rPr>
        <w:t xml:space="preserve">or spelling. Those types of changes do not require action by the entire group and may be submitted via letter or email to the NAIC staff support person for the NAIC group where the document originated. </w:t>
      </w:r>
    </w:p>
    <w:p w14:paraId="1953E0CA" w14:textId="77777777" w:rsidR="007751F6" w:rsidRDefault="007751F6" w:rsidP="008863E5">
      <w:pPr>
        <w:jc w:val="both"/>
        <w:rPr>
          <w:sz w:val="20"/>
          <w:szCs w:val="20"/>
          <w:u w:val="single"/>
        </w:rPr>
      </w:pPr>
    </w:p>
    <w:p w14:paraId="41E36692" w14:textId="77777777" w:rsidR="007751F6" w:rsidRDefault="007751F6" w:rsidP="008863E5">
      <w:pPr>
        <w:jc w:val="both"/>
        <w:rPr>
          <w:sz w:val="20"/>
          <w:szCs w:val="20"/>
          <w:u w:val="single"/>
        </w:rPr>
      </w:pPr>
    </w:p>
    <w:p w14:paraId="4BE2C9ED" w14:textId="77777777" w:rsidR="007751F6" w:rsidRDefault="007751F6" w:rsidP="008863E5">
      <w:pPr>
        <w:jc w:val="both"/>
        <w:rPr>
          <w:sz w:val="20"/>
          <w:szCs w:val="20"/>
          <w:u w:val="single"/>
        </w:rPr>
      </w:pPr>
    </w:p>
    <w:p w14:paraId="56696F99" w14:textId="77777777" w:rsidR="007751F6" w:rsidRDefault="007751F6" w:rsidP="008863E5">
      <w:pPr>
        <w:jc w:val="both"/>
        <w:rPr>
          <w:sz w:val="20"/>
          <w:szCs w:val="20"/>
          <w:u w:val="single"/>
        </w:rPr>
      </w:pPr>
    </w:p>
    <w:p w14:paraId="25EB2D01" w14:textId="77777777" w:rsidR="007751F6" w:rsidRDefault="007751F6" w:rsidP="008863E5">
      <w:pPr>
        <w:jc w:val="both"/>
        <w:rPr>
          <w:sz w:val="20"/>
          <w:szCs w:val="20"/>
          <w:u w:val="single"/>
        </w:rPr>
      </w:pPr>
    </w:p>
    <w:p w14:paraId="4A2A52D5" w14:textId="77777777" w:rsidR="002E3959" w:rsidRPr="005830AC" w:rsidRDefault="002E3959" w:rsidP="008863E5">
      <w:pPr>
        <w:jc w:val="both"/>
        <w:rPr>
          <w:sz w:val="20"/>
          <w:szCs w:val="20"/>
        </w:rPr>
      </w:pPr>
      <w:r w:rsidRPr="005830AC">
        <w:rPr>
          <w:sz w:val="20"/>
          <w:szCs w:val="20"/>
          <w:u w:val="single"/>
        </w:rPr>
        <w:lastRenderedPageBreak/>
        <w:t>NAIC Staff Comments</w:t>
      </w:r>
      <w:r w:rsidRPr="005830AC">
        <w:rPr>
          <w:sz w:val="20"/>
          <w:szCs w:val="20"/>
        </w:rPr>
        <w:t>:</w:t>
      </w:r>
    </w:p>
    <w:p w14:paraId="54B89C8E" w14:textId="77777777" w:rsidR="005F04CC" w:rsidRPr="00493D67" w:rsidRDefault="005F04CC" w:rsidP="008863E5">
      <w:pPr>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942EC6" w:rsidRPr="0060765E" w14:paraId="3C903132" w14:textId="77777777" w:rsidTr="0060765E">
        <w:trPr>
          <w:trHeight w:val="197"/>
          <w:jc w:val="center"/>
        </w:trPr>
        <w:tc>
          <w:tcPr>
            <w:tcW w:w="2088" w:type="dxa"/>
            <w:shd w:val="clear" w:color="auto" w:fill="CCCCCC"/>
          </w:tcPr>
          <w:p w14:paraId="495AD1FF" w14:textId="77777777" w:rsidR="00942EC6" w:rsidRPr="0060765E" w:rsidRDefault="00942EC6" w:rsidP="0060765E">
            <w:pPr>
              <w:keepNext/>
              <w:keepLines/>
              <w:jc w:val="both"/>
              <w:rPr>
                <w:sz w:val="20"/>
                <w:szCs w:val="20"/>
              </w:rPr>
            </w:pPr>
            <w:r w:rsidRPr="0060765E">
              <w:rPr>
                <w:rFonts w:ascii="Arial" w:hAnsi="Arial" w:cs="Arial"/>
                <w:b/>
                <w:sz w:val="20"/>
                <w:szCs w:val="20"/>
              </w:rPr>
              <w:t xml:space="preserve">Dates: </w:t>
            </w:r>
            <w:r w:rsidRPr="0060765E">
              <w:rPr>
                <w:rFonts w:ascii="Arial" w:hAnsi="Arial" w:cs="Arial"/>
                <w:sz w:val="20"/>
                <w:szCs w:val="20"/>
              </w:rPr>
              <w:t>Received</w:t>
            </w:r>
          </w:p>
        </w:tc>
        <w:tc>
          <w:tcPr>
            <w:tcW w:w="1980" w:type="dxa"/>
            <w:shd w:val="clear" w:color="auto" w:fill="CCCCCC"/>
          </w:tcPr>
          <w:p w14:paraId="3C36F862" w14:textId="77777777" w:rsidR="00942EC6" w:rsidRPr="0060765E" w:rsidRDefault="00942EC6" w:rsidP="0060765E">
            <w:pPr>
              <w:keepNext/>
              <w:keepLines/>
              <w:jc w:val="both"/>
              <w:rPr>
                <w:sz w:val="20"/>
                <w:szCs w:val="20"/>
              </w:rPr>
            </w:pPr>
            <w:r w:rsidRPr="0060765E">
              <w:rPr>
                <w:rFonts w:ascii="Arial" w:hAnsi="Arial" w:cs="Arial"/>
                <w:sz w:val="20"/>
                <w:szCs w:val="20"/>
              </w:rPr>
              <w:t>Reviewed by Staff</w:t>
            </w:r>
          </w:p>
        </w:tc>
        <w:tc>
          <w:tcPr>
            <w:tcW w:w="1955" w:type="dxa"/>
            <w:shd w:val="clear" w:color="auto" w:fill="CCCCCC"/>
          </w:tcPr>
          <w:p w14:paraId="23E38BCA" w14:textId="77777777" w:rsidR="00942EC6" w:rsidRPr="0060765E" w:rsidRDefault="00942EC6" w:rsidP="0060765E">
            <w:pPr>
              <w:keepNext/>
              <w:keepLines/>
              <w:jc w:val="both"/>
              <w:rPr>
                <w:sz w:val="20"/>
                <w:szCs w:val="20"/>
              </w:rPr>
            </w:pPr>
            <w:r w:rsidRPr="0060765E">
              <w:rPr>
                <w:rFonts w:ascii="Arial" w:hAnsi="Arial" w:cs="Arial"/>
                <w:sz w:val="20"/>
                <w:szCs w:val="20"/>
              </w:rPr>
              <w:t>Distributed</w:t>
            </w:r>
          </w:p>
        </w:tc>
        <w:tc>
          <w:tcPr>
            <w:tcW w:w="3862" w:type="dxa"/>
            <w:shd w:val="clear" w:color="auto" w:fill="CCCCCC"/>
          </w:tcPr>
          <w:p w14:paraId="6B768318" w14:textId="77777777" w:rsidR="00942EC6" w:rsidRPr="0060765E" w:rsidRDefault="00942EC6" w:rsidP="0060765E">
            <w:pPr>
              <w:keepNext/>
              <w:keepLines/>
              <w:jc w:val="both"/>
              <w:rPr>
                <w:sz w:val="20"/>
                <w:szCs w:val="20"/>
              </w:rPr>
            </w:pPr>
            <w:r w:rsidRPr="0060765E">
              <w:rPr>
                <w:rFonts w:ascii="Arial" w:hAnsi="Arial" w:cs="Arial"/>
                <w:sz w:val="20"/>
                <w:szCs w:val="20"/>
              </w:rPr>
              <w:t>Considered</w:t>
            </w:r>
          </w:p>
        </w:tc>
      </w:tr>
      <w:tr w:rsidR="00942EC6" w:rsidRPr="0060765E" w14:paraId="22AE3043" w14:textId="77777777" w:rsidTr="0060765E">
        <w:trPr>
          <w:trHeight w:val="323"/>
          <w:jc w:val="center"/>
        </w:trPr>
        <w:tc>
          <w:tcPr>
            <w:tcW w:w="2088" w:type="dxa"/>
            <w:shd w:val="clear" w:color="auto" w:fill="CCCCCC"/>
          </w:tcPr>
          <w:p w14:paraId="02BC2036" w14:textId="1823EED2" w:rsidR="00942EC6" w:rsidRPr="0060765E" w:rsidRDefault="00F4772A" w:rsidP="0060765E">
            <w:pPr>
              <w:keepNext/>
              <w:keepLines/>
              <w:jc w:val="both"/>
              <w:rPr>
                <w:sz w:val="20"/>
                <w:szCs w:val="20"/>
              </w:rPr>
            </w:pPr>
            <w:r>
              <w:rPr>
                <w:sz w:val="20"/>
                <w:szCs w:val="20"/>
              </w:rPr>
              <w:t>3/10/26</w:t>
            </w:r>
          </w:p>
        </w:tc>
        <w:tc>
          <w:tcPr>
            <w:tcW w:w="1980" w:type="dxa"/>
            <w:shd w:val="clear" w:color="auto" w:fill="CCCCCC"/>
          </w:tcPr>
          <w:p w14:paraId="062C7151" w14:textId="6A8037F6" w:rsidR="00942EC6" w:rsidRPr="0060765E" w:rsidRDefault="00F4772A" w:rsidP="0060765E">
            <w:pPr>
              <w:keepNext/>
              <w:keepLines/>
              <w:jc w:val="both"/>
              <w:rPr>
                <w:sz w:val="20"/>
                <w:szCs w:val="20"/>
              </w:rPr>
            </w:pPr>
            <w:r>
              <w:rPr>
                <w:sz w:val="20"/>
                <w:szCs w:val="20"/>
              </w:rPr>
              <w:t>S.O.</w:t>
            </w:r>
          </w:p>
        </w:tc>
        <w:tc>
          <w:tcPr>
            <w:tcW w:w="1955" w:type="dxa"/>
            <w:shd w:val="clear" w:color="auto" w:fill="CCCCCC"/>
          </w:tcPr>
          <w:p w14:paraId="7203DEA8" w14:textId="77777777" w:rsidR="00942EC6" w:rsidRPr="0060765E" w:rsidRDefault="00942EC6" w:rsidP="0060765E">
            <w:pPr>
              <w:keepNext/>
              <w:keepLines/>
              <w:jc w:val="both"/>
              <w:rPr>
                <w:sz w:val="20"/>
                <w:szCs w:val="20"/>
              </w:rPr>
            </w:pPr>
          </w:p>
        </w:tc>
        <w:tc>
          <w:tcPr>
            <w:tcW w:w="3862" w:type="dxa"/>
            <w:shd w:val="clear" w:color="auto" w:fill="CCCCCC"/>
          </w:tcPr>
          <w:p w14:paraId="1981C6A4" w14:textId="77777777" w:rsidR="00942EC6" w:rsidRPr="0060765E" w:rsidRDefault="00942EC6" w:rsidP="0060765E">
            <w:pPr>
              <w:keepNext/>
              <w:keepLines/>
              <w:jc w:val="both"/>
              <w:rPr>
                <w:sz w:val="20"/>
                <w:szCs w:val="20"/>
              </w:rPr>
            </w:pPr>
          </w:p>
        </w:tc>
      </w:tr>
      <w:tr w:rsidR="00942EC6" w:rsidRPr="0060765E" w14:paraId="779F11DC" w14:textId="77777777" w:rsidTr="0060765E">
        <w:trPr>
          <w:trHeight w:val="737"/>
          <w:jc w:val="center"/>
        </w:trPr>
        <w:tc>
          <w:tcPr>
            <w:tcW w:w="9885" w:type="dxa"/>
            <w:gridSpan w:val="4"/>
            <w:shd w:val="clear" w:color="auto" w:fill="CCCCCC"/>
          </w:tcPr>
          <w:p w14:paraId="0F7E340A" w14:textId="28CD1802" w:rsidR="00B66C5F" w:rsidRPr="0060765E" w:rsidRDefault="00942EC6" w:rsidP="0060765E">
            <w:pPr>
              <w:jc w:val="both"/>
              <w:rPr>
                <w:sz w:val="20"/>
                <w:szCs w:val="20"/>
              </w:rPr>
            </w:pPr>
            <w:r w:rsidRPr="0060765E">
              <w:rPr>
                <w:b/>
                <w:sz w:val="20"/>
                <w:szCs w:val="20"/>
              </w:rPr>
              <w:t>Notes:</w:t>
            </w:r>
            <w:r w:rsidR="009C1E87" w:rsidRPr="0060765E">
              <w:rPr>
                <w:sz w:val="20"/>
                <w:szCs w:val="20"/>
              </w:rPr>
              <w:t xml:space="preserve"> </w:t>
            </w:r>
            <w:r w:rsidR="001A5910">
              <w:rPr>
                <w:sz w:val="20"/>
                <w:szCs w:val="20"/>
              </w:rPr>
              <w:t>2026-03</w:t>
            </w:r>
          </w:p>
        </w:tc>
      </w:tr>
    </w:tbl>
    <w:p w14:paraId="2C7D27E6" w14:textId="77777777" w:rsidR="008D7383" w:rsidRDefault="008D7383" w:rsidP="008863E5">
      <w:pPr>
        <w:jc w:val="both"/>
        <w:rPr>
          <w:sz w:val="16"/>
          <w:szCs w:val="16"/>
        </w:rPr>
      </w:pPr>
    </w:p>
    <w:p w14:paraId="58706983" w14:textId="77777777" w:rsidR="00A445B8" w:rsidRDefault="00656CEA">
      <w:pPr>
        <w:jc w:val="both"/>
        <w:rPr>
          <w:sz w:val="16"/>
          <w:szCs w:val="16"/>
        </w:rPr>
      </w:pPr>
      <w:r>
        <w:rPr>
          <w:sz w:val="16"/>
          <w:szCs w:val="16"/>
        </w:rPr>
        <w:t>W:\</w:t>
      </w:r>
      <w:r w:rsidR="00B02ACB">
        <w:rPr>
          <w:sz w:val="16"/>
          <w:szCs w:val="16"/>
        </w:rPr>
        <w:t>National Meetings\2010\...</w:t>
      </w:r>
      <w:r>
        <w:rPr>
          <w:sz w:val="16"/>
          <w:szCs w:val="16"/>
        </w:rPr>
        <w:t>\TF</w:t>
      </w:r>
      <w:r w:rsidR="00B02ACB">
        <w:rPr>
          <w:sz w:val="16"/>
          <w:szCs w:val="16"/>
        </w:rPr>
        <w:t>\LHA\</w:t>
      </w:r>
    </w:p>
    <w:p w14:paraId="6B8CA0F3" w14:textId="77777777" w:rsidR="00A44ABE" w:rsidRDefault="00A44ABE" w:rsidP="004710B9">
      <w:pPr>
        <w:ind w:left="720"/>
        <w:jc w:val="both"/>
        <w:rPr>
          <w:sz w:val="16"/>
          <w:szCs w:val="16"/>
        </w:rPr>
      </w:pPr>
    </w:p>
    <w:p w14:paraId="0D078CBB" w14:textId="77777777" w:rsidR="007751F6" w:rsidRDefault="007751F6" w:rsidP="004710B9">
      <w:pPr>
        <w:ind w:left="720"/>
        <w:jc w:val="both"/>
        <w:rPr>
          <w:sz w:val="16"/>
          <w:szCs w:val="16"/>
        </w:rPr>
      </w:pPr>
    </w:p>
    <w:p w14:paraId="75AE9E8C" w14:textId="77777777" w:rsidR="00A44ABE" w:rsidRDefault="00A44ABE" w:rsidP="004710B9">
      <w:pPr>
        <w:ind w:left="720"/>
        <w:jc w:val="both"/>
        <w:rPr>
          <w:sz w:val="16"/>
          <w:szCs w:val="16"/>
        </w:rPr>
      </w:pPr>
    </w:p>
    <w:p w14:paraId="47055F0A" w14:textId="77777777" w:rsidR="000D4419" w:rsidRDefault="004710B9" w:rsidP="004710B9">
      <w:pPr>
        <w:ind w:left="720"/>
        <w:jc w:val="both"/>
        <w:rPr>
          <w:b/>
          <w:bCs/>
          <w:color w:val="0000FF"/>
          <w:sz w:val="22"/>
          <w:szCs w:val="22"/>
        </w:rPr>
      </w:pPr>
      <w:r w:rsidRPr="004710B9">
        <w:rPr>
          <w:b/>
          <w:bCs/>
          <w:color w:val="0000FF"/>
          <w:sz w:val="22"/>
          <w:szCs w:val="22"/>
          <w:u w:val="single"/>
        </w:rPr>
        <w:t>VM-22 Section 6.C.5</w:t>
      </w:r>
      <w:r w:rsidRPr="00A44ABE">
        <w:rPr>
          <w:b/>
          <w:bCs/>
          <w:color w:val="0000FF"/>
          <w:sz w:val="22"/>
          <w:szCs w:val="22"/>
        </w:rPr>
        <w:t xml:space="preserve"> </w:t>
      </w:r>
      <w:r w:rsidR="00A44ABE">
        <w:rPr>
          <w:b/>
          <w:bCs/>
          <w:color w:val="0000FF"/>
          <w:sz w:val="22"/>
          <w:szCs w:val="22"/>
        </w:rPr>
        <w:t xml:space="preserve">– </w:t>
      </w:r>
      <w:r w:rsidR="00A44ABE" w:rsidRPr="00A44ABE">
        <w:rPr>
          <w:b/>
          <w:bCs/>
          <w:color w:val="0000FF"/>
          <w:sz w:val="22"/>
          <w:szCs w:val="22"/>
        </w:rPr>
        <w:t>Full Surrenders</w:t>
      </w:r>
    </w:p>
    <w:p w14:paraId="341BD7FA" w14:textId="77777777" w:rsidR="004710B9" w:rsidRPr="004710B9" w:rsidRDefault="004710B9" w:rsidP="004710B9">
      <w:pPr>
        <w:ind w:left="720"/>
        <w:jc w:val="both"/>
        <w:rPr>
          <w:color w:val="0000FF"/>
          <w:sz w:val="22"/>
          <w:szCs w:val="22"/>
        </w:rPr>
      </w:pPr>
      <w:r w:rsidRPr="004710B9">
        <w:rPr>
          <w:color w:val="EE0000"/>
          <w:sz w:val="22"/>
          <w:szCs w:val="22"/>
        </w:rPr>
        <w:t>(proposed changes in red)</w:t>
      </w:r>
    </w:p>
    <w:p w14:paraId="2B396764" w14:textId="77777777" w:rsidR="004710B9" w:rsidRPr="004710B9" w:rsidRDefault="004710B9" w:rsidP="004710B9">
      <w:pPr>
        <w:ind w:left="720"/>
        <w:jc w:val="both"/>
        <w:rPr>
          <w:color w:val="0000FF"/>
          <w:sz w:val="22"/>
          <w:szCs w:val="22"/>
          <w:u w:val="single"/>
        </w:rPr>
      </w:pPr>
    </w:p>
    <w:p w14:paraId="54402B70" w14:textId="77777777" w:rsidR="00417DD1" w:rsidRPr="00A44ABE" w:rsidRDefault="00417DD1" w:rsidP="00417DD1">
      <w:pPr>
        <w:ind w:left="720"/>
        <w:jc w:val="both"/>
        <w:rPr>
          <w:b/>
          <w:bCs/>
          <w:color w:val="0000FF"/>
          <w:sz w:val="22"/>
          <w:szCs w:val="22"/>
        </w:rPr>
      </w:pPr>
      <w:r w:rsidRPr="00A44ABE">
        <w:rPr>
          <w:b/>
          <w:bCs/>
          <w:color w:val="0000FF"/>
          <w:sz w:val="22"/>
          <w:szCs w:val="22"/>
        </w:rPr>
        <w:t>…</w:t>
      </w:r>
    </w:p>
    <w:p w14:paraId="3CCF45CC" w14:textId="77777777" w:rsidR="00417DD1" w:rsidRDefault="00417DD1" w:rsidP="00417DD1">
      <w:pPr>
        <w:ind w:left="720"/>
        <w:jc w:val="both"/>
        <w:rPr>
          <w:color w:val="0000FF"/>
          <w:sz w:val="22"/>
          <w:szCs w:val="22"/>
          <w:u w:val="single"/>
        </w:rPr>
      </w:pPr>
    </w:p>
    <w:p w14:paraId="76B58257" w14:textId="77777777" w:rsidR="00DB3FF2" w:rsidRPr="00DB3FF2" w:rsidRDefault="00DB3FF2" w:rsidP="004710B9">
      <w:pPr>
        <w:ind w:left="720"/>
        <w:jc w:val="both"/>
        <w:rPr>
          <w:i/>
          <w:iCs/>
          <w:color w:val="0000FF"/>
          <w:sz w:val="22"/>
          <w:szCs w:val="22"/>
        </w:rPr>
      </w:pPr>
      <w:r w:rsidRPr="00DB3FF2">
        <w:rPr>
          <w:rFonts w:ascii="Cambria Math" w:hAnsi="Cambria Math" w:cs="Cambria Math"/>
          <w:i/>
          <w:iCs/>
          <w:color w:val="0000FF"/>
          <w:sz w:val="22"/>
          <w:szCs w:val="22"/>
        </w:rPr>
        <w:t>𝑇𝑜𝑡𝑎𝑙</w:t>
      </w:r>
      <w:r w:rsidRPr="00DB3FF2">
        <w:rPr>
          <w:i/>
          <w:iCs/>
          <w:color w:val="0000FF"/>
          <w:sz w:val="22"/>
          <w:szCs w:val="22"/>
        </w:rPr>
        <w:t xml:space="preserve"> Lapse = (</w:t>
      </w:r>
      <w:r w:rsidRPr="00DB3FF2">
        <w:rPr>
          <w:rFonts w:ascii="Cambria Math" w:hAnsi="Cambria Math" w:cs="Cambria Math"/>
          <w:i/>
          <w:iCs/>
          <w:color w:val="0000FF"/>
          <w:sz w:val="22"/>
          <w:szCs w:val="22"/>
        </w:rPr>
        <w:t>𝐵𝑎𝑠𝑒</w:t>
      </w:r>
      <w:r w:rsidRPr="00DB3FF2">
        <w:rPr>
          <w:i/>
          <w:iCs/>
          <w:color w:val="0000FF"/>
          <w:sz w:val="22"/>
          <w:szCs w:val="22"/>
        </w:rPr>
        <w:t xml:space="preserve"> </w:t>
      </w:r>
      <w:r w:rsidRPr="00DB3FF2">
        <w:rPr>
          <w:rFonts w:ascii="Cambria Math" w:hAnsi="Cambria Math" w:cs="Cambria Math"/>
          <w:i/>
          <w:iCs/>
          <w:color w:val="0000FF"/>
          <w:sz w:val="22"/>
          <w:szCs w:val="22"/>
        </w:rPr>
        <w:t>𝐿𝑎𝑝𝑠𝑒</w:t>
      </w:r>
      <w:r w:rsidRPr="00DB3FF2">
        <w:rPr>
          <w:i/>
          <w:iCs/>
          <w:color w:val="0000FF"/>
          <w:sz w:val="22"/>
          <w:szCs w:val="22"/>
        </w:rPr>
        <w:t xml:space="preserve"> x GMIR Factor + </w:t>
      </w:r>
      <w:r w:rsidRPr="00DB3FF2">
        <w:rPr>
          <w:rFonts w:ascii="Cambria Math" w:hAnsi="Cambria Math" w:cs="Cambria Math"/>
          <w:i/>
          <w:iCs/>
          <w:color w:val="0000FF"/>
          <w:sz w:val="22"/>
          <w:szCs w:val="22"/>
        </w:rPr>
        <w:t>𝑅𝑎𝑡𝑒</w:t>
      </w:r>
      <w:r w:rsidRPr="00DB3FF2">
        <w:rPr>
          <w:i/>
          <w:iCs/>
          <w:color w:val="0000FF"/>
          <w:sz w:val="22"/>
          <w:szCs w:val="22"/>
        </w:rPr>
        <w:t xml:space="preserve"> </w:t>
      </w:r>
      <w:r w:rsidRPr="00DB3FF2">
        <w:rPr>
          <w:rFonts w:ascii="Cambria Math" w:hAnsi="Cambria Math" w:cs="Cambria Math"/>
          <w:i/>
          <w:iCs/>
          <w:color w:val="0000FF"/>
          <w:sz w:val="22"/>
          <w:szCs w:val="22"/>
        </w:rPr>
        <w:t>𝐹𝑎𝑐𝑡𝑜𝑟</w:t>
      </w:r>
      <w:r w:rsidRPr="00DB3FF2">
        <w:rPr>
          <w:i/>
          <w:iCs/>
          <w:color w:val="0000FF"/>
          <w:sz w:val="22"/>
          <w:szCs w:val="22"/>
        </w:rPr>
        <w:t xml:space="preserve"> x MVA Factor) × </w:t>
      </w:r>
      <w:r w:rsidRPr="00DB3FF2">
        <w:rPr>
          <w:rFonts w:ascii="Cambria Math" w:hAnsi="Cambria Math" w:cs="Cambria Math"/>
          <w:i/>
          <w:iCs/>
          <w:color w:val="0000FF"/>
          <w:sz w:val="22"/>
          <w:szCs w:val="22"/>
        </w:rPr>
        <w:t>𝐼𝑇𝑀</w:t>
      </w:r>
      <w:r w:rsidRPr="00DB3FF2">
        <w:rPr>
          <w:i/>
          <w:iCs/>
          <w:color w:val="0000FF"/>
          <w:sz w:val="22"/>
          <w:szCs w:val="22"/>
        </w:rPr>
        <w:t xml:space="preserve"> </w:t>
      </w:r>
      <w:r w:rsidRPr="00DB3FF2">
        <w:rPr>
          <w:rFonts w:ascii="Cambria Math" w:hAnsi="Cambria Math" w:cs="Cambria Math"/>
          <w:i/>
          <w:iCs/>
          <w:color w:val="0000FF"/>
          <w:sz w:val="22"/>
          <w:szCs w:val="22"/>
        </w:rPr>
        <w:t>𝐹𝑎𝑐𝑡𝑜</w:t>
      </w:r>
      <w:r>
        <w:rPr>
          <w:rFonts w:ascii="Cambria Math" w:hAnsi="Cambria Math" w:cs="Cambria Math"/>
          <w:i/>
          <w:iCs/>
          <w:color w:val="0000FF"/>
          <w:sz w:val="22"/>
          <w:szCs w:val="22"/>
        </w:rPr>
        <w:t>r</w:t>
      </w:r>
    </w:p>
    <w:p w14:paraId="2C563EA4" w14:textId="77777777" w:rsidR="00DB3FF2" w:rsidRDefault="00DB3FF2" w:rsidP="004710B9">
      <w:pPr>
        <w:ind w:left="720"/>
        <w:jc w:val="both"/>
        <w:rPr>
          <w:b/>
          <w:bCs/>
          <w:color w:val="0000FF"/>
          <w:sz w:val="22"/>
          <w:szCs w:val="22"/>
        </w:rPr>
      </w:pPr>
    </w:p>
    <w:p w14:paraId="03ADD6F3" w14:textId="77777777" w:rsidR="00A44ABE" w:rsidRPr="00A44ABE" w:rsidRDefault="00A44ABE" w:rsidP="004710B9">
      <w:pPr>
        <w:ind w:left="720"/>
        <w:jc w:val="both"/>
        <w:rPr>
          <w:b/>
          <w:bCs/>
          <w:color w:val="0000FF"/>
          <w:sz w:val="22"/>
          <w:szCs w:val="22"/>
        </w:rPr>
      </w:pPr>
      <w:r w:rsidRPr="00A44ABE">
        <w:rPr>
          <w:b/>
          <w:bCs/>
          <w:color w:val="0000FF"/>
          <w:sz w:val="22"/>
          <w:szCs w:val="22"/>
        </w:rPr>
        <w:t>…</w:t>
      </w:r>
    </w:p>
    <w:p w14:paraId="3F1BD2B0" w14:textId="77777777" w:rsidR="00A44ABE" w:rsidRDefault="00A44ABE" w:rsidP="004710B9">
      <w:pPr>
        <w:ind w:left="720"/>
        <w:jc w:val="both"/>
        <w:rPr>
          <w:color w:val="0000FF"/>
          <w:sz w:val="22"/>
          <w:szCs w:val="22"/>
          <w:u w:val="single"/>
        </w:rPr>
      </w:pPr>
    </w:p>
    <w:p w14:paraId="296E7C6F" w14:textId="77777777" w:rsidR="004710B9" w:rsidRPr="004710B9" w:rsidRDefault="004710B9" w:rsidP="004710B9">
      <w:pPr>
        <w:ind w:left="720"/>
        <w:jc w:val="both"/>
        <w:rPr>
          <w:color w:val="0000FF"/>
          <w:sz w:val="22"/>
          <w:szCs w:val="22"/>
        </w:rPr>
      </w:pPr>
      <w:r w:rsidRPr="004710B9">
        <w:rPr>
          <w:color w:val="0000FF"/>
          <w:sz w:val="22"/>
          <w:szCs w:val="22"/>
          <w:u w:val="single"/>
        </w:rPr>
        <w:t>Rate Factor</w:t>
      </w:r>
    </w:p>
    <w:p w14:paraId="0EA887A4" w14:textId="77777777" w:rsidR="004710B9" w:rsidRPr="004710B9" w:rsidRDefault="004710B9" w:rsidP="004710B9">
      <w:pPr>
        <w:ind w:left="720"/>
        <w:jc w:val="both"/>
        <w:rPr>
          <w:color w:val="0000FF"/>
          <w:sz w:val="22"/>
          <w:szCs w:val="22"/>
        </w:rPr>
      </w:pPr>
      <w:r w:rsidRPr="004710B9">
        <w:rPr>
          <w:rFonts w:ascii="Cambria Math" w:hAnsi="Cambria Math" w:cs="Cambria Math"/>
          <w:color w:val="0000FF"/>
          <w:sz w:val="22"/>
          <w:szCs w:val="22"/>
        </w:rPr>
        <w:t>𝑅𝑎𝑡𝑒</w:t>
      </w:r>
      <w:r w:rsidRPr="004710B9">
        <w:rPr>
          <w:color w:val="0000FF"/>
          <w:sz w:val="22"/>
          <w:szCs w:val="22"/>
        </w:rPr>
        <w:t xml:space="preserve"> </w:t>
      </w:r>
      <w:r w:rsidRPr="004710B9">
        <w:rPr>
          <w:rFonts w:ascii="Cambria Math" w:hAnsi="Cambria Math" w:cs="Cambria Math"/>
          <w:color w:val="0000FF"/>
          <w:sz w:val="22"/>
          <w:szCs w:val="22"/>
        </w:rPr>
        <w:t>𝐹𝑎𝑐𝑡𝑜𝑟</w:t>
      </w:r>
      <w:r w:rsidRPr="004710B9">
        <w:rPr>
          <w:color w:val="0000FF"/>
          <w:sz w:val="22"/>
          <w:szCs w:val="22"/>
        </w:rPr>
        <w:t xml:space="preserve"> = </w:t>
      </w:r>
      <w:r w:rsidRPr="004710B9">
        <w:rPr>
          <w:rFonts w:ascii="Cambria Math" w:hAnsi="Cambria Math" w:cs="Cambria Math"/>
          <w:color w:val="0000FF"/>
          <w:sz w:val="22"/>
          <w:szCs w:val="22"/>
        </w:rPr>
        <w:t>𝑀𝑎𝑟𝑘𝑒𝑡</w:t>
      </w:r>
      <w:r w:rsidRPr="004710B9">
        <w:rPr>
          <w:color w:val="0000FF"/>
          <w:sz w:val="22"/>
          <w:szCs w:val="22"/>
        </w:rPr>
        <w:t xml:space="preserve"> </w:t>
      </w:r>
      <w:r w:rsidRPr="004710B9">
        <w:rPr>
          <w:rFonts w:ascii="Cambria Math" w:hAnsi="Cambria Math" w:cs="Cambria Math"/>
          <w:color w:val="0000FF"/>
          <w:sz w:val="22"/>
          <w:szCs w:val="22"/>
        </w:rPr>
        <w:t>𝐹𝑎𝑐𝑡𝑜𝑟</w:t>
      </w:r>
      <w:r w:rsidRPr="004710B9">
        <w:rPr>
          <w:color w:val="0000FF"/>
          <w:sz w:val="22"/>
          <w:szCs w:val="22"/>
        </w:rPr>
        <w:t xml:space="preserve"> × </w:t>
      </w:r>
      <w:proofErr w:type="gramStart"/>
      <w:r w:rsidRPr="004710B9">
        <w:rPr>
          <w:rFonts w:ascii="Cambria Math" w:hAnsi="Cambria Math" w:cs="Cambria Math"/>
          <w:color w:val="0000FF"/>
          <w:sz w:val="22"/>
          <w:szCs w:val="22"/>
        </w:rPr>
        <w:t>𝑀𝑎𝑥</w:t>
      </w:r>
      <w:r w:rsidRPr="004710B9">
        <w:rPr>
          <w:i/>
          <w:iCs/>
          <w:color w:val="0000FF"/>
          <w:sz w:val="22"/>
          <w:szCs w:val="22"/>
        </w:rPr>
        <w:t>(</w:t>
      </w:r>
      <w:proofErr w:type="gramEnd"/>
      <w:r w:rsidRPr="004710B9">
        <w:rPr>
          <w:i/>
          <w:iCs/>
          <w:color w:val="0000FF"/>
          <w:sz w:val="22"/>
          <w:szCs w:val="22"/>
        </w:rPr>
        <w:t>0, 1 – 5 × (1-CSV/AV))</w:t>
      </w:r>
    </w:p>
    <w:p w14:paraId="726865D5" w14:textId="77777777" w:rsidR="004710B9" w:rsidRDefault="004710B9" w:rsidP="004710B9">
      <w:pPr>
        <w:ind w:left="720"/>
        <w:jc w:val="both"/>
        <w:rPr>
          <w:color w:val="0000FF"/>
          <w:sz w:val="22"/>
          <w:szCs w:val="22"/>
          <w:u w:val="single"/>
        </w:rPr>
      </w:pPr>
    </w:p>
    <w:p w14:paraId="2A17929E" w14:textId="77777777" w:rsidR="00A44ABE" w:rsidRPr="00A44ABE" w:rsidRDefault="00A44ABE" w:rsidP="004710B9">
      <w:pPr>
        <w:ind w:left="720"/>
        <w:jc w:val="both"/>
        <w:rPr>
          <w:b/>
          <w:bCs/>
          <w:color w:val="0000FF"/>
          <w:sz w:val="22"/>
          <w:szCs w:val="22"/>
        </w:rPr>
      </w:pPr>
      <w:r w:rsidRPr="00A44ABE">
        <w:rPr>
          <w:b/>
          <w:bCs/>
          <w:color w:val="0000FF"/>
          <w:sz w:val="22"/>
          <w:szCs w:val="22"/>
        </w:rPr>
        <w:t>…</w:t>
      </w:r>
    </w:p>
    <w:p w14:paraId="65608326" w14:textId="77777777" w:rsidR="00A44ABE" w:rsidRPr="004710B9" w:rsidRDefault="00A44ABE" w:rsidP="004710B9">
      <w:pPr>
        <w:ind w:left="720"/>
        <w:jc w:val="both"/>
        <w:rPr>
          <w:color w:val="0000FF"/>
          <w:sz w:val="22"/>
          <w:szCs w:val="22"/>
          <w:u w:val="single"/>
        </w:rPr>
      </w:pPr>
    </w:p>
    <w:p w14:paraId="42943B25" w14:textId="77777777" w:rsidR="004710B9" w:rsidRPr="004710B9" w:rsidRDefault="004710B9" w:rsidP="004710B9">
      <w:pPr>
        <w:ind w:left="720"/>
        <w:jc w:val="both"/>
        <w:rPr>
          <w:color w:val="0000FF"/>
          <w:sz w:val="22"/>
          <w:szCs w:val="22"/>
        </w:rPr>
      </w:pPr>
      <w:r w:rsidRPr="004710B9">
        <w:rPr>
          <w:color w:val="0000FF"/>
          <w:sz w:val="22"/>
          <w:szCs w:val="22"/>
          <w:u w:val="single"/>
        </w:rPr>
        <w:t>Market Factor</w:t>
      </w:r>
    </w:p>
    <w:p w14:paraId="4BADDB53" w14:textId="77777777" w:rsidR="004710B9" w:rsidRPr="004710B9" w:rsidRDefault="004710B9" w:rsidP="004710B9">
      <w:pPr>
        <w:ind w:left="720"/>
        <w:jc w:val="both"/>
        <w:rPr>
          <w:color w:val="0000FF"/>
          <w:sz w:val="22"/>
          <w:szCs w:val="22"/>
        </w:rPr>
      </w:pPr>
      <w:r w:rsidRPr="004710B9">
        <w:rPr>
          <w:rFonts w:ascii="Cambria Math" w:hAnsi="Cambria Math" w:cs="Cambria Math"/>
          <w:color w:val="0000FF"/>
          <w:sz w:val="22"/>
          <w:szCs w:val="22"/>
        </w:rPr>
        <w:t>𝑀𝑎𝑟𝑘𝑒𝑡</w:t>
      </w:r>
      <w:r w:rsidRPr="004710B9">
        <w:rPr>
          <w:color w:val="0000FF"/>
          <w:sz w:val="22"/>
          <w:szCs w:val="22"/>
        </w:rPr>
        <w:t xml:space="preserve"> </w:t>
      </w:r>
      <w:r w:rsidRPr="004710B9">
        <w:rPr>
          <w:rFonts w:ascii="Cambria Math" w:hAnsi="Cambria Math" w:cs="Cambria Math"/>
          <w:color w:val="0000FF"/>
          <w:sz w:val="22"/>
          <w:szCs w:val="22"/>
        </w:rPr>
        <w:t>𝐹𝑎𝑐𝑡𝑜𝑟</w:t>
      </w:r>
      <w:r w:rsidRPr="004710B9">
        <w:rPr>
          <w:color w:val="0000FF"/>
          <w:sz w:val="22"/>
          <w:szCs w:val="22"/>
        </w:rPr>
        <w:t xml:space="preserve"> </w:t>
      </w:r>
      <w:proofErr w:type="gramStart"/>
      <w:r w:rsidRPr="004710B9">
        <w:rPr>
          <w:color w:val="0000FF"/>
          <w:sz w:val="22"/>
          <w:szCs w:val="22"/>
        </w:rPr>
        <w:t>=  –</w:t>
      </w:r>
      <w:proofErr w:type="gramEnd"/>
      <w:r w:rsidRPr="004710B9">
        <w:rPr>
          <w:color w:val="0000FF"/>
          <w:sz w:val="22"/>
          <w:szCs w:val="22"/>
        </w:rPr>
        <w:t xml:space="preserve">1.25 x </w:t>
      </w:r>
      <w:r w:rsidRPr="004710B9">
        <w:rPr>
          <w:color w:val="EE0000"/>
          <w:sz w:val="22"/>
          <w:szCs w:val="22"/>
        </w:rPr>
        <w:t xml:space="preserve">[100 x </w:t>
      </w:r>
      <w:r w:rsidRPr="004710B9">
        <w:rPr>
          <w:color w:val="0000FF"/>
          <w:sz w:val="22"/>
          <w:szCs w:val="22"/>
        </w:rPr>
        <w:t>(</w:t>
      </w:r>
      <w:r w:rsidRPr="004710B9">
        <w:rPr>
          <w:rFonts w:ascii="Cambria Math" w:hAnsi="Cambria Math" w:cs="Cambria Math"/>
          <w:color w:val="0000FF"/>
          <w:sz w:val="22"/>
          <w:szCs w:val="22"/>
        </w:rPr>
        <w:t>𝐶𝑅</w:t>
      </w:r>
      <w:r w:rsidRPr="004710B9">
        <w:rPr>
          <w:color w:val="0000FF"/>
          <w:sz w:val="22"/>
          <w:szCs w:val="22"/>
        </w:rPr>
        <w:t xml:space="preserve"> – </w:t>
      </w:r>
      <w:r w:rsidRPr="004710B9">
        <w:rPr>
          <w:rFonts w:ascii="Cambria Math" w:hAnsi="Cambria Math" w:cs="Cambria Math"/>
          <w:color w:val="0000FF"/>
          <w:sz w:val="22"/>
          <w:szCs w:val="22"/>
        </w:rPr>
        <w:t>𝑀𝑅</w:t>
      </w:r>
      <w:r w:rsidRPr="004710B9">
        <w:rPr>
          <w:color w:val="0000FF"/>
          <w:sz w:val="22"/>
          <w:szCs w:val="22"/>
        </w:rPr>
        <w:t>)</w:t>
      </w:r>
      <w:r w:rsidRPr="004710B9">
        <w:rPr>
          <w:color w:val="EE0000"/>
          <w:sz w:val="22"/>
          <w:szCs w:val="22"/>
        </w:rPr>
        <w:t>]</w:t>
      </w:r>
      <w:r w:rsidRPr="004710B9">
        <w:rPr>
          <w:color w:val="0000FF"/>
          <w:sz w:val="22"/>
          <w:szCs w:val="22"/>
          <w:vertAlign w:val="superscript"/>
        </w:rPr>
        <w:t>X</w:t>
      </w:r>
      <w:r w:rsidRPr="004710B9">
        <w:rPr>
          <w:color w:val="0000FF"/>
          <w:sz w:val="22"/>
          <w:szCs w:val="22"/>
        </w:rPr>
        <w:t> </w:t>
      </w:r>
      <w:r w:rsidR="007751F6" w:rsidRPr="004710B9">
        <w:rPr>
          <w:color w:val="EE0000"/>
          <w:sz w:val="22"/>
          <w:szCs w:val="22"/>
        </w:rPr>
        <w:t>÷ 100</w:t>
      </w:r>
      <w:r w:rsidRPr="004710B9">
        <w:rPr>
          <w:color w:val="0000FF"/>
          <w:sz w:val="22"/>
          <w:szCs w:val="22"/>
        </w:rPr>
        <w:t>                </w:t>
      </w:r>
      <w:r w:rsidR="007751F6">
        <w:rPr>
          <w:color w:val="0000FF"/>
          <w:sz w:val="22"/>
          <w:szCs w:val="22"/>
        </w:rPr>
        <w:tab/>
      </w:r>
      <w:r w:rsidRPr="004710B9">
        <w:rPr>
          <w:color w:val="0000FF"/>
          <w:sz w:val="22"/>
          <w:szCs w:val="22"/>
        </w:rPr>
        <w:t>if CR ≥ MR</w:t>
      </w:r>
    </w:p>
    <w:p w14:paraId="67C3D3AB" w14:textId="77777777" w:rsidR="004710B9" w:rsidRPr="004710B9" w:rsidRDefault="004710B9" w:rsidP="004710B9">
      <w:pPr>
        <w:ind w:left="720"/>
        <w:jc w:val="both"/>
        <w:rPr>
          <w:color w:val="0000FF"/>
          <w:sz w:val="22"/>
          <w:szCs w:val="22"/>
        </w:rPr>
      </w:pPr>
      <w:r w:rsidRPr="004710B9">
        <w:rPr>
          <w:i/>
          <w:iCs/>
          <w:color w:val="0000FF"/>
          <w:sz w:val="22"/>
          <w:szCs w:val="22"/>
        </w:rPr>
        <w:t>M</w:t>
      </w:r>
      <w:r w:rsidRPr="004710B9">
        <w:rPr>
          <w:rFonts w:ascii="Cambria Math" w:hAnsi="Cambria Math" w:cs="Cambria Math"/>
          <w:color w:val="0000FF"/>
          <w:sz w:val="22"/>
          <w:szCs w:val="22"/>
        </w:rPr>
        <w:t>𝑎𝑟𝑘𝑒𝑡</w:t>
      </w:r>
      <w:r w:rsidRPr="004710B9">
        <w:rPr>
          <w:color w:val="0000FF"/>
          <w:sz w:val="22"/>
          <w:szCs w:val="22"/>
        </w:rPr>
        <w:t xml:space="preserve"> </w:t>
      </w:r>
      <w:r w:rsidRPr="004710B9">
        <w:rPr>
          <w:rFonts w:ascii="Cambria Math" w:hAnsi="Cambria Math" w:cs="Cambria Math"/>
          <w:color w:val="0000FF"/>
          <w:sz w:val="22"/>
          <w:szCs w:val="22"/>
        </w:rPr>
        <w:t>𝐹𝑎𝑐𝑡𝑜𝑟</w:t>
      </w:r>
      <w:r w:rsidRPr="004710B9">
        <w:rPr>
          <w:color w:val="0000FF"/>
          <w:sz w:val="22"/>
          <w:szCs w:val="22"/>
        </w:rPr>
        <w:t xml:space="preserve"> </w:t>
      </w:r>
      <w:proofErr w:type="gramStart"/>
      <w:r w:rsidRPr="004710B9">
        <w:rPr>
          <w:color w:val="0000FF"/>
          <w:sz w:val="22"/>
          <w:szCs w:val="22"/>
        </w:rPr>
        <w:t>=  0</w:t>
      </w:r>
      <w:proofErr w:type="gramEnd"/>
      <w:r w:rsidRPr="004710B9">
        <w:rPr>
          <w:color w:val="0000FF"/>
          <w:sz w:val="22"/>
          <w:szCs w:val="22"/>
        </w:rPr>
        <w:t xml:space="preserve">                                                            </w:t>
      </w:r>
      <w:r w:rsidR="007751F6">
        <w:rPr>
          <w:color w:val="0000FF"/>
          <w:sz w:val="22"/>
          <w:szCs w:val="22"/>
        </w:rPr>
        <w:tab/>
      </w:r>
      <w:r w:rsidRPr="004710B9">
        <w:rPr>
          <w:color w:val="0000FF"/>
          <w:sz w:val="22"/>
          <w:szCs w:val="22"/>
        </w:rPr>
        <w:t>if MR &gt; CR ≥ (MR − BF)</w:t>
      </w:r>
    </w:p>
    <w:p w14:paraId="5E9C4320" w14:textId="77777777" w:rsidR="004710B9" w:rsidRPr="004710B9" w:rsidRDefault="004710B9" w:rsidP="004710B9">
      <w:pPr>
        <w:ind w:left="720"/>
        <w:jc w:val="both"/>
        <w:rPr>
          <w:color w:val="0000FF"/>
          <w:sz w:val="22"/>
          <w:szCs w:val="22"/>
        </w:rPr>
      </w:pPr>
      <w:r w:rsidRPr="004710B9">
        <w:rPr>
          <w:rFonts w:ascii="Cambria Math" w:hAnsi="Cambria Math" w:cs="Cambria Math"/>
          <w:color w:val="0000FF"/>
          <w:sz w:val="22"/>
          <w:szCs w:val="22"/>
        </w:rPr>
        <w:t>𝑀𝑎𝑟𝑘𝑒𝑡</w:t>
      </w:r>
      <w:r w:rsidRPr="004710B9">
        <w:rPr>
          <w:color w:val="0000FF"/>
          <w:sz w:val="22"/>
          <w:szCs w:val="22"/>
        </w:rPr>
        <w:t xml:space="preserve"> </w:t>
      </w:r>
      <w:r w:rsidRPr="004710B9">
        <w:rPr>
          <w:rFonts w:ascii="Cambria Math" w:hAnsi="Cambria Math" w:cs="Cambria Math"/>
          <w:color w:val="0000FF"/>
          <w:sz w:val="22"/>
          <w:szCs w:val="22"/>
        </w:rPr>
        <w:t>𝐹𝑎𝑐𝑡𝑜𝑟</w:t>
      </w:r>
      <w:r w:rsidRPr="004710B9">
        <w:rPr>
          <w:color w:val="0000FF"/>
          <w:sz w:val="22"/>
          <w:szCs w:val="22"/>
        </w:rPr>
        <w:t xml:space="preserve"> </w:t>
      </w:r>
      <w:proofErr w:type="gramStart"/>
      <w:r w:rsidRPr="004710B9">
        <w:rPr>
          <w:color w:val="0000FF"/>
          <w:sz w:val="22"/>
          <w:szCs w:val="22"/>
        </w:rPr>
        <w:t>=  1.25</w:t>
      </w:r>
      <w:proofErr w:type="gramEnd"/>
      <w:r w:rsidRPr="004710B9">
        <w:rPr>
          <w:color w:val="0000FF"/>
          <w:sz w:val="22"/>
          <w:szCs w:val="22"/>
        </w:rPr>
        <w:t xml:space="preserve"> x </w:t>
      </w:r>
      <w:r w:rsidRPr="004710B9">
        <w:rPr>
          <w:color w:val="EE0000"/>
          <w:sz w:val="22"/>
          <w:szCs w:val="22"/>
        </w:rPr>
        <w:t xml:space="preserve">[100 x </w:t>
      </w:r>
      <w:r w:rsidRPr="004710B9">
        <w:rPr>
          <w:color w:val="0000FF"/>
          <w:sz w:val="22"/>
          <w:szCs w:val="22"/>
        </w:rPr>
        <w:t>(</w:t>
      </w:r>
      <w:r w:rsidRPr="004710B9">
        <w:rPr>
          <w:rFonts w:ascii="Cambria Math" w:hAnsi="Cambria Math" w:cs="Cambria Math"/>
          <w:color w:val="0000FF"/>
          <w:sz w:val="22"/>
          <w:szCs w:val="22"/>
        </w:rPr>
        <w:t>𝑀𝑅</w:t>
      </w:r>
      <w:r w:rsidRPr="004710B9">
        <w:rPr>
          <w:color w:val="0000FF"/>
          <w:sz w:val="22"/>
          <w:szCs w:val="22"/>
        </w:rPr>
        <w:t xml:space="preserve"> – </w:t>
      </w:r>
      <w:r w:rsidRPr="004710B9">
        <w:rPr>
          <w:rFonts w:ascii="Cambria Math" w:hAnsi="Cambria Math" w:cs="Cambria Math"/>
          <w:color w:val="0000FF"/>
          <w:sz w:val="22"/>
          <w:szCs w:val="22"/>
        </w:rPr>
        <w:t>𝐵𝐹</w:t>
      </w:r>
      <w:r w:rsidRPr="004710B9">
        <w:rPr>
          <w:color w:val="0000FF"/>
          <w:sz w:val="22"/>
          <w:szCs w:val="22"/>
        </w:rPr>
        <w:t xml:space="preserve"> – </w:t>
      </w:r>
      <w:r w:rsidRPr="004710B9">
        <w:rPr>
          <w:rFonts w:ascii="Cambria Math" w:hAnsi="Cambria Math" w:cs="Cambria Math"/>
          <w:color w:val="0000FF"/>
          <w:sz w:val="22"/>
          <w:szCs w:val="22"/>
        </w:rPr>
        <w:t>𝐶𝑅</w:t>
      </w:r>
      <w:r w:rsidRPr="004710B9">
        <w:rPr>
          <w:color w:val="0000FF"/>
          <w:sz w:val="22"/>
          <w:szCs w:val="22"/>
        </w:rPr>
        <w:t>)</w:t>
      </w:r>
      <w:r w:rsidRPr="004710B9">
        <w:rPr>
          <w:color w:val="EE0000"/>
          <w:sz w:val="22"/>
          <w:szCs w:val="22"/>
        </w:rPr>
        <w:t>]</w:t>
      </w:r>
      <w:r w:rsidRPr="004710B9">
        <w:rPr>
          <w:color w:val="0000FF"/>
          <w:sz w:val="22"/>
          <w:szCs w:val="22"/>
          <w:vertAlign w:val="superscript"/>
        </w:rPr>
        <w:t>X</w:t>
      </w:r>
      <w:r w:rsidRPr="004710B9">
        <w:rPr>
          <w:color w:val="0000FF"/>
          <w:sz w:val="22"/>
          <w:szCs w:val="22"/>
        </w:rPr>
        <w:t xml:space="preserve"> </w:t>
      </w:r>
      <w:r w:rsidR="007751F6" w:rsidRPr="004710B9">
        <w:rPr>
          <w:color w:val="EE0000"/>
          <w:sz w:val="22"/>
          <w:szCs w:val="22"/>
        </w:rPr>
        <w:t>÷ 100</w:t>
      </w:r>
      <w:r w:rsidRPr="004710B9">
        <w:rPr>
          <w:color w:val="0000FF"/>
          <w:sz w:val="22"/>
          <w:szCs w:val="22"/>
        </w:rPr>
        <w:t xml:space="preserve">         </w:t>
      </w:r>
      <w:r w:rsidR="007751F6">
        <w:rPr>
          <w:color w:val="0000FF"/>
          <w:sz w:val="22"/>
          <w:szCs w:val="22"/>
        </w:rPr>
        <w:tab/>
      </w:r>
      <w:r w:rsidRPr="004710B9">
        <w:rPr>
          <w:color w:val="0000FF"/>
          <w:sz w:val="22"/>
          <w:szCs w:val="22"/>
        </w:rPr>
        <w:t>if CR &lt; (MR − BF)</w:t>
      </w:r>
    </w:p>
    <w:p w14:paraId="2BC81411" w14:textId="77777777" w:rsidR="004710B9" w:rsidRPr="004710B9" w:rsidRDefault="004710B9" w:rsidP="004710B9">
      <w:pPr>
        <w:ind w:left="720"/>
        <w:jc w:val="both"/>
        <w:rPr>
          <w:color w:val="0000FF"/>
          <w:sz w:val="22"/>
          <w:szCs w:val="22"/>
        </w:rPr>
      </w:pPr>
      <w:r w:rsidRPr="004710B9">
        <w:rPr>
          <w:color w:val="0000FF"/>
          <w:sz w:val="22"/>
          <w:szCs w:val="22"/>
        </w:rPr>
        <w:t>X = 2.0 during Surrender Charge Period, 2.5 at Shock, and 2.5 thereafter</w:t>
      </w:r>
    </w:p>
    <w:p w14:paraId="35B6AA2A" w14:textId="77777777" w:rsidR="004710B9" w:rsidRPr="00493D67" w:rsidRDefault="004710B9" w:rsidP="004710B9">
      <w:pPr>
        <w:jc w:val="both"/>
        <w:rPr>
          <w:sz w:val="16"/>
          <w:szCs w:val="16"/>
        </w:rPr>
      </w:pPr>
      <w:r w:rsidRPr="008A1A52">
        <w:rPr>
          <w:color w:val="0000FF"/>
        </w:rPr>
        <w:t> </w:t>
      </w:r>
    </w:p>
    <w:p w14:paraId="3BAAECDE" w14:textId="77777777" w:rsidR="004710B9" w:rsidRPr="00F02D8D" w:rsidRDefault="004710B9">
      <w:pPr>
        <w:jc w:val="both"/>
        <w:rPr>
          <w:sz w:val="16"/>
          <w:szCs w:val="16"/>
        </w:rPr>
      </w:pPr>
    </w:p>
    <w:sectPr w:rsidR="004710B9" w:rsidRPr="00F02D8D" w:rsidSect="008D7383">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91F78" w14:textId="77777777" w:rsidR="006E1D20" w:rsidRDefault="006E1D20">
      <w:r>
        <w:separator/>
      </w:r>
    </w:p>
  </w:endnote>
  <w:endnote w:type="continuationSeparator" w:id="0">
    <w:p w14:paraId="60C628F2" w14:textId="77777777" w:rsidR="006E1D20" w:rsidRDefault="006E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54B7" w14:textId="77777777" w:rsidR="00B02ACB" w:rsidRPr="004A3756" w:rsidRDefault="00B02ACB" w:rsidP="004A3756">
    <w:pPr>
      <w:rPr>
        <w:sz w:val="20"/>
        <w:szCs w:val="20"/>
      </w:rPr>
    </w:pPr>
    <w:r>
      <w:rPr>
        <w:sz w:val="20"/>
        <w:szCs w:val="20"/>
      </w:rPr>
      <w:t>© 2010</w:t>
    </w:r>
    <w:r w:rsidRPr="004A3756">
      <w:rPr>
        <w:sz w:val="20"/>
        <w:szCs w:val="20"/>
      </w:rPr>
      <w:t xml:space="preserve"> National Association of Insurance Commissioners</w:t>
    </w:r>
    <w:r w:rsidRPr="004A3756">
      <w:rPr>
        <w:sz w:val="20"/>
        <w:szCs w:val="20"/>
      </w:rPr>
      <w:tab/>
    </w:r>
    <w:r w:rsidRPr="004A3756">
      <w:rPr>
        <w:rStyle w:val="PageNumber"/>
        <w:sz w:val="20"/>
        <w:szCs w:val="20"/>
      </w:rPr>
      <w:fldChar w:fldCharType="begin"/>
    </w:r>
    <w:r w:rsidRPr="004A3756">
      <w:rPr>
        <w:rStyle w:val="PageNumber"/>
        <w:sz w:val="20"/>
        <w:szCs w:val="20"/>
      </w:rPr>
      <w:instrText xml:space="preserve"> PAGE </w:instrText>
    </w:r>
    <w:r w:rsidRPr="004A3756">
      <w:rPr>
        <w:rStyle w:val="PageNumber"/>
        <w:sz w:val="20"/>
        <w:szCs w:val="20"/>
      </w:rPr>
      <w:fldChar w:fldCharType="separate"/>
    </w:r>
    <w:r w:rsidR="00522E03">
      <w:rPr>
        <w:rStyle w:val="PageNumber"/>
        <w:noProof/>
        <w:sz w:val="20"/>
        <w:szCs w:val="20"/>
      </w:rPr>
      <w:t>1</w:t>
    </w:r>
    <w:r w:rsidRPr="004A3756">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64E15" w14:textId="77777777" w:rsidR="006E1D20" w:rsidRDefault="006E1D20">
      <w:r>
        <w:separator/>
      </w:r>
    </w:p>
  </w:footnote>
  <w:footnote w:type="continuationSeparator" w:id="0">
    <w:p w14:paraId="5FD6D098" w14:textId="77777777" w:rsidR="006E1D20" w:rsidRDefault="006E1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75A"/>
    <w:multiLevelType w:val="hybridMultilevel"/>
    <w:tmpl w:val="070E27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745530"/>
    <w:multiLevelType w:val="hybridMultilevel"/>
    <w:tmpl w:val="633EC7AE"/>
    <w:lvl w:ilvl="0" w:tplc="565A2952">
      <w:start w:val="2"/>
      <w:numFmt w:val="lowerLetter"/>
      <w:lvlText w:val="%1."/>
      <w:lvlJc w:val="left"/>
      <w:pPr>
        <w:tabs>
          <w:tab w:val="num" w:pos="2520"/>
        </w:tabs>
        <w:ind w:left="2520" w:hanging="360"/>
      </w:pPr>
      <w:rPr>
        <w:rFonts w:hint="default"/>
      </w:rPr>
    </w:lvl>
    <w:lvl w:ilvl="1" w:tplc="E9643190">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16F30ED8"/>
    <w:multiLevelType w:val="hybridMultilevel"/>
    <w:tmpl w:val="17C064B6"/>
    <w:lvl w:ilvl="0" w:tplc="705E618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13068F0"/>
    <w:multiLevelType w:val="multilevel"/>
    <w:tmpl w:val="CE0888A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4" w15:restartNumberingAfterBreak="0">
    <w:nsid w:val="22A1231D"/>
    <w:multiLevelType w:val="multilevel"/>
    <w:tmpl w:val="FAD0BCBA"/>
    <w:lvl w:ilvl="0">
      <w:start w:val="1"/>
      <w:numFmt w:val="decimal"/>
      <w:suff w:val="space"/>
      <w:lvlText w:val="A2.%1)"/>
      <w:lvlJc w:val="left"/>
      <w:pPr>
        <w:ind w:left="0" w:firstLine="0"/>
      </w:pPr>
      <w:rPr>
        <w:rFonts w:hint="default"/>
        <w:b/>
        <w:i w:val="0"/>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suff w:val="space"/>
      <w:lvlText w:val="(%4)"/>
      <w:lvlJc w:val="left"/>
      <w:pPr>
        <w:ind w:left="1440" w:hanging="360"/>
      </w:pPr>
      <w:rPr>
        <w:rFonts w:hint="default"/>
      </w:rPr>
    </w:lvl>
    <w:lvl w:ilvl="4">
      <w:start w:val="1"/>
      <w:numFmt w:val="lowerRoman"/>
      <w:suff w:val="space"/>
      <w:lvlText w:val="(%5)"/>
      <w:lvlJc w:val="left"/>
      <w:pPr>
        <w:ind w:left="2088" w:hanging="648"/>
      </w:pPr>
      <w:rPr>
        <w:rFont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A1461C7"/>
    <w:multiLevelType w:val="hybridMultilevel"/>
    <w:tmpl w:val="F306B71C"/>
    <w:lvl w:ilvl="0" w:tplc="4F72493C">
      <w:start w:val="1"/>
      <w:numFmt w:val="lowerLetter"/>
      <w:lvlText w:val="%1."/>
      <w:lvlJc w:val="left"/>
      <w:pPr>
        <w:tabs>
          <w:tab w:val="num" w:pos="1080"/>
        </w:tabs>
        <w:ind w:left="1080" w:hanging="360"/>
      </w:pPr>
      <w:rPr>
        <w:rFonts w:hint="default"/>
      </w:rPr>
    </w:lvl>
    <w:lvl w:ilvl="1" w:tplc="EFC879E0">
      <w:start w:val="1"/>
      <w:numFmt w:val="decimal"/>
      <w:lvlText w:val="%2."/>
      <w:lvlJc w:val="left"/>
      <w:pPr>
        <w:tabs>
          <w:tab w:val="num" w:pos="2160"/>
        </w:tabs>
        <w:ind w:left="2160" w:hanging="36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2E85B90"/>
    <w:multiLevelType w:val="hybridMultilevel"/>
    <w:tmpl w:val="28BC37D2"/>
    <w:lvl w:ilvl="0" w:tplc="EFC879E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56EE21D0"/>
    <w:multiLevelType w:val="hybridMultilevel"/>
    <w:tmpl w:val="B7F6F74C"/>
    <w:lvl w:ilvl="0" w:tplc="0409000F">
      <w:start w:val="2"/>
      <w:numFmt w:val="decimal"/>
      <w:lvlText w:val="%1."/>
      <w:lvlJc w:val="left"/>
      <w:pPr>
        <w:tabs>
          <w:tab w:val="num" w:pos="-720"/>
        </w:tabs>
        <w:ind w:left="-720" w:hanging="360"/>
      </w:pPr>
      <w:rPr>
        <w:rFonts w:hint="default"/>
      </w:rPr>
    </w:lvl>
    <w:lvl w:ilvl="1" w:tplc="09A8F74E">
      <w:start w:val="1"/>
      <w:numFmt w:val="lowerRoman"/>
      <w:lvlText w:val="%2."/>
      <w:lvlJc w:val="right"/>
      <w:pPr>
        <w:tabs>
          <w:tab w:val="num" w:pos="-180"/>
        </w:tabs>
        <w:ind w:left="-180" w:hanging="180"/>
      </w:pPr>
      <w:rPr>
        <w:rFonts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8" w15:restartNumberingAfterBreak="0">
    <w:nsid w:val="7212619F"/>
    <w:multiLevelType w:val="multilevel"/>
    <w:tmpl w:val="D74044B4"/>
    <w:lvl w:ilvl="0">
      <w:start w:val="1"/>
      <w:numFmt w:val="decimal"/>
      <w:lvlText w:val="%1."/>
      <w:lvlJc w:val="left"/>
      <w:pPr>
        <w:tabs>
          <w:tab w:val="num" w:pos="1800"/>
        </w:tabs>
        <w:ind w:left="180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num w:numId="1" w16cid:durableId="2084404755">
    <w:abstractNumId w:val="0"/>
  </w:num>
  <w:num w:numId="2" w16cid:durableId="1803301766">
    <w:abstractNumId w:val="5"/>
  </w:num>
  <w:num w:numId="3" w16cid:durableId="1306667119">
    <w:abstractNumId w:val="8"/>
  </w:num>
  <w:num w:numId="4" w16cid:durableId="1451168394">
    <w:abstractNumId w:val="6"/>
  </w:num>
  <w:num w:numId="5" w16cid:durableId="1623999201">
    <w:abstractNumId w:val="3"/>
  </w:num>
  <w:num w:numId="6" w16cid:durableId="1836727008">
    <w:abstractNumId w:val="4"/>
  </w:num>
  <w:num w:numId="7" w16cid:durableId="1801455047">
    <w:abstractNumId w:val="2"/>
  </w:num>
  <w:num w:numId="8" w16cid:durableId="1526483399">
    <w:abstractNumId w:val="1"/>
  </w:num>
  <w:num w:numId="9" w16cid:durableId="7635748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9E7"/>
    <w:rsid w:val="00007484"/>
    <w:rsid w:val="0001313C"/>
    <w:rsid w:val="000207ED"/>
    <w:rsid w:val="0007511E"/>
    <w:rsid w:val="00082829"/>
    <w:rsid w:val="000933EC"/>
    <w:rsid w:val="000D4419"/>
    <w:rsid w:val="000E2B1E"/>
    <w:rsid w:val="000F2FC6"/>
    <w:rsid w:val="00100FD2"/>
    <w:rsid w:val="0013459B"/>
    <w:rsid w:val="00145958"/>
    <w:rsid w:val="00161C33"/>
    <w:rsid w:val="001637CF"/>
    <w:rsid w:val="00184035"/>
    <w:rsid w:val="00187C84"/>
    <w:rsid w:val="001A5910"/>
    <w:rsid w:val="001C0713"/>
    <w:rsid w:val="001F6A6C"/>
    <w:rsid w:val="00232213"/>
    <w:rsid w:val="00237C79"/>
    <w:rsid w:val="002431EF"/>
    <w:rsid w:val="00247F5B"/>
    <w:rsid w:val="00270B17"/>
    <w:rsid w:val="002876DD"/>
    <w:rsid w:val="00291483"/>
    <w:rsid w:val="002A5DCF"/>
    <w:rsid w:val="002B070A"/>
    <w:rsid w:val="002C2DCB"/>
    <w:rsid w:val="002E3959"/>
    <w:rsid w:val="002E3BCB"/>
    <w:rsid w:val="002F4168"/>
    <w:rsid w:val="002F5A0F"/>
    <w:rsid w:val="0031537D"/>
    <w:rsid w:val="00367E0B"/>
    <w:rsid w:val="003B6169"/>
    <w:rsid w:val="0040067B"/>
    <w:rsid w:val="00417DD1"/>
    <w:rsid w:val="004268FA"/>
    <w:rsid w:val="004710B9"/>
    <w:rsid w:val="00493D67"/>
    <w:rsid w:val="004946E2"/>
    <w:rsid w:val="004A3756"/>
    <w:rsid w:val="004B21CD"/>
    <w:rsid w:val="004B6739"/>
    <w:rsid w:val="004D08BA"/>
    <w:rsid w:val="004F4618"/>
    <w:rsid w:val="00522E03"/>
    <w:rsid w:val="00523745"/>
    <w:rsid w:val="00523B85"/>
    <w:rsid w:val="005830AC"/>
    <w:rsid w:val="00587796"/>
    <w:rsid w:val="005E01E6"/>
    <w:rsid w:val="005F04CC"/>
    <w:rsid w:val="005F75EF"/>
    <w:rsid w:val="00603123"/>
    <w:rsid w:val="0060765E"/>
    <w:rsid w:val="00622C49"/>
    <w:rsid w:val="0064112D"/>
    <w:rsid w:val="00656CEA"/>
    <w:rsid w:val="00657C42"/>
    <w:rsid w:val="0069394E"/>
    <w:rsid w:val="006A51BF"/>
    <w:rsid w:val="006B22FB"/>
    <w:rsid w:val="006C599E"/>
    <w:rsid w:val="006E1D20"/>
    <w:rsid w:val="00714183"/>
    <w:rsid w:val="007466E4"/>
    <w:rsid w:val="0077342B"/>
    <w:rsid w:val="007751F6"/>
    <w:rsid w:val="0078270D"/>
    <w:rsid w:val="00796C8D"/>
    <w:rsid w:val="0079714B"/>
    <w:rsid w:val="007A4664"/>
    <w:rsid w:val="007C24F3"/>
    <w:rsid w:val="007C548A"/>
    <w:rsid w:val="007D2189"/>
    <w:rsid w:val="007F17CE"/>
    <w:rsid w:val="007F569A"/>
    <w:rsid w:val="0085604D"/>
    <w:rsid w:val="00857F91"/>
    <w:rsid w:val="00872CD8"/>
    <w:rsid w:val="00883E51"/>
    <w:rsid w:val="00884750"/>
    <w:rsid w:val="008863E5"/>
    <w:rsid w:val="008A1A52"/>
    <w:rsid w:val="008D061B"/>
    <w:rsid w:val="008D1926"/>
    <w:rsid w:val="008D7383"/>
    <w:rsid w:val="008E37BD"/>
    <w:rsid w:val="00912B32"/>
    <w:rsid w:val="009340F0"/>
    <w:rsid w:val="00942EC6"/>
    <w:rsid w:val="00994830"/>
    <w:rsid w:val="009C1E87"/>
    <w:rsid w:val="009C1EA2"/>
    <w:rsid w:val="009D7249"/>
    <w:rsid w:val="00A01929"/>
    <w:rsid w:val="00A179E7"/>
    <w:rsid w:val="00A253B2"/>
    <w:rsid w:val="00A3325C"/>
    <w:rsid w:val="00A33977"/>
    <w:rsid w:val="00A445B8"/>
    <w:rsid w:val="00A44ABE"/>
    <w:rsid w:val="00A514EE"/>
    <w:rsid w:val="00A804B3"/>
    <w:rsid w:val="00A87E04"/>
    <w:rsid w:val="00A90785"/>
    <w:rsid w:val="00A9283D"/>
    <w:rsid w:val="00A93D15"/>
    <w:rsid w:val="00AA08DB"/>
    <w:rsid w:val="00AB1850"/>
    <w:rsid w:val="00AB1B81"/>
    <w:rsid w:val="00AD0034"/>
    <w:rsid w:val="00AF33F9"/>
    <w:rsid w:val="00B02ACB"/>
    <w:rsid w:val="00B10159"/>
    <w:rsid w:val="00B43D6B"/>
    <w:rsid w:val="00B5002A"/>
    <w:rsid w:val="00B537A3"/>
    <w:rsid w:val="00B573DF"/>
    <w:rsid w:val="00B66C5F"/>
    <w:rsid w:val="00B71422"/>
    <w:rsid w:val="00BC0C16"/>
    <w:rsid w:val="00BD198A"/>
    <w:rsid w:val="00BD65D7"/>
    <w:rsid w:val="00C32BFE"/>
    <w:rsid w:val="00C53A31"/>
    <w:rsid w:val="00C652B3"/>
    <w:rsid w:val="00C818E5"/>
    <w:rsid w:val="00C82CC4"/>
    <w:rsid w:val="00C85CB5"/>
    <w:rsid w:val="00C94729"/>
    <w:rsid w:val="00CA0AF1"/>
    <w:rsid w:val="00CB60A6"/>
    <w:rsid w:val="00CC4E35"/>
    <w:rsid w:val="00D5300E"/>
    <w:rsid w:val="00D57817"/>
    <w:rsid w:val="00D57F0E"/>
    <w:rsid w:val="00D6259D"/>
    <w:rsid w:val="00D81045"/>
    <w:rsid w:val="00D94976"/>
    <w:rsid w:val="00DA3D86"/>
    <w:rsid w:val="00DB3FF2"/>
    <w:rsid w:val="00DC7DBF"/>
    <w:rsid w:val="00DD632B"/>
    <w:rsid w:val="00E06FB6"/>
    <w:rsid w:val="00E14DE3"/>
    <w:rsid w:val="00E24715"/>
    <w:rsid w:val="00E64778"/>
    <w:rsid w:val="00EA4B34"/>
    <w:rsid w:val="00EA4F6E"/>
    <w:rsid w:val="00EA5092"/>
    <w:rsid w:val="00ED3D08"/>
    <w:rsid w:val="00ED55E8"/>
    <w:rsid w:val="00EF7C60"/>
    <w:rsid w:val="00F02D8D"/>
    <w:rsid w:val="00F353D4"/>
    <w:rsid w:val="00F4772A"/>
    <w:rsid w:val="00F7655E"/>
    <w:rsid w:val="00F95EEF"/>
    <w:rsid w:val="00FB0C3A"/>
    <w:rsid w:val="00FB1CEA"/>
    <w:rsid w:val="00FF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D145D8C"/>
  <w15:chartTrackingRefBased/>
  <w15:docId w15:val="{ACD14BA0-C747-41CF-A38A-64D48394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664"/>
    <w:rPr>
      <w:sz w:val="24"/>
      <w:szCs w:val="24"/>
    </w:rPr>
  </w:style>
  <w:style w:type="paragraph" w:styleId="Heading1">
    <w:name w:val="heading 1"/>
    <w:basedOn w:val="Normal"/>
    <w:next w:val="Normal"/>
    <w:qFormat/>
    <w:rsid w:val="00656CEA"/>
    <w:pPr>
      <w:keepNext/>
      <w:numPr>
        <w:numId w:val="1"/>
      </w:numPr>
      <w:spacing w:before="120" w:after="120"/>
      <w:jc w:val="both"/>
      <w:outlineLvl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8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45958"/>
    <w:pPr>
      <w:tabs>
        <w:tab w:val="center" w:pos="4320"/>
        <w:tab w:val="right" w:pos="8640"/>
      </w:tabs>
    </w:pPr>
  </w:style>
  <w:style w:type="paragraph" w:styleId="Footer">
    <w:name w:val="footer"/>
    <w:basedOn w:val="Normal"/>
    <w:rsid w:val="00145958"/>
    <w:pPr>
      <w:tabs>
        <w:tab w:val="center" w:pos="4320"/>
        <w:tab w:val="right" w:pos="8640"/>
      </w:tabs>
    </w:pPr>
  </w:style>
  <w:style w:type="character" w:styleId="PageNumber">
    <w:name w:val="page number"/>
    <w:basedOn w:val="DefaultParagraphFont"/>
    <w:rsid w:val="004A3756"/>
  </w:style>
  <w:style w:type="paragraph" w:styleId="CommentText">
    <w:name w:val="annotation text"/>
    <w:basedOn w:val="Normal"/>
    <w:semiHidden/>
    <w:rsid w:val="00E06FB6"/>
    <w:pPr>
      <w:spacing w:before="120" w:after="120"/>
    </w:pPr>
    <w:rPr>
      <w:sz w:val="20"/>
    </w:rPr>
  </w:style>
  <w:style w:type="character" w:styleId="CommentReference">
    <w:name w:val="annotation reference"/>
    <w:semiHidden/>
    <w:rsid w:val="0077342B"/>
    <w:rPr>
      <w:sz w:val="16"/>
      <w:szCs w:val="16"/>
    </w:rPr>
  </w:style>
  <w:style w:type="paragraph" w:styleId="CommentSubject">
    <w:name w:val="annotation subject"/>
    <w:basedOn w:val="CommentText"/>
    <w:next w:val="CommentText"/>
    <w:semiHidden/>
    <w:rsid w:val="0077342B"/>
    <w:pPr>
      <w:spacing w:before="0" w:after="0"/>
    </w:pPr>
    <w:rPr>
      <w:b/>
      <w:bCs/>
      <w:szCs w:val="20"/>
    </w:rPr>
  </w:style>
  <w:style w:type="paragraph" w:styleId="BalloonText">
    <w:name w:val="Balloon Text"/>
    <w:basedOn w:val="Normal"/>
    <w:semiHidden/>
    <w:rsid w:val="0077342B"/>
    <w:rPr>
      <w:rFonts w:ascii="Tahoma" w:hAnsi="Tahoma" w:cs="Tahoma"/>
      <w:sz w:val="16"/>
      <w:szCs w:val="16"/>
    </w:rPr>
  </w:style>
  <w:style w:type="character" w:customStyle="1" w:styleId="HeaderChar">
    <w:name w:val="Header Char"/>
    <w:link w:val="Header"/>
    <w:semiHidden/>
    <w:locked/>
    <w:rsid w:val="00184035"/>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2026-04-16T18:51:59+00:00</_EndDate>
    <StartDate xmlns="http://schemas.microsoft.com/sharepoint/v3">2026-04-16T18:51:59+00:00</StartDat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55E2B955-9650-4E2B-A87F-A669368BB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6F99A-0E4E-4B3D-A3BB-F207259B7F91}">
  <ds:schemaRefs>
    <ds:schemaRef ds:uri="http://schemas.microsoft.com/sharepoint/v3/contenttype/forms"/>
  </ds:schemaRefs>
</ds:datastoreItem>
</file>

<file path=customXml/itemProps3.xml><?xml version="1.0" encoding="utf-8"?>
<ds:datastoreItem xmlns:ds="http://schemas.openxmlformats.org/officeDocument/2006/customXml" ds:itemID="{83060559-15D9-4A59-9144-4E7656947A61}">
  <ds:schemaRefs>
    <ds:schemaRef ds:uri="http://www.w3.org/XML/1998/namespace"/>
    <ds:schemaRef ds:uri="http://purl.org/dc/elements/1.1/"/>
    <ds:schemaRef ds:uri="http://schemas.microsoft.com/sharepoint/v3/fields"/>
    <ds:schemaRef ds:uri="http://schemas.microsoft.com/sharepoint/v3"/>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3c9e15a3-223f-4584-afb1-1dbe0b3878fa"/>
    <ds:schemaRef ds:uri="http://schemas.openxmlformats.org/package/2006/metadata/core-properties"/>
    <ds:schemaRef ds:uri="55eb7663-75cc-4f64-9609-52561375e7a6"/>
    <ds:schemaRef ds:uri="734dc620-9a3c-4363-b6b2-552d0a5c0ad8"/>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2937</Characters>
  <Application>Microsoft Office Word</Application>
  <DocSecurity>0</DocSecurity>
  <Lines>94</Lines>
  <Paragraphs>54</Paragraphs>
  <ScaleCrop>false</ScaleCrop>
  <HeadingPairs>
    <vt:vector size="2" baseType="variant">
      <vt:variant>
        <vt:lpstr>Title</vt:lpstr>
      </vt:variant>
      <vt:variant>
        <vt:i4>1</vt:i4>
      </vt:variant>
    </vt:vector>
  </HeadingPairs>
  <TitlesOfParts>
    <vt:vector size="1" baseType="lpstr">
      <vt:lpstr>VM-20_090612_004</vt:lpstr>
    </vt:vector>
  </TitlesOfParts>
  <Company>NAIC</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VM-20_090612_004</dc:title>
  <dc:subject/>
  <dc:creator>JEngelha</dc:creator>
  <cp:keywords/>
  <dc:description/>
  <cp:lastModifiedBy>O'Neal, Scott</cp:lastModifiedBy>
  <cp:revision>4</cp:revision>
  <cp:lastPrinted>2009-06-26T19:57:00Z</cp:lastPrinted>
  <dcterms:created xsi:type="dcterms:W3CDTF">2026-04-16T18:51:00Z</dcterms:created>
  <dcterms:modified xsi:type="dcterms:W3CDTF">2026-04-16T18:52:00Z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ies>
</file>