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9E7" w14:textId="77777777" w:rsidR="00EF54EB" w:rsidRPr="00EF54EB" w:rsidRDefault="00EF54EB" w:rsidP="00EF54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54EB">
        <w:rPr>
          <w:rFonts w:ascii="Times New Roman" w:hAnsi="Times New Roman" w:cs="Times New Roman"/>
          <w:b/>
          <w:bCs/>
          <w:sz w:val="28"/>
          <w:szCs w:val="28"/>
          <w:u w:val="single"/>
        </w:rPr>
        <w:t>7/21 Agenda</w:t>
      </w:r>
    </w:p>
    <w:p w14:paraId="32D2C227" w14:textId="77777777" w:rsidR="00EF54EB" w:rsidRPr="00EF54EB" w:rsidRDefault="00EF54EB" w:rsidP="00EF54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6F26D6" w14:textId="77777777" w:rsidR="00EF54EB" w:rsidRPr="00EF54EB" w:rsidRDefault="00EF54EB" w:rsidP="00EF54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Call approach (Bruce) (10 minutes)</w:t>
      </w:r>
    </w:p>
    <w:p w14:paraId="7531C352" w14:textId="77777777" w:rsidR="00EF54EB" w:rsidRPr="00EF54EB" w:rsidRDefault="00EF54EB" w:rsidP="00EF54E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1F09FE" w14:textId="77777777" w:rsidR="00EF54EB" w:rsidRPr="00EF54EB" w:rsidRDefault="00EF54EB" w:rsidP="00EF54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ARCWG Draft (15 minutes)</w:t>
      </w:r>
    </w:p>
    <w:p w14:paraId="6ECF09A5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 xml:space="preserve">ARCWG brief overview (ARCWG) </w:t>
      </w:r>
    </w:p>
    <w:p w14:paraId="17B1FDDF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ARWG Preliminary Framework Oct 2020</w:t>
        </w:r>
      </w:hyperlink>
    </w:p>
    <w:p w14:paraId="22652277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ARCWG July VM-22 draft</w:t>
        </w:r>
      </w:hyperlink>
    </w:p>
    <w:p w14:paraId="1CE7E987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Fixed Annuity PBR Deviations document</w:t>
        </w:r>
      </w:hyperlink>
    </w:p>
    <w:p w14:paraId="07F69FA9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 xml:space="preserve">Priority list of topics (Bruce and ARCWG) </w:t>
      </w:r>
    </w:p>
    <w:p w14:paraId="1B57D20A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Exposure Priorities</w:t>
        </w:r>
      </w:hyperlink>
    </w:p>
    <w:p w14:paraId="13219397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7661937"/>
      <w:r w:rsidRPr="00EF54EB">
        <w:rPr>
          <w:rFonts w:ascii="Times New Roman" w:eastAsia="Times New Roman" w:hAnsi="Times New Roman" w:cs="Times New Roman"/>
          <w:sz w:val="24"/>
          <w:szCs w:val="24"/>
        </w:rPr>
        <w:t xml:space="preserve">Consider exposure of </w:t>
      </w:r>
      <w:bookmarkEnd w:id="0"/>
      <w:r w:rsidRPr="00EF54EB">
        <w:rPr>
          <w:rFonts w:ascii="Times New Roman" w:eastAsia="Times New Roman" w:hAnsi="Times New Roman" w:cs="Times New Roman"/>
          <w:sz w:val="24"/>
          <w:szCs w:val="24"/>
        </w:rPr>
        <w:t>ARCWG draft including priority list of topics</w:t>
      </w:r>
    </w:p>
    <w:p w14:paraId="0A27C60D" w14:textId="77777777" w:rsidR="00EF54EB" w:rsidRPr="00EF54EB" w:rsidRDefault="00EF54EB" w:rsidP="00EF54EB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2E58B0F" w14:textId="77777777" w:rsidR="00EF54EB" w:rsidRPr="00EF54EB" w:rsidRDefault="00EF54EB" w:rsidP="00EF54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VM-22 Subgroup Overlays to ARCWG Draft (30 minutes)</w:t>
      </w:r>
    </w:p>
    <w:p w14:paraId="2B1489FB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Reserve Categories – alternative definitions (Virginia)</w:t>
      </w:r>
    </w:p>
    <w:p w14:paraId="4DFE1941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Payout Annuity Reserve Category definitions</w:t>
        </w:r>
      </w:hyperlink>
    </w:p>
    <w:p w14:paraId="281BBFDC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Principle Based Reserve Categories</w:t>
        </w:r>
      </w:hyperlink>
    </w:p>
    <w:p w14:paraId="4B9C2E51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Consider exposure of reserve categories definitions (one or both)</w:t>
      </w:r>
    </w:p>
    <w:p w14:paraId="41A9B9A2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Section 3 language introducing Reserve Categories (Utah)</w:t>
      </w:r>
    </w:p>
    <w:p w14:paraId="27435E62" w14:textId="77777777" w:rsidR="00EF54EB" w:rsidRPr="00EF54EB" w:rsidRDefault="00EF54EB" w:rsidP="00EF54E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F54EB">
          <w:rPr>
            <w:rStyle w:val="Hyperlink"/>
            <w:rFonts w:ascii="Times New Roman" w:hAnsi="Times New Roman" w:cs="Times New Roman"/>
            <w:sz w:val="24"/>
            <w:szCs w:val="24"/>
          </w:rPr>
          <w:t>Section 3 reserve category language</w:t>
        </w:r>
      </w:hyperlink>
    </w:p>
    <w:p w14:paraId="5E88A9F8" w14:textId="77777777" w:rsidR="00EF54EB" w:rsidRPr="00EF54EB" w:rsidRDefault="00EF54EB" w:rsidP="00EF54E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4EB">
        <w:rPr>
          <w:rFonts w:ascii="Times New Roman" w:eastAsia="Times New Roman" w:hAnsi="Times New Roman" w:cs="Times New Roman"/>
          <w:sz w:val="24"/>
          <w:szCs w:val="24"/>
        </w:rPr>
        <w:t>Consider exposure of Section 3 language</w:t>
      </w:r>
    </w:p>
    <w:p w14:paraId="34D0C06C" w14:textId="77777777" w:rsidR="00092BB9" w:rsidRPr="000F6BD5" w:rsidRDefault="00092BB9" w:rsidP="000F6BD5"/>
    <w:sectPr w:rsidR="00092BB9" w:rsidRPr="000F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30EA"/>
    <w:multiLevelType w:val="hybridMultilevel"/>
    <w:tmpl w:val="B1A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D5"/>
    <w:rsid w:val="00092BB9"/>
    <w:rsid w:val="000F6BD5"/>
    <w:rsid w:val="00E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1100"/>
  <w15:chartTrackingRefBased/>
  <w15:docId w15:val="{E3978CD7-6954-4F34-9C29-3202066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B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naic.org/sites/default/files/call_materials/Exposure%20Priorities%20July%2021%20202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nt.naic.org/sites/default/files/call_materials/Fixed%20Annuity%20PBR%20Deviations%20from%20VM-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naic.org/sites/default/files/call_materials/ARCWG_VM_22_Draft_Proposal_July_2021_Combined%20%281%29.pdf" TargetMode="External"/><Relationship Id="rId11" Type="http://schemas.openxmlformats.org/officeDocument/2006/relationships/hyperlink" Target="https://content.naic.org/sites/default/files/call_materials/Section%203%20Reserve%20Category%20Language%20except%20for%20Definitions%20July%2021%202021.docx" TargetMode="External"/><Relationship Id="rId5" Type="http://schemas.openxmlformats.org/officeDocument/2006/relationships/hyperlink" Target="https://content.naic.org/sites/default/files/inline-files/ARWG%20Preliminary%20Framework%20Oct%202020%20%28002%29_0.pdf" TargetMode="External"/><Relationship Id="rId10" Type="http://schemas.openxmlformats.org/officeDocument/2006/relationships/hyperlink" Target="https://content.naic.org/sites/default/files/call_materials/Reserve%20Category%20Definitions%20-%20Principle%20Based%20July%2021%20%20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naic.org/sites/default/files/call_materials/Payout%20Annuity%20Reserve%20Category%20Definition%20-%20VM22%20list%20July%2021%20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Arscott, Erin</dc:creator>
  <cp:keywords/>
  <dc:description/>
  <cp:lastModifiedBy>Arscott, Erin</cp:lastModifiedBy>
  <cp:revision>2</cp:revision>
  <dcterms:created xsi:type="dcterms:W3CDTF">2021-07-20T15:12:00Z</dcterms:created>
  <dcterms:modified xsi:type="dcterms:W3CDTF">2021-07-20T16:14:00Z</dcterms:modified>
</cp:coreProperties>
</file>