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3357F" w14:textId="77777777" w:rsidR="00755132" w:rsidRDefault="009A025B">
      <w:pPr>
        <w:pStyle w:val="Heading1"/>
        <w:spacing w:before="85"/>
      </w:pPr>
      <w:r>
        <w:t>Chapter</w:t>
      </w:r>
      <w:r>
        <w:rPr>
          <w:spacing w:val="-9"/>
        </w:rPr>
        <w:t xml:space="preserve"> </w:t>
      </w:r>
      <w:r>
        <w:rPr>
          <w:spacing w:val="-10"/>
        </w:rPr>
        <w:t>1</w:t>
      </w:r>
    </w:p>
    <w:p w14:paraId="28183988" w14:textId="77777777" w:rsidR="00755132" w:rsidRDefault="00755132">
      <w:pPr>
        <w:pStyle w:val="BodyText"/>
        <w:spacing w:before="6"/>
        <w:jc w:val="left"/>
        <w:rPr>
          <w:b/>
        </w:rPr>
      </w:pPr>
    </w:p>
    <w:p w14:paraId="4463DB91" w14:textId="77777777" w:rsidR="00755132" w:rsidRDefault="009A025B">
      <w:pPr>
        <w:ind w:left="120"/>
        <w:rPr>
          <w:b/>
          <w:sz w:val="20"/>
        </w:rPr>
      </w:pPr>
      <w:r>
        <w:rPr>
          <w:b/>
          <w:sz w:val="20"/>
        </w:rPr>
        <w:t>Modern</w:t>
      </w:r>
      <w:r>
        <w:rPr>
          <w:b/>
          <w:spacing w:val="-10"/>
          <w:sz w:val="20"/>
        </w:rPr>
        <w:t xml:space="preserve"> </w:t>
      </w:r>
      <w:r>
        <w:rPr>
          <w:b/>
          <w:sz w:val="20"/>
        </w:rPr>
        <w:t>Producer</w:t>
      </w:r>
      <w:r>
        <w:rPr>
          <w:b/>
          <w:spacing w:val="-5"/>
          <w:sz w:val="20"/>
        </w:rPr>
        <w:t xml:space="preserve"> </w:t>
      </w:r>
      <w:r>
        <w:rPr>
          <w:b/>
          <w:spacing w:val="-2"/>
          <w:sz w:val="20"/>
        </w:rPr>
        <w:t>Licensing</w:t>
      </w:r>
    </w:p>
    <w:p w14:paraId="45EB1641" w14:textId="77777777" w:rsidR="00755132" w:rsidRDefault="00755132">
      <w:pPr>
        <w:pStyle w:val="BodyText"/>
        <w:spacing w:before="49"/>
        <w:jc w:val="left"/>
        <w:rPr>
          <w:b/>
        </w:rPr>
      </w:pPr>
    </w:p>
    <w:p w14:paraId="66C18783" w14:textId="77777777" w:rsidR="00755132" w:rsidRDefault="009A025B">
      <w:pPr>
        <w:pStyle w:val="BodyText"/>
        <w:ind w:left="119" w:right="113"/>
      </w:pPr>
      <w:r>
        <w:t xml:space="preserve">The process for licensing insurance producers has had numerous phases. The first NAIC model on this subject was the NAIC </w:t>
      </w:r>
      <w:r>
        <w:rPr>
          <w:i/>
        </w:rPr>
        <w:t>Agent and Broker Model</w:t>
      </w:r>
      <w:r>
        <w:t xml:space="preserve">. The next phase was the NAIC </w:t>
      </w:r>
      <w:r>
        <w:rPr>
          <w:i/>
        </w:rPr>
        <w:t>Single License Procedure Model</w:t>
      </w:r>
      <w:r>
        <w:t xml:space="preserve">. Although development of the newest model began in the late 1990s, it was the U.S. Congress’ (Congress’) passage of the Gramm-Leach-Bliley Act (GLBA) in 1999 that caused the NAIC to speed up the development of the </w:t>
      </w:r>
      <w:r>
        <w:rPr>
          <w:i/>
        </w:rPr>
        <w:t xml:space="preserve">Producer Licensing Model Act </w:t>
      </w:r>
      <w:r>
        <w:t>(#218).</w:t>
      </w:r>
    </w:p>
    <w:p w14:paraId="2978ACDE" w14:textId="77777777" w:rsidR="00755132" w:rsidRDefault="00755132">
      <w:pPr>
        <w:pStyle w:val="BodyText"/>
        <w:spacing w:before="50"/>
        <w:jc w:val="left"/>
      </w:pPr>
    </w:p>
    <w:p w14:paraId="158C994B" w14:textId="77777777" w:rsidR="00755132" w:rsidRDefault="009A025B">
      <w:pPr>
        <w:pStyle w:val="Heading1"/>
        <w:spacing w:before="1"/>
        <w:ind w:left="119"/>
        <w:jc w:val="both"/>
      </w:pPr>
      <w:r>
        <w:t>Uniformity</w:t>
      </w:r>
      <w:r>
        <w:rPr>
          <w:spacing w:val="-6"/>
        </w:rPr>
        <w:t xml:space="preserve"> </w:t>
      </w:r>
      <w:r>
        <w:t>Provisions</w:t>
      </w:r>
      <w:r>
        <w:rPr>
          <w:spacing w:val="-7"/>
        </w:rPr>
        <w:t xml:space="preserve"> </w:t>
      </w:r>
      <w:r>
        <w:t>of</w:t>
      </w:r>
      <w:r>
        <w:rPr>
          <w:spacing w:val="-5"/>
        </w:rPr>
        <w:t xml:space="preserve"> </w:t>
      </w:r>
      <w:r>
        <w:t>the</w:t>
      </w:r>
      <w:r>
        <w:rPr>
          <w:spacing w:val="-6"/>
        </w:rPr>
        <w:t xml:space="preserve"> </w:t>
      </w:r>
      <w:r>
        <w:t>GLBA</w:t>
      </w:r>
      <w:r>
        <w:rPr>
          <w:spacing w:val="-6"/>
        </w:rPr>
        <w:t xml:space="preserve"> </w:t>
      </w:r>
      <w:r>
        <w:t>Adopted</w:t>
      </w:r>
      <w:r>
        <w:rPr>
          <w:spacing w:val="-7"/>
        </w:rPr>
        <w:t xml:space="preserve"> </w:t>
      </w:r>
      <w:r>
        <w:t>in</w:t>
      </w:r>
      <w:r>
        <w:rPr>
          <w:spacing w:val="-7"/>
        </w:rPr>
        <w:t xml:space="preserve"> </w:t>
      </w:r>
      <w:r>
        <w:rPr>
          <w:spacing w:val="-4"/>
        </w:rPr>
        <w:t>1999</w:t>
      </w:r>
    </w:p>
    <w:p w14:paraId="4DE18127" w14:textId="77777777" w:rsidR="00755132" w:rsidRDefault="00755132">
      <w:pPr>
        <w:pStyle w:val="BodyText"/>
        <w:spacing w:before="48"/>
        <w:jc w:val="left"/>
        <w:rPr>
          <w:b/>
        </w:rPr>
      </w:pPr>
    </w:p>
    <w:p w14:paraId="5F2483C4" w14:textId="77777777" w:rsidR="00755132" w:rsidRDefault="009A025B">
      <w:pPr>
        <w:pStyle w:val="BodyText"/>
        <w:ind w:left="119" w:right="117"/>
      </w:pPr>
      <w:r>
        <w:t xml:space="preserve">In order to achieve the licensing uniformity standards of the GLBA, </w:t>
      </w:r>
      <w:proofErr w:type="gramStart"/>
      <w:r>
        <w:t>a majority</w:t>
      </w:r>
      <w:proofErr w:type="gramEnd"/>
      <w:r>
        <w:t xml:space="preserve"> of the states had to satisfy all five of the following requirements:</w:t>
      </w:r>
    </w:p>
    <w:p w14:paraId="16DFE4CD" w14:textId="77777777" w:rsidR="00755132" w:rsidRDefault="00755132">
      <w:pPr>
        <w:pStyle w:val="BodyText"/>
        <w:spacing w:before="52"/>
        <w:jc w:val="left"/>
      </w:pPr>
    </w:p>
    <w:p w14:paraId="265943D9" w14:textId="77777777" w:rsidR="00755132" w:rsidRDefault="009A025B">
      <w:pPr>
        <w:pStyle w:val="ListParagraph"/>
        <w:numPr>
          <w:ilvl w:val="0"/>
          <w:numId w:val="1"/>
        </w:numPr>
        <w:tabs>
          <w:tab w:val="left" w:pos="839"/>
        </w:tabs>
        <w:ind w:right="116"/>
        <w:jc w:val="both"/>
        <w:rPr>
          <w:sz w:val="20"/>
        </w:rPr>
      </w:pPr>
      <w:r>
        <w:rPr>
          <w:sz w:val="20"/>
        </w:rPr>
        <w:t>Adoption</w:t>
      </w:r>
      <w:r>
        <w:rPr>
          <w:spacing w:val="-11"/>
          <w:sz w:val="20"/>
        </w:rPr>
        <w:t xml:space="preserve"> </w:t>
      </w:r>
      <w:r>
        <w:rPr>
          <w:sz w:val="20"/>
        </w:rPr>
        <w:t>of</w:t>
      </w:r>
      <w:r>
        <w:rPr>
          <w:spacing w:val="-9"/>
          <w:sz w:val="20"/>
        </w:rPr>
        <w:t xml:space="preserve"> </w:t>
      </w:r>
      <w:r>
        <w:rPr>
          <w:sz w:val="20"/>
        </w:rPr>
        <w:t>uniform</w:t>
      </w:r>
      <w:r>
        <w:rPr>
          <w:spacing w:val="-12"/>
          <w:sz w:val="20"/>
        </w:rPr>
        <w:t xml:space="preserve"> </w:t>
      </w:r>
      <w:r>
        <w:rPr>
          <w:sz w:val="20"/>
        </w:rPr>
        <w:t>criteria</w:t>
      </w:r>
      <w:r>
        <w:rPr>
          <w:spacing w:val="-10"/>
          <w:sz w:val="20"/>
        </w:rPr>
        <w:t xml:space="preserve"> </w:t>
      </w:r>
      <w:r>
        <w:rPr>
          <w:sz w:val="20"/>
        </w:rPr>
        <w:t>regarding</w:t>
      </w:r>
      <w:r>
        <w:rPr>
          <w:spacing w:val="-11"/>
          <w:sz w:val="20"/>
        </w:rPr>
        <w:t xml:space="preserve"> </w:t>
      </w:r>
      <w:r>
        <w:rPr>
          <w:sz w:val="20"/>
        </w:rPr>
        <w:t>a</w:t>
      </w:r>
      <w:r>
        <w:rPr>
          <w:spacing w:val="-10"/>
          <w:sz w:val="20"/>
        </w:rPr>
        <w:t xml:space="preserve"> </w:t>
      </w:r>
      <w:r>
        <w:rPr>
          <w:sz w:val="20"/>
        </w:rPr>
        <w:t>producer’s</w:t>
      </w:r>
      <w:r>
        <w:rPr>
          <w:spacing w:val="-11"/>
          <w:sz w:val="20"/>
        </w:rPr>
        <w:t xml:space="preserve"> </w:t>
      </w:r>
      <w:r>
        <w:rPr>
          <w:sz w:val="20"/>
        </w:rPr>
        <w:t>integrity,</w:t>
      </w:r>
      <w:r>
        <w:rPr>
          <w:spacing w:val="-10"/>
          <w:sz w:val="20"/>
        </w:rPr>
        <w:t xml:space="preserve"> </w:t>
      </w:r>
      <w:r>
        <w:rPr>
          <w:sz w:val="20"/>
        </w:rPr>
        <w:t>personal</w:t>
      </w:r>
      <w:r>
        <w:rPr>
          <w:spacing w:val="-10"/>
          <w:sz w:val="20"/>
        </w:rPr>
        <w:t xml:space="preserve"> </w:t>
      </w:r>
      <w:r>
        <w:rPr>
          <w:sz w:val="20"/>
        </w:rPr>
        <w:t>qualifications,</w:t>
      </w:r>
      <w:r>
        <w:rPr>
          <w:spacing w:val="-10"/>
          <w:sz w:val="20"/>
        </w:rPr>
        <w:t xml:space="preserve"> </w:t>
      </w:r>
      <w:r>
        <w:rPr>
          <w:sz w:val="20"/>
        </w:rPr>
        <w:t>education,</w:t>
      </w:r>
      <w:r>
        <w:rPr>
          <w:spacing w:val="-10"/>
          <w:sz w:val="20"/>
        </w:rPr>
        <w:t xml:space="preserve"> </w:t>
      </w:r>
      <w:r>
        <w:rPr>
          <w:sz w:val="20"/>
        </w:rPr>
        <w:t>training</w:t>
      </w:r>
      <w:r>
        <w:rPr>
          <w:spacing w:val="-11"/>
          <w:sz w:val="20"/>
        </w:rPr>
        <w:t xml:space="preserve"> </w:t>
      </w:r>
      <w:r>
        <w:rPr>
          <w:sz w:val="20"/>
        </w:rPr>
        <w:t xml:space="preserve">and experience, which must include qualification and training </w:t>
      </w:r>
      <w:proofErr w:type="gramStart"/>
      <w:r>
        <w:rPr>
          <w:sz w:val="20"/>
        </w:rPr>
        <w:t>on</w:t>
      </w:r>
      <w:proofErr w:type="gramEnd"/>
      <w:r>
        <w:rPr>
          <w:sz w:val="20"/>
        </w:rPr>
        <w:t xml:space="preserve"> the suitability of products for a prospective </w:t>
      </w:r>
      <w:r>
        <w:rPr>
          <w:spacing w:val="-2"/>
          <w:sz w:val="20"/>
        </w:rPr>
        <w:t>customer.</w:t>
      </w:r>
    </w:p>
    <w:p w14:paraId="498C9839" w14:textId="77777777" w:rsidR="00755132" w:rsidRDefault="009A025B">
      <w:pPr>
        <w:pStyle w:val="ListParagraph"/>
        <w:numPr>
          <w:ilvl w:val="0"/>
          <w:numId w:val="1"/>
        </w:numPr>
        <w:tabs>
          <w:tab w:val="left" w:pos="838"/>
        </w:tabs>
        <w:spacing w:line="229" w:lineRule="exact"/>
        <w:ind w:left="838" w:hanging="359"/>
        <w:jc w:val="both"/>
        <w:rPr>
          <w:sz w:val="20"/>
        </w:rPr>
      </w:pPr>
      <w:r>
        <w:rPr>
          <w:sz w:val="20"/>
        </w:rPr>
        <w:t>Adoption</w:t>
      </w:r>
      <w:r>
        <w:rPr>
          <w:spacing w:val="-8"/>
          <w:sz w:val="20"/>
        </w:rPr>
        <w:t xml:space="preserve"> </w:t>
      </w:r>
      <w:r>
        <w:rPr>
          <w:sz w:val="20"/>
        </w:rPr>
        <w:t>of</w:t>
      </w:r>
      <w:r>
        <w:rPr>
          <w:spacing w:val="-6"/>
          <w:sz w:val="20"/>
        </w:rPr>
        <w:t xml:space="preserve"> </w:t>
      </w:r>
      <w:r>
        <w:rPr>
          <w:sz w:val="20"/>
        </w:rPr>
        <w:t>uniform</w:t>
      </w:r>
      <w:r>
        <w:rPr>
          <w:spacing w:val="-6"/>
          <w:sz w:val="20"/>
        </w:rPr>
        <w:t xml:space="preserve"> </w:t>
      </w:r>
      <w:r>
        <w:rPr>
          <w:sz w:val="20"/>
        </w:rPr>
        <w:t>continuing</w:t>
      </w:r>
      <w:r>
        <w:rPr>
          <w:spacing w:val="-6"/>
          <w:sz w:val="20"/>
        </w:rPr>
        <w:t xml:space="preserve"> </w:t>
      </w:r>
      <w:r>
        <w:rPr>
          <w:sz w:val="20"/>
        </w:rPr>
        <w:t>education</w:t>
      </w:r>
      <w:r>
        <w:rPr>
          <w:spacing w:val="-6"/>
          <w:sz w:val="20"/>
        </w:rPr>
        <w:t xml:space="preserve"> </w:t>
      </w:r>
      <w:r>
        <w:rPr>
          <w:sz w:val="20"/>
        </w:rPr>
        <w:t>(CE)</w:t>
      </w:r>
      <w:r>
        <w:rPr>
          <w:spacing w:val="-6"/>
          <w:sz w:val="20"/>
        </w:rPr>
        <w:t xml:space="preserve"> </w:t>
      </w:r>
      <w:r>
        <w:rPr>
          <w:spacing w:val="-2"/>
          <w:sz w:val="20"/>
        </w:rPr>
        <w:t>requirements.</w:t>
      </w:r>
    </w:p>
    <w:p w14:paraId="31B8ABFC" w14:textId="77777777" w:rsidR="00755132" w:rsidRDefault="009A025B">
      <w:pPr>
        <w:pStyle w:val="ListParagraph"/>
        <w:numPr>
          <w:ilvl w:val="0"/>
          <w:numId w:val="1"/>
        </w:numPr>
        <w:tabs>
          <w:tab w:val="left" w:pos="838"/>
        </w:tabs>
        <w:spacing w:before="1"/>
        <w:ind w:left="838" w:hanging="359"/>
        <w:jc w:val="both"/>
        <w:rPr>
          <w:sz w:val="20"/>
        </w:rPr>
      </w:pPr>
      <w:r>
        <w:rPr>
          <w:sz w:val="20"/>
        </w:rPr>
        <w:t>Adoption</w:t>
      </w:r>
      <w:r>
        <w:rPr>
          <w:spacing w:val="-8"/>
          <w:sz w:val="20"/>
        </w:rPr>
        <w:t xml:space="preserve"> </w:t>
      </w:r>
      <w:r>
        <w:rPr>
          <w:sz w:val="20"/>
        </w:rPr>
        <w:t>of</w:t>
      </w:r>
      <w:r>
        <w:rPr>
          <w:spacing w:val="-5"/>
          <w:sz w:val="20"/>
        </w:rPr>
        <w:t xml:space="preserve"> </w:t>
      </w:r>
      <w:r>
        <w:rPr>
          <w:sz w:val="20"/>
        </w:rPr>
        <w:t>uniform</w:t>
      </w:r>
      <w:r>
        <w:rPr>
          <w:spacing w:val="-5"/>
          <w:sz w:val="20"/>
        </w:rPr>
        <w:t xml:space="preserve"> </w:t>
      </w:r>
      <w:r>
        <w:rPr>
          <w:sz w:val="20"/>
        </w:rPr>
        <w:t>ethics</w:t>
      </w:r>
      <w:r>
        <w:rPr>
          <w:spacing w:val="-7"/>
          <w:sz w:val="20"/>
        </w:rPr>
        <w:t xml:space="preserve"> </w:t>
      </w:r>
      <w:r>
        <w:rPr>
          <w:sz w:val="20"/>
        </w:rPr>
        <w:t>course</w:t>
      </w:r>
      <w:r>
        <w:rPr>
          <w:spacing w:val="-6"/>
          <w:sz w:val="20"/>
        </w:rPr>
        <w:t xml:space="preserve"> </w:t>
      </w:r>
      <w:r>
        <w:rPr>
          <w:sz w:val="20"/>
        </w:rPr>
        <w:t>requirements</w:t>
      </w:r>
      <w:r>
        <w:rPr>
          <w:spacing w:val="-7"/>
          <w:sz w:val="20"/>
        </w:rPr>
        <w:t xml:space="preserve"> </w:t>
      </w:r>
      <w:r>
        <w:rPr>
          <w:sz w:val="20"/>
        </w:rPr>
        <w:t>in</w:t>
      </w:r>
      <w:r>
        <w:rPr>
          <w:spacing w:val="-6"/>
          <w:sz w:val="20"/>
        </w:rPr>
        <w:t xml:space="preserve"> </w:t>
      </w:r>
      <w:r>
        <w:rPr>
          <w:sz w:val="20"/>
        </w:rPr>
        <w:t>conjunction</w:t>
      </w:r>
      <w:r>
        <w:rPr>
          <w:spacing w:val="-5"/>
          <w:sz w:val="20"/>
        </w:rPr>
        <w:t xml:space="preserve"> </w:t>
      </w:r>
      <w:r>
        <w:rPr>
          <w:sz w:val="20"/>
        </w:rPr>
        <w:t>with</w:t>
      </w:r>
      <w:r>
        <w:rPr>
          <w:spacing w:val="-5"/>
          <w:sz w:val="20"/>
        </w:rPr>
        <w:t xml:space="preserve"> </w:t>
      </w:r>
      <w:r>
        <w:rPr>
          <w:sz w:val="20"/>
        </w:rPr>
        <w:t>other</w:t>
      </w:r>
      <w:r>
        <w:rPr>
          <w:spacing w:val="-6"/>
          <w:sz w:val="20"/>
        </w:rPr>
        <w:t xml:space="preserve"> </w:t>
      </w:r>
      <w:r>
        <w:rPr>
          <w:sz w:val="20"/>
        </w:rPr>
        <w:t>CE</w:t>
      </w:r>
      <w:r>
        <w:rPr>
          <w:spacing w:val="-6"/>
          <w:sz w:val="20"/>
        </w:rPr>
        <w:t xml:space="preserve"> </w:t>
      </w:r>
      <w:r>
        <w:rPr>
          <w:spacing w:val="-2"/>
          <w:sz w:val="20"/>
        </w:rPr>
        <w:t>requirements.</w:t>
      </w:r>
    </w:p>
    <w:p w14:paraId="14AA9DE5" w14:textId="77777777" w:rsidR="00755132" w:rsidRDefault="009A025B">
      <w:pPr>
        <w:pStyle w:val="ListParagraph"/>
        <w:numPr>
          <w:ilvl w:val="0"/>
          <w:numId w:val="1"/>
        </w:numPr>
        <w:tabs>
          <w:tab w:val="left" w:pos="838"/>
        </w:tabs>
        <w:ind w:left="838" w:hanging="359"/>
        <w:jc w:val="both"/>
        <w:rPr>
          <w:sz w:val="20"/>
        </w:rPr>
      </w:pPr>
      <w:r>
        <w:rPr>
          <w:sz w:val="20"/>
        </w:rPr>
        <w:t>Adoption</w:t>
      </w:r>
      <w:r>
        <w:rPr>
          <w:spacing w:val="-8"/>
          <w:sz w:val="20"/>
        </w:rPr>
        <w:t xml:space="preserve"> </w:t>
      </w:r>
      <w:r>
        <w:rPr>
          <w:sz w:val="20"/>
        </w:rPr>
        <w:t>of</w:t>
      </w:r>
      <w:r>
        <w:rPr>
          <w:spacing w:val="-6"/>
          <w:sz w:val="20"/>
        </w:rPr>
        <w:t xml:space="preserve"> </w:t>
      </w:r>
      <w:r>
        <w:rPr>
          <w:sz w:val="20"/>
        </w:rPr>
        <w:t>uniform</w:t>
      </w:r>
      <w:r>
        <w:rPr>
          <w:spacing w:val="-6"/>
          <w:sz w:val="20"/>
        </w:rPr>
        <w:t xml:space="preserve"> </w:t>
      </w:r>
      <w:r>
        <w:rPr>
          <w:sz w:val="20"/>
        </w:rPr>
        <w:t>suitability</w:t>
      </w:r>
      <w:r>
        <w:rPr>
          <w:spacing w:val="-6"/>
          <w:sz w:val="20"/>
        </w:rPr>
        <w:t xml:space="preserve"> </w:t>
      </w:r>
      <w:r>
        <w:rPr>
          <w:sz w:val="20"/>
        </w:rPr>
        <w:t>requirements</w:t>
      </w:r>
      <w:r>
        <w:rPr>
          <w:spacing w:val="-8"/>
          <w:sz w:val="20"/>
        </w:rPr>
        <w:t xml:space="preserve"> </w:t>
      </w:r>
      <w:r>
        <w:rPr>
          <w:sz w:val="20"/>
        </w:rPr>
        <w:t>based</w:t>
      </w:r>
      <w:r>
        <w:rPr>
          <w:spacing w:val="-6"/>
          <w:sz w:val="20"/>
        </w:rPr>
        <w:t xml:space="preserve"> </w:t>
      </w:r>
      <w:r>
        <w:rPr>
          <w:sz w:val="20"/>
        </w:rPr>
        <w:t>on</w:t>
      </w:r>
      <w:r>
        <w:rPr>
          <w:spacing w:val="-6"/>
          <w:sz w:val="20"/>
        </w:rPr>
        <w:t xml:space="preserve"> </w:t>
      </w:r>
      <w:r>
        <w:rPr>
          <w:sz w:val="20"/>
        </w:rPr>
        <w:t>financial</w:t>
      </w:r>
      <w:r>
        <w:rPr>
          <w:spacing w:val="-7"/>
          <w:sz w:val="20"/>
        </w:rPr>
        <w:t xml:space="preserve"> </w:t>
      </w:r>
      <w:r>
        <w:rPr>
          <w:sz w:val="20"/>
        </w:rPr>
        <w:t>information</w:t>
      </w:r>
      <w:r>
        <w:rPr>
          <w:spacing w:val="-8"/>
          <w:sz w:val="20"/>
        </w:rPr>
        <w:t xml:space="preserve"> </w:t>
      </w:r>
      <w:r>
        <w:rPr>
          <w:sz w:val="20"/>
        </w:rPr>
        <w:t>submitted</w:t>
      </w:r>
      <w:r>
        <w:rPr>
          <w:spacing w:val="-6"/>
          <w:sz w:val="20"/>
        </w:rPr>
        <w:t xml:space="preserve"> </w:t>
      </w:r>
      <w:r>
        <w:rPr>
          <w:sz w:val="20"/>
        </w:rPr>
        <w:t>by</w:t>
      </w:r>
      <w:r>
        <w:rPr>
          <w:spacing w:val="-8"/>
          <w:sz w:val="20"/>
        </w:rPr>
        <w:t xml:space="preserve"> </w:t>
      </w:r>
      <w:r>
        <w:rPr>
          <w:sz w:val="20"/>
        </w:rPr>
        <w:t>the</w:t>
      </w:r>
      <w:r>
        <w:rPr>
          <w:spacing w:val="-7"/>
          <w:sz w:val="20"/>
        </w:rPr>
        <w:t xml:space="preserve"> </w:t>
      </w:r>
      <w:r>
        <w:rPr>
          <w:spacing w:val="-2"/>
          <w:sz w:val="20"/>
        </w:rPr>
        <w:t>customer.</w:t>
      </w:r>
    </w:p>
    <w:p w14:paraId="70780845" w14:textId="77777777" w:rsidR="00755132" w:rsidRDefault="009A025B">
      <w:pPr>
        <w:pStyle w:val="ListParagraph"/>
        <w:numPr>
          <w:ilvl w:val="0"/>
          <w:numId w:val="1"/>
        </w:numPr>
        <w:tabs>
          <w:tab w:val="left" w:pos="839"/>
        </w:tabs>
        <w:spacing w:before="1"/>
        <w:ind w:right="116"/>
        <w:jc w:val="both"/>
        <w:rPr>
          <w:sz w:val="20"/>
        </w:rPr>
      </w:pPr>
      <w:r>
        <w:rPr>
          <w:sz w:val="20"/>
        </w:rPr>
        <w:t>Elimination of nonresident requirements posing any limitation or condition because of the place of the producer’s residence or business, except for countersignature requirements.</w:t>
      </w:r>
    </w:p>
    <w:p w14:paraId="47E2341B" w14:textId="77777777" w:rsidR="00755132" w:rsidRDefault="00755132">
      <w:pPr>
        <w:pStyle w:val="BodyText"/>
        <w:spacing w:before="49"/>
        <w:jc w:val="left"/>
      </w:pPr>
    </w:p>
    <w:p w14:paraId="4BF5BF28" w14:textId="77777777" w:rsidR="00755132" w:rsidRDefault="009A025B">
      <w:pPr>
        <w:pStyle w:val="BodyText"/>
        <w:ind w:left="119" w:right="115"/>
      </w:pPr>
      <w:r>
        <w:t>One of the major provisions of the GLBA was a provision to create the National Association of Registered Agents and Brokers (NARAB). While much progress was made to improve uniformity and streamline nonresident producer licensing, the NAIC endorsed the provisions of the Terrorism Risk Insurance Program Reauthorization Act of 2015 (Public</w:t>
      </w:r>
      <w:r>
        <w:rPr>
          <w:spacing w:val="-5"/>
        </w:rPr>
        <w:t xml:space="preserve"> </w:t>
      </w:r>
      <w:r>
        <w:t>Law</w:t>
      </w:r>
      <w:r>
        <w:rPr>
          <w:spacing w:val="-5"/>
        </w:rPr>
        <w:t xml:space="preserve"> </w:t>
      </w:r>
      <w:r>
        <w:t>107-297),</w:t>
      </w:r>
      <w:r>
        <w:rPr>
          <w:spacing w:val="-5"/>
        </w:rPr>
        <w:t xml:space="preserve"> </w:t>
      </w:r>
      <w:r>
        <w:t>which</w:t>
      </w:r>
      <w:r>
        <w:rPr>
          <w:spacing w:val="-7"/>
        </w:rPr>
        <w:t xml:space="preserve"> </w:t>
      </w:r>
      <w:r>
        <w:t>modified</w:t>
      </w:r>
      <w:r>
        <w:rPr>
          <w:spacing w:val="-4"/>
        </w:rPr>
        <w:t xml:space="preserve"> </w:t>
      </w:r>
      <w:r>
        <w:t>NARAB.</w:t>
      </w:r>
      <w:r>
        <w:rPr>
          <w:spacing w:val="-5"/>
        </w:rPr>
        <w:t xml:space="preserve"> </w:t>
      </w:r>
      <w:r>
        <w:t>These</w:t>
      </w:r>
      <w:r>
        <w:rPr>
          <w:spacing w:val="-5"/>
        </w:rPr>
        <w:t xml:space="preserve"> </w:t>
      </w:r>
      <w:r>
        <w:t>provisions,</w:t>
      </w:r>
      <w:r>
        <w:rPr>
          <w:spacing w:val="-5"/>
        </w:rPr>
        <w:t xml:space="preserve"> </w:t>
      </w:r>
      <w:r>
        <w:t>commonly</w:t>
      </w:r>
      <w:r>
        <w:rPr>
          <w:spacing w:val="-4"/>
        </w:rPr>
        <w:t xml:space="preserve"> </w:t>
      </w:r>
      <w:r>
        <w:t>referred</w:t>
      </w:r>
      <w:r>
        <w:rPr>
          <w:spacing w:val="-4"/>
        </w:rPr>
        <w:t xml:space="preserve"> </w:t>
      </w:r>
      <w:r>
        <w:t>to</w:t>
      </w:r>
      <w:r>
        <w:rPr>
          <w:spacing w:val="-7"/>
        </w:rPr>
        <w:t xml:space="preserve"> </w:t>
      </w:r>
      <w:r>
        <w:t>as</w:t>
      </w:r>
      <w:r>
        <w:rPr>
          <w:spacing w:val="-6"/>
        </w:rPr>
        <w:t xml:space="preserve"> </w:t>
      </w:r>
      <w:r>
        <w:t>NARAB</w:t>
      </w:r>
      <w:r>
        <w:rPr>
          <w:spacing w:val="-6"/>
        </w:rPr>
        <w:t xml:space="preserve"> </w:t>
      </w:r>
      <w:r>
        <w:t>II,</w:t>
      </w:r>
      <w:r>
        <w:rPr>
          <w:spacing w:val="-5"/>
        </w:rPr>
        <w:t xml:space="preserve"> </w:t>
      </w:r>
      <w:r>
        <w:t>were</w:t>
      </w:r>
      <w:r>
        <w:rPr>
          <w:spacing w:val="-5"/>
        </w:rPr>
        <w:t xml:space="preserve"> </w:t>
      </w:r>
      <w:r>
        <w:t>signed by President Barack Obama on Jan. 12, 2015.</w:t>
      </w:r>
    </w:p>
    <w:p w14:paraId="2DB34915" w14:textId="77777777" w:rsidR="00755132" w:rsidRDefault="00755132">
      <w:pPr>
        <w:pStyle w:val="BodyText"/>
        <w:spacing w:before="48"/>
        <w:jc w:val="left"/>
      </w:pPr>
    </w:p>
    <w:p w14:paraId="52078584" w14:textId="77777777" w:rsidR="00755132" w:rsidRDefault="009A025B">
      <w:pPr>
        <w:pStyle w:val="BodyText"/>
        <w:ind w:left="119" w:right="114"/>
      </w:pPr>
      <w:r>
        <w:t>NARAB</w:t>
      </w:r>
      <w:r>
        <w:rPr>
          <w:spacing w:val="-4"/>
        </w:rPr>
        <w:t xml:space="preserve"> </w:t>
      </w:r>
      <w:r>
        <w:t>II</w:t>
      </w:r>
      <w:r>
        <w:rPr>
          <w:spacing w:val="-2"/>
        </w:rPr>
        <w:t xml:space="preserve"> </w:t>
      </w:r>
      <w:r>
        <w:t>is</w:t>
      </w:r>
      <w:r>
        <w:rPr>
          <w:spacing w:val="-4"/>
        </w:rPr>
        <w:t xml:space="preserve"> </w:t>
      </w:r>
      <w:r>
        <w:t>intended</w:t>
      </w:r>
      <w:r>
        <w:rPr>
          <w:spacing w:val="-2"/>
        </w:rPr>
        <w:t xml:space="preserve"> </w:t>
      </w:r>
      <w:r>
        <w:t>to</w:t>
      </w:r>
      <w:r>
        <w:rPr>
          <w:spacing w:val="-4"/>
        </w:rPr>
        <w:t xml:space="preserve"> </w:t>
      </w:r>
      <w:r>
        <w:t>streamline</w:t>
      </w:r>
      <w:r>
        <w:rPr>
          <w:spacing w:val="-3"/>
        </w:rPr>
        <w:t xml:space="preserve"> </w:t>
      </w:r>
      <w:r>
        <w:t>the</w:t>
      </w:r>
      <w:r>
        <w:rPr>
          <w:spacing w:val="-3"/>
        </w:rPr>
        <w:t xml:space="preserve"> </w:t>
      </w:r>
      <w:r>
        <w:t>nonresident</w:t>
      </w:r>
      <w:r>
        <w:rPr>
          <w:spacing w:val="-5"/>
        </w:rPr>
        <w:t xml:space="preserve"> </w:t>
      </w:r>
      <w:r>
        <w:t>producer</w:t>
      </w:r>
      <w:r>
        <w:rPr>
          <w:spacing w:val="-2"/>
        </w:rPr>
        <w:t xml:space="preserve"> </w:t>
      </w:r>
      <w:r>
        <w:t>licensing</w:t>
      </w:r>
      <w:r>
        <w:rPr>
          <w:spacing w:val="-2"/>
        </w:rPr>
        <w:t xml:space="preserve"> </w:t>
      </w:r>
      <w:r>
        <w:t>process</w:t>
      </w:r>
      <w:r>
        <w:rPr>
          <w:spacing w:val="-4"/>
        </w:rPr>
        <w:t xml:space="preserve"> </w:t>
      </w:r>
      <w:r>
        <w:t>while</w:t>
      </w:r>
      <w:r>
        <w:rPr>
          <w:spacing w:val="-3"/>
        </w:rPr>
        <w:t xml:space="preserve"> </w:t>
      </w:r>
      <w:r>
        <w:t>preserving</w:t>
      </w:r>
      <w:r>
        <w:rPr>
          <w:spacing w:val="-2"/>
        </w:rPr>
        <w:t xml:space="preserve"> </w:t>
      </w:r>
      <w:r>
        <w:t>the</w:t>
      </w:r>
      <w:r>
        <w:rPr>
          <w:spacing w:val="-3"/>
        </w:rPr>
        <w:t xml:space="preserve"> </w:t>
      </w:r>
      <w:r>
        <w:t>states’</w:t>
      </w:r>
      <w:r>
        <w:rPr>
          <w:spacing w:val="-2"/>
        </w:rPr>
        <w:t xml:space="preserve"> </w:t>
      </w:r>
      <w:r>
        <w:t>ability</w:t>
      </w:r>
      <w:r>
        <w:rPr>
          <w:spacing w:val="-2"/>
        </w:rPr>
        <w:t xml:space="preserve"> </w:t>
      </w:r>
      <w:r>
        <w:t>to protect consumers and regulate producer conduct. NARAB II does not create a federal insurance regulator but establishes</w:t>
      </w:r>
      <w:r>
        <w:rPr>
          <w:spacing w:val="-4"/>
        </w:rPr>
        <w:t xml:space="preserve"> </w:t>
      </w:r>
      <w:r>
        <w:t>a</w:t>
      </w:r>
      <w:r>
        <w:rPr>
          <w:spacing w:val="-3"/>
        </w:rPr>
        <w:t xml:space="preserve"> </w:t>
      </w:r>
      <w:r>
        <w:t>nonprofit</w:t>
      </w:r>
      <w:r>
        <w:rPr>
          <w:spacing w:val="-3"/>
        </w:rPr>
        <w:t xml:space="preserve"> </w:t>
      </w:r>
      <w:r>
        <w:t>corporation,</w:t>
      </w:r>
      <w:r>
        <w:rPr>
          <w:spacing w:val="-2"/>
        </w:rPr>
        <w:t xml:space="preserve"> </w:t>
      </w:r>
      <w:r>
        <w:t>known</w:t>
      </w:r>
      <w:r>
        <w:rPr>
          <w:spacing w:val="-4"/>
        </w:rPr>
        <w:t xml:space="preserve"> </w:t>
      </w:r>
      <w:r>
        <w:t>as</w:t>
      </w:r>
      <w:r>
        <w:rPr>
          <w:spacing w:val="-4"/>
        </w:rPr>
        <w:t xml:space="preserve"> </w:t>
      </w:r>
      <w:r>
        <w:t>NARAB,</w:t>
      </w:r>
      <w:r>
        <w:rPr>
          <w:spacing w:val="-2"/>
        </w:rPr>
        <w:t xml:space="preserve"> </w:t>
      </w:r>
      <w:r>
        <w:t>controlled</w:t>
      </w:r>
      <w:r>
        <w:rPr>
          <w:spacing w:val="-2"/>
        </w:rPr>
        <w:t xml:space="preserve"> </w:t>
      </w:r>
      <w:r>
        <w:t>by</w:t>
      </w:r>
      <w:r>
        <w:rPr>
          <w:spacing w:val="-2"/>
        </w:rPr>
        <w:t xml:space="preserve"> </w:t>
      </w:r>
      <w:r>
        <w:t>its</w:t>
      </w:r>
      <w:r>
        <w:rPr>
          <w:spacing w:val="-6"/>
        </w:rPr>
        <w:t xml:space="preserve"> </w:t>
      </w:r>
      <w:r>
        <w:t>board</w:t>
      </w:r>
      <w:r>
        <w:rPr>
          <w:spacing w:val="-4"/>
        </w:rPr>
        <w:t xml:space="preserve"> </w:t>
      </w:r>
      <w:r>
        <w:t>of</w:t>
      </w:r>
      <w:r>
        <w:rPr>
          <w:spacing w:val="-2"/>
        </w:rPr>
        <w:t xml:space="preserve"> </w:t>
      </w:r>
      <w:r>
        <w:t>directors.</w:t>
      </w:r>
      <w:r>
        <w:rPr>
          <w:spacing w:val="-2"/>
        </w:rPr>
        <w:t xml:space="preserve"> </w:t>
      </w:r>
      <w:r>
        <w:t>The</w:t>
      </w:r>
      <w:r>
        <w:rPr>
          <w:spacing w:val="-5"/>
        </w:rPr>
        <w:t xml:space="preserve"> </w:t>
      </w:r>
      <w:r>
        <w:t>stated</w:t>
      </w:r>
      <w:r>
        <w:rPr>
          <w:spacing w:val="-2"/>
        </w:rPr>
        <w:t xml:space="preserve"> </w:t>
      </w:r>
      <w:r>
        <w:t>purpose</w:t>
      </w:r>
      <w:r>
        <w:rPr>
          <w:spacing w:val="-5"/>
        </w:rPr>
        <w:t xml:space="preserve"> </w:t>
      </w:r>
      <w:r>
        <w:t>of</w:t>
      </w:r>
      <w:r>
        <w:rPr>
          <w:spacing w:val="-5"/>
        </w:rPr>
        <w:t xml:space="preserve"> </w:t>
      </w:r>
      <w:r>
        <w:t>the legislation is to provide “a mechanism through which licensing, CE, and other nonresident insurance producer qualification</w:t>
      </w:r>
      <w:r>
        <w:rPr>
          <w:spacing w:val="-9"/>
        </w:rPr>
        <w:t xml:space="preserve"> </w:t>
      </w:r>
      <w:r>
        <w:t>requirements</w:t>
      </w:r>
      <w:r>
        <w:rPr>
          <w:spacing w:val="-11"/>
        </w:rPr>
        <w:t xml:space="preserve"> </w:t>
      </w:r>
      <w:r>
        <w:t>and</w:t>
      </w:r>
      <w:r>
        <w:rPr>
          <w:spacing w:val="-11"/>
        </w:rPr>
        <w:t xml:space="preserve"> </w:t>
      </w:r>
      <w:r>
        <w:t>conditions</w:t>
      </w:r>
      <w:r>
        <w:rPr>
          <w:spacing w:val="-11"/>
        </w:rPr>
        <w:t xml:space="preserve"> </w:t>
      </w:r>
      <w:r>
        <w:t>may</w:t>
      </w:r>
      <w:r>
        <w:rPr>
          <w:spacing w:val="-11"/>
        </w:rPr>
        <w:t xml:space="preserve"> </w:t>
      </w:r>
      <w:r>
        <w:t>be</w:t>
      </w:r>
      <w:r>
        <w:rPr>
          <w:spacing w:val="-10"/>
        </w:rPr>
        <w:t xml:space="preserve"> </w:t>
      </w:r>
      <w:r>
        <w:t>adopted</w:t>
      </w:r>
      <w:r>
        <w:rPr>
          <w:spacing w:val="-9"/>
        </w:rPr>
        <w:t xml:space="preserve"> </w:t>
      </w:r>
      <w:r>
        <w:t>and</w:t>
      </w:r>
      <w:r>
        <w:rPr>
          <w:spacing w:val="-9"/>
        </w:rPr>
        <w:t xml:space="preserve"> </w:t>
      </w:r>
      <w:r>
        <w:t>applied</w:t>
      </w:r>
      <w:r>
        <w:rPr>
          <w:spacing w:val="-11"/>
        </w:rPr>
        <w:t xml:space="preserve"> </w:t>
      </w:r>
      <w:r>
        <w:t>on</w:t>
      </w:r>
      <w:r>
        <w:rPr>
          <w:spacing w:val="-11"/>
        </w:rPr>
        <w:t xml:space="preserve"> </w:t>
      </w:r>
      <w:r>
        <w:t>a</w:t>
      </w:r>
      <w:r>
        <w:rPr>
          <w:spacing w:val="-10"/>
        </w:rPr>
        <w:t xml:space="preserve"> </w:t>
      </w:r>
      <w:r>
        <w:t>multistate</w:t>
      </w:r>
      <w:r>
        <w:rPr>
          <w:spacing w:val="-10"/>
        </w:rPr>
        <w:t xml:space="preserve"> </w:t>
      </w:r>
      <w:r>
        <w:t>basis</w:t>
      </w:r>
      <w:r>
        <w:rPr>
          <w:spacing w:val="-11"/>
        </w:rPr>
        <w:t xml:space="preserve"> </w:t>
      </w:r>
      <w:r>
        <w:t>without</w:t>
      </w:r>
      <w:r>
        <w:rPr>
          <w:spacing w:val="-10"/>
        </w:rPr>
        <w:t xml:space="preserve"> </w:t>
      </w:r>
      <w:r>
        <w:t>affecting</w:t>
      </w:r>
      <w:r>
        <w:rPr>
          <w:spacing w:val="-9"/>
        </w:rPr>
        <w:t xml:space="preserve"> </w:t>
      </w:r>
      <w:r>
        <w:t>the</w:t>
      </w:r>
      <w:r>
        <w:rPr>
          <w:spacing w:val="-10"/>
        </w:rPr>
        <w:t xml:space="preserve"> </w:t>
      </w:r>
      <w:r>
        <w:t>laws, rules and regulations, and preserving the rights of a state, pertaining to certain specific producer-related conduct.”</w:t>
      </w:r>
    </w:p>
    <w:p w14:paraId="0599FF75" w14:textId="77777777" w:rsidR="00755132" w:rsidRDefault="00755132">
      <w:pPr>
        <w:pStyle w:val="BodyText"/>
        <w:spacing w:before="51"/>
        <w:jc w:val="left"/>
      </w:pPr>
    </w:p>
    <w:p w14:paraId="7FE9F18F" w14:textId="77777777" w:rsidR="00755132" w:rsidRDefault="009A025B">
      <w:pPr>
        <w:pStyle w:val="BodyText"/>
        <w:spacing w:before="1"/>
        <w:ind w:left="119" w:right="114"/>
      </w:pPr>
      <w:r>
        <w:t>NARAB</w:t>
      </w:r>
      <w:r>
        <w:rPr>
          <w:spacing w:val="-8"/>
        </w:rPr>
        <w:t xml:space="preserve"> </w:t>
      </w:r>
      <w:r>
        <w:t>is</w:t>
      </w:r>
      <w:r>
        <w:rPr>
          <w:spacing w:val="-8"/>
        </w:rPr>
        <w:t xml:space="preserve"> </w:t>
      </w:r>
      <w:r>
        <w:t>to</w:t>
      </w:r>
      <w:r>
        <w:rPr>
          <w:spacing w:val="-6"/>
        </w:rPr>
        <w:t xml:space="preserve"> </w:t>
      </w:r>
      <w:r>
        <w:t>be</w:t>
      </w:r>
      <w:r>
        <w:rPr>
          <w:spacing w:val="-6"/>
        </w:rPr>
        <w:t xml:space="preserve"> </w:t>
      </w:r>
      <w:r>
        <w:t>governed</w:t>
      </w:r>
      <w:r>
        <w:rPr>
          <w:spacing w:val="-8"/>
        </w:rPr>
        <w:t xml:space="preserve"> </w:t>
      </w:r>
      <w:r>
        <w:t>by</w:t>
      </w:r>
      <w:r>
        <w:rPr>
          <w:spacing w:val="-8"/>
        </w:rPr>
        <w:t xml:space="preserve"> </w:t>
      </w:r>
      <w:r>
        <w:t>a</w:t>
      </w:r>
      <w:r>
        <w:rPr>
          <w:spacing w:val="-6"/>
        </w:rPr>
        <w:t xml:space="preserve"> </w:t>
      </w:r>
      <w:r>
        <w:t>13-member</w:t>
      </w:r>
      <w:r>
        <w:rPr>
          <w:spacing w:val="-6"/>
        </w:rPr>
        <w:t xml:space="preserve"> </w:t>
      </w:r>
      <w:r>
        <w:t>governing</w:t>
      </w:r>
      <w:r>
        <w:rPr>
          <w:spacing w:val="-6"/>
        </w:rPr>
        <w:t xml:space="preserve"> </w:t>
      </w:r>
      <w:r>
        <w:t>board</w:t>
      </w:r>
      <w:r>
        <w:rPr>
          <w:spacing w:val="-8"/>
        </w:rPr>
        <w:t xml:space="preserve"> </w:t>
      </w:r>
      <w:r>
        <w:t>comprising</w:t>
      </w:r>
      <w:r>
        <w:rPr>
          <w:spacing w:val="-6"/>
        </w:rPr>
        <w:t xml:space="preserve"> </w:t>
      </w:r>
      <w:r>
        <w:t>eight</w:t>
      </w:r>
      <w:r>
        <w:rPr>
          <w:spacing w:val="-7"/>
        </w:rPr>
        <w:t xml:space="preserve"> </w:t>
      </w:r>
      <w:r>
        <w:t>state</w:t>
      </w:r>
      <w:r>
        <w:rPr>
          <w:spacing w:val="-6"/>
        </w:rPr>
        <w:t xml:space="preserve"> </w:t>
      </w:r>
      <w:r>
        <w:t>insurance</w:t>
      </w:r>
      <w:r>
        <w:rPr>
          <w:spacing w:val="-6"/>
        </w:rPr>
        <w:t xml:space="preserve"> </w:t>
      </w:r>
      <w:r>
        <w:t>commissioners</w:t>
      </w:r>
      <w:r>
        <w:rPr>
          <w:spacing w:val="-8"/>
        </w:rPr>
        <w:t xml:space="preserve"> </w:t>
      </w:r>
      <w:r>
        <w:t>and</w:t>
      </w:r>
      <w:r>
        <w:rPr>
          <w:spacing w:val="-6"/>
        </w:rPr>
        <w:t xml:space="preserve"> </w:t>
      </w:r>
      <w:r>
        <w:t>five insurance industry representatives subject to presidential appointment and U.S. Senate (Senate) confirmation. NARAB,</w:t>
      </w:r>
      <w:r>
        <w:rPr>
          <w:spacing w:val="-6"/>
        </w:rPr>
        <w:t xml:space="preserve"> </w:t>
      </w:r>
      <w:r>
        <w:t>acting</w:t>
      </w:r>
      <w:r>
        <w:rPr>
          <w:spacing w:val="-6"/>
        </w:rPr>
        <w:t xml:space="preserve"> </w:t>
      </w:r>
      <w:r>
        <w:t>through</w:t>
      </w:r>
      <w:r>
        <w:rPr>
          <w:spacing w:val="-6"/>
        </w:rPr>
        <w:t xml:space="preserve"> </w:t>
      </w:r>
      <w:r>
        <w:t>its</w:t>
      </w:r>
      <w:r>
        <w:rPr>
          <w:spacing w:val="-8"/>
        </w:rPr>
        <w:t xml:space="preserve"> </w:t>
      </w:r>
      <w:r>
        <w:t>board</w:t>
      </w:r>
      <w:r>
        <w:rPr>
          <w:spacing w:val="-6"/>
        </w:rPr>
        <w:t xml:space="preserve"> </w:t>
      </w:r>
      <w:r>
        <w:t>of</w:t>
      </w:r>
      <w:r>
        <w:rPr>
          <w:spacing w:val="-6"/>
        </w:rPr>
        <w:t xml:space="preserve"> </w:t>
      </w:r>
      <w:r>
        <w:t>directors,</w:t>
      </w:r>
      <w:r>
        <w:rPr>
          <w:spacing w:val="-6"/>
        </w:rPr>
        <w:t xml:space="preserve"> </w:t>
      </w:r>
      <w:r>
        <w:t>will</w:t>
      </w:r>
      <w:r>
        <w:rPr>
          <w:spacing w:val="-7"/>
        </w:rPr>
        <w:t xml:space="preserve"> </w:t>
      </w:r>
      <w:r>
        <w:t>establish</w:t>
      </w:r>
      <w:r>
        <w:rPr>
          <w:spacing w:val="-3"/>
        </w:rPr>
        <w:t xml:space="preserve"> </w:t>
      </w:r>
      <w:r>
        <w:t>membership</w:t>
      </w:r>
      <w:r>
        <w:rPr>
          <w:spacing w:val="-6"/>
        </w:rPr>
        <w:t xml:space="preserve"> </w:t>
      </w:r>
      <w:r>
        <w:t>criteria</w:t>
      </w:r>
      <w:r>
        <w:rPr>
          <w:spacing w:val="-6"/>
        </w:rPr>
        <w:t xml:space="preserve"> </w:t>
      </w:r>
      <w:r>
        <w:t>through</w:t>
      </w:r>
      <w:r>
        <w:rPr>
          <w:spacing w:val="-8"/>
        </w:rPr>
        <w:t xml:space="preserve"> </w:t>
      </w:r>
      <w:r>
        <w:t>which</w:t>
      </w:r>
      <w:r>
        <w:rPr>
          <w:spacing w:val="-6"/>
        </w:rPr>
        <w:t xml:space="preserve"> </w:t>
      </w:r>
      <w:r>
        <w:t>producers</w:t>
      </w:r>
      <w:r>
        <w:rPr>
          <w:spacing w:val="-8"/>
        </w:rPr>
        <w:t xml:space="preserve"> </w:t>
      </w:r>
      <w:r>
        <w:t>can</w:t>
      </w:r>
      <w:r>
        <w:rPr>
          <w:spacing w:val="-6"/>
        </w:rPr>
        <w:t xml:space="preserve"> </w:t>
      </w:r>
      <w:r>
        <w:t>obtain nonresident</w:t>
      </w:r>
      <w:r>
        <w:rPr>
          <w:spacing w:val="-2"/>
        </w:rPr>
        <w:t xml:space="preserve"> </w:t>
      </w:r>
      <w:r>
        <w:t>authority</w:t>
      </w:r>
      <w:r>
        <w:rPr>
          <w:spacing w:val="-1"/>
        </w:rPr>
        <w:t xml:space="preserve"> </w:t>
      </w:r>
      <w:r>
        <w:t>to</w:t>
      </w:r>
      <w:r>
        <w:rPr>
          <w:spacing w:val="-1"/>
        </w:rPr>
        <w:t xml:space="preserve"> </w:t>
      </w:r>
      <w:r>
        <w:t>sell,</w:t>
      </w:r>
      <w:r>
        <w:rPr>
          <w:spacing w:val="-1"/>
        </w:rPr>
        <w:t xml:space="preserve"> </w:t>
      </w:r>
      <w:r>
        <w:t>solicit</w:t>
      </w:r>
      <w:r>
        <w:rPr>
          <w:spacing w:val="-2"/>
        </w:rPr>
        <w:t xml:space="preserve"> </w:t>
      </w:r>
      <w:r>
        <w:t>or</w:t>
      </w:r>
      <w:r>
        <w:rPr>
          <w:spacing w:val="-1"/>
        </w:rPr>
        <w:t xml:space="preserve"> </w:t>
      </w:r>
      <w:r>
        <w:t>negotiate</w:t>
      </w:r>
      <w:r>
        <w:rPr>
          <w:spacing w:val="-2"/>
        </w:rPr>
        <w:t xml:space="preserve"> </w:t>
      </w:r>
      <w:r>
        <w:t>insurance.</w:t>
      </w:r>
      <w:r>
        <w:rPr>
          <w:spacing w:val="-1"/>
        </w:rPr>
        <w:t xml:space="preserve"> </w:t>
      </w:r>
      <w:r>
        <w:t>Satisfaction</w:t>
      </w:r>
      <w:r>
        <w:rPr>
          <w:spacing w:val="-1"/>
        </w:rPr>
        <w:t xml:space="preserve"> </w:t>
      </w:r>
      <w:r>
        <w:t>of</w:t>
      </w:r>
      <w:r>
        <w:rPr>
          <w:spacing w:val="-1"/>
        </w:rPr>
        <w:t xml:space="preserve"> </w:t>
      </w:r>
      <w:r>
        <w:t>membership</w:t>
      </w:r>
      <w:r>
        <w:rPr>
          <w:spacing w:val="-1"/>
        </w:rPr>
        <w:t xml:space="preserve"> </w:t>
      </w:r>
      <w:r>
        <w:t>criteria</w:t>
      </w:r>
      <w:r>
        <w:rPr>
          <w:spacing w:val="-2"/>
        </w:rPr>
        <w:t xml:space="preserve"> </w:t>
      </w:r>
      <w:r>
        <w:t>means</w:t>
      </w:r>
      <w:r>
        <w:rPr>
          <w:spacing w:val="-3"/>
        </w:rPr>
        <w:t xml:space="preserve"> </w:t>
      </w:r>
      <w:r>
        <w:t>a</w:t>
      </w:r>
      <w:r>
        <w:rPr>
          <w:spacing w:val="-2"/>
        </w:rPr>
        <w:t xml:space="preserve"> </w:t>
      </w:r>
      <w:r>
        <w:t>producer</w:t>
      </w:r>
      <w:r>
        <w:rPr>
          <w:spacing w:val="-1"/>
        </w:rPr>
        <w:t xml:space="preserve"> </w:t>
      </w:r>
      <w:r>
        <w:t>can sell,</w:t>
      </w:r>
      <w:r>
        <w:rPr>
          <w:spacing w:val="-9"/>
        </w:rPr>
        <w:t xml:space="preserve"> </w:t>
      </w:r>
      <w:r>
        <w:t>solicit</w:t>
      </w:r>
      <w:r>
        <w:rPr>
          <w:spacing w:val="-9"/>
        </w:rPr>
        <w:t xml:space="preserve"> </w:t>
      </w:r>
      <w:r>
        <w:t>or</w:t>
      </w:r>
      <w:r>
        <w:rPr>
          <w:spacing w:val="-8"/>
        </w:rPr>
        <w:t xml:space="preserve"> </w:t>
      </w:r>
      <w:r>
        <w:t>negotiate</w:t>
      </w:r>
      <w:r>
        <w:rPr>
          <w:spacing w:val="-9"/>
        </w:rPr>
        <w:t xml:space="preserve"> </w:t>
      </w:r>
      <w:r>
        <w:t>insurance</w:t>
      </w:r>
      <w:r>
        <w:rPr>
          <w:spacing w:val="-9"/>
        </w:rPr>
        <w:t xml:space="preserve"> </w:t>
      </w:r>
      <w:r>
        <w:t>(and</w:t>
      </w:r>
      <w:r>
        <w:rPr>
          <w:spacing w:val="-8"/>
        </w:rPr>
        <w:t xml:space="preserve"> </w:t>
      </w:r>
      <w:r>
        <w:t>perform</w:t>
      </w:r>
      <w:r>
        <w:rPr>
          <w:spacing w:val="-8"/>
        </w:rPr>
        <w:t xml:space="preserve"> </w:t>
      </w:r>
      <w:r>
        <w:t>incidental</w:t>
      </w:r>
      <w:r>
        <w:rPr>
          <w:spacing w:val="-9"/>
        </w:rPr>
        <w:t xml:space="preserve"> </w:t>
      </w:r>
      <w:r>
        <w:t>activities)</w:t>
      </w:r>
      <w:r>
        <w:rPr>
          <w:spacing w:val="-8"/>
        </w:rPr>
        <w:t xml:space="preserve"> </w:t>
      </w:r>
      <w:r>
        <w:t>in</w:t>
      </w:r>
      <w:r>
        <w:rPr>
          <w:spacing w:val="-8"/>
        </w:rPr>
        <w:t xml:space="preserve"> </w:t>
      </w:r>
      <w:r>
        <w:t>any</w:t>
      </w:r>
      <w:r>
        <w:rPr>
          <w:spacing w:val="-8"/>
        </w:rPr>
        <w:t xml:space="preserve"> </w:t>
      </w:r>
      <w:r>
        <w:t>state</w:t>
      </w:r>
      <w:r>
        <w:rPr>
          <w:spacing w:val="-6"/>
        </w:rPr>
        <w:t xml:space="preserve"> </w:t>
      </w:r>
      <w:r>
        <w:t>for</w:t>
      </w:r>
      <w:r>
        <w:rPr>
          <w:spacing w:val="-8"/>
        </w:rPr>
        <w:t xml:space="preserve"> </w:t>
      </w:r>
      <w:r>
        <w:t>which</w:t>
      </w:r>
      <w:r>
        <w:rPr>
          <w:spacing w:val="-8"/>
        </w:rPr>
        <w:t xml:space="preserve"> </w:t>
      </w:r>
      <w:r>
        <w:t>a</w:t>
      </w:r>
      <w:r>
        <w:rPr>
          <w:spacing w:val="-9"/>
        </w:rPr>
        <w:t xml:space="preserve"> </w:t>
      </w:r>
      <w:r>
        <w:t>producer</w:t>
      </w:r>
      <w:r>
        <w:rPr>
          <w:spacing w:val="-8"/>
        </w:rPr>
        <w:t xml:space="preserve"> </w:t>
      </w:r>
      <w:r>
        <w:t>pays</w:t>
      </w:r>
      <w:r>
        <w:rPr>
          <w:spacing w:val="-10"/>
        </w:rPr>
        <w:t xml:space="preserve"> </w:t>
      </w:r>
      <w:r>
        <w:t>that</w:t>
      </w:r>
      <w:r>
        <w:rPr>
          <w:spacing w:val="-9"/>
        </w:rPr>
        <w:t xml:space="preserve"> </w:t>
      </w:r>
      <w:r>
        <w:t>state’s licensing fee for any line(s) of insurance for which the producer is licensed in the home state. NARAB membership is not mandatory for producers.</w:t>
      </w:r>
    </w:p>
    <w:p w14:paraId="4CE4F4C8" w14:textId="77777777" w:rsidR="00755132" w:rsidRDefault="00755132">
      <w:pPr>
        <w:pStyle w:val="BodyText"/>
        <w:spacing w:before="51"/>
        <w:jc w:val="left"/>
      </w:pPr>
    </w:p>
    <w:p w14:paraId="068F83FC" w14:textId="77777777" w:rsidR="00755132" w:rsidRDefault="009A025B">
      <w:pPr>
        <w:pStyle w:val="BodyText"/>
        <w:ind w:left="119" w:right="116"/>
      </w:pPr>
      <w:r>
        <w:t>The law preserves the rights of a state pertaining to resident licensing and CE, the supervision and enforcement of conduct,</w:t>
      </w:r>
      <w:r>
        <w:rPr>
          <w:spacing w:val="-9"/>
        </w:rPr>
        <w:t xml:space="preserve"> </w:t>
      </w:r>
      <w:r>
        <w:t>and</w:t>
      </w:r>
      <w:r>
        <w:rPr>
          <w:spacing w:val="-8"/>
        </w:rPr>
        <w:t xml:space="preserve"> </w:t>
      </w:r>
      <w:r>
        <w:t>disciplinary</w:t>
      </w:r>
      <w:r>
        <w:rPr>
          <w:spacing w:val="-6"/>
        </w:rPr>
        <w:t xml:space="preserve"> </w:t>
      </w:r>
      <w:r>
        <w:t>actions</w:t>
      </w:r>
      <w:r>
        <w:rPr>
          <w:spacing w:val="-8"/>
        </w:rPr>
        <w:t xml:space="preserve"> </w:t>
      </w:r>
      <w:r>
        <w:t>for</w:t>
      </w:r>
      <w:r>
        <w:rPr>
          <w:spacing w:val="-6"/>
        </w:rPr>
        <w:t xml:space="preserve"> </w:t>
      </w:r>
      <w:r>
        <w:t>nonresident</w:t>
      </w:r>
      <w:r>
        <w:rPr>
          <w:spacing w:val="-10"/>
        </w:rPr>
        <w:t xml:space="preserve"> </w:t>
      </w:r>
      <w:r>
        <w:t>producers;</w:t>
      </w:r>
      <w:r>
        <w:rPr>
          <w:spacing w:val="-9"/>
        </w:rPr>
        <w:t xml:space="preserve"> </w:t>
      </w:r>
      <w:r>
        <w:t>and</w:t>
      </w:r>
      <w:r>
        <w:rPr>
          <w:spacing w:val="-6"/>
        </w:rPr>
        <w:t xml:space="preserve"> </w:t>
      </w:r>
      <w:r>
        <w:t>it</w:t>
      </w:r>
      <w:r>
        <w:rPr>
          <w:spacing w:val="-7"/>
        </w:rPr>
        <w:t xml:space="preserve"> </w:t>
      </w:r>
      <w:r>
        <w:t>leaves</w:t>
      </w:r>
      <w:r>
        <w:rPr>
          <w:spacing w:val="-8"/>
        </w:rPr>
        <w:t xml:space="preserve"> </w:t>
      </w:r>
      <w:r>
        <w:t>a</w:t>
      </w:r>
      <w:r>
        <w:rPr>
          <w:spacing w:val="-6"/>
        </w:rPr>
        <w:t xml:space="preserve"> </w:t>
      </w:r>
      <w:r>
        <w:t>state’s</w:t>
      </w:r>
      <w:r>
        <w:rPr>
          <w:spacing w:val="-8"/>
        </w:rPr>
        <w:t xml:space="preserve"> </w:t>
      </w:r>
      <w:r>
        <w:t>full</w:t>
      </w:r>
      <w:r>
        <w:rPr>
          <w:spacing w:val="-7"/>
        </w:rPr>
        <w:t xml:space="preserve"> </w:t>
      </w:r>
      <w:r>
        <w:t>range</w:t>
      </w:r>
      <w:r>
        <w:rPr>
          <w:spacing w:val="-6"/>
        </w:rPr>
        <w:t xml:space="preserve"> </w:t>
      </w:r>
      <w:r>
        <w:t>of</w:t>
      </w:r>
      <w:r>
        <w:rPr>
          <w:spacing w:val="-6"/>
        </w:rPr>
        <w:t xml:space="preserve"> </w:t>
      </w:r>
      <w:r>
        <w:t>authorities</w:t>
      </w:r>
      <w:r>
        <w:rPr>
          <w:spacing w:val="-8"/>
        </w:rPr>
        <w:t xml:space="preserve"> </w:t>
      </w:r>
      <w:r>
        <w:t>for</w:t>
      </w:r>
      <w:r>
        <w:rPr>
          <w:spacing w:val="-8"/>
        </w:rPr>
        <w:t xml:space="preserve"> </w:t>
      </w:r>
      <w:r>
        <w:t>resident producers</w:t>
      </w:r>
      <w:r>
        <w:rPr>
          <w:spacing w:val="-10"/>
        </w:rPr>
        <w:t xml:space="preserve"> </w:t>
      </w:r>
      <w:r>
        <w:t>intact.</w:t>
      </w:r>
      <w:r>
        <w:rPr>
          <w:spacing w:val="-9"/>
        </w:rPr>
        <w:t xml:space="preserve"> </w:t>
      </w:r>
      <w:r>
        <w:t>Model</w:t>
      </w:r>
      <w:r>
        <w:rPr>
          <w:spacing w:val="-9"/>
        </w:rPr>
        <w:t xml:space="preserve"> </w:t>
      </w:r>
      <w:r>
        <w:t>#218</w:t>
      </w:r>
      <w:r>
        <w:rPr>
          <w:spacing w:val="-11"/>
        </w:rPr>
        <w:t xml:space="preserve"> </w:t>
      </w:r>
      <w:r>
        <w:t>also</w:t>
      </w:r>
      <w:r>
        <w:rPr>
          <w:spacing w:val="-8"/>
        </w:rPr>
        <w:t xml:space="preserve"> </w:t>
      </w:r>
      <w:r>
        <w:t>includes</w:t>
      </w:r>
      <w:r>
        <w:rPr>
          <w:spacing w:val="-10"/>
        </w:rPr>
        <w:t xml:space="preserve"> </w:t>
      </w:r>
      <w:r>
        <w:t>important</w:t>
      </w:r>
      <w:r>
        <w:rPr>
          <w:spacing w:val="-12"/>
        </w:rPr>
        <w:t xml:space="preserve"> </w:t>
      </w:r>
      <w:r>
        <w:t>disclosures</w:t>
      </w:r>
      <w:r>
        <w:rPr>
          <w:spacing w:val="-10"/>
        </w:rPr>
        <w:t xml:space="preserve"> </w:t>
      </w:r>
      <w:r>
        <w:t>to</w:t>
      </w:r>
      <w:r>
        <w:rPr>
          <w:spacing w:val="-8"/>
        </w:rPr>
        <w:t xml:space="preserve"> </w:t>
      </w:r>
      <w:r>
        <w:t>the</w:t>
      </w:r>
      <w:r>
        <w:rPr>
          <w:spacing w:val="-9"/>
        </w:rPr>
        <w:t xml:space="preserve"> </w:t>
      </w:r>
      <w:r>
        <w:t>states,</w:t>
      </w:r>
      <w:r>
        <w:rPr>
          <w:spacing w:val="-9"/>
        </w:rPr>
        <w:t xml:space="preserve"> </w:t>
      </w:r>
      <w:r>
        <w:t>addresses</w:t>
      </w:r>
      <w:r>
        <w:rPr>
          <w:spacing w:val="-10"/>
        </w:rPr>
        <w:t xml:space="preserve"> </w:t>
      </w:r>
      <w:r>
        <w:t>business</w:t>
      </w:r>
      <w:r>
        <w:rPr>
          <w:spacing w:val="-10"/>
        </w:rPr>
        <w:t xml:space="preserve"> </w:t>
      </w:r>
      <w:r>
        <w:t>entity</w:t>
      </w:r>
      <w:r>
        <w:rPr>
          <w:spacing w:val="-8"/>
        </w:rPr>
        <w:t xml:space="preserve"> </w:t>
      </w:r>
      <w:r>
        <w:t>licensing,</w:t>
      </w:r>
      <w:r>
        <w:rPr>
          <w:spacing w:val="-9"/>
        </w:rPr>
        <w:t xml:space="preserve"> </w:t>
      </w:r>
      <w:r>
        <w:t>and protects state revenues.</w:t>
      </w:r>
    </w:p>
    <w:p w14:paraId="4AC72088" w14:textId="77777777" w:rsidR="00755132" w:rsidRDefault="00755132">
      <w:pPr>
        <w:pStyle w:val="BodyText"/>
        <w:spacing w:before="50"/>
        <w:jc w:val="left"/>
      </w:pPr>
    </w:p>
    <w:p w14:paraId="5437CDE8" w14:textId="77777777" w:rsidR="00755132" w:rsidRDefault="009A025B">
      <w:pPr>
        <w:pStyle w:val="BodyText"/>
        <w:spacing w:before="1"/>
        <w:ind w:left="119" w:right="113"/>
      </w:pPr>
      <w:r>
        <w:t>Through</w:t>
      </w:r>
      <w:r>
        <w:rPr>
          <w:spacing w:val="-6"/>
        </w:rPr>
        <w:t xml:space="preserve"> </w:t>
      </w:r>
      <w:r>
        <w:t>the</w:t>
      </w:r>
      <w:r>
        <w:rPr>
          <w:spacing w:val="-7"/>
        </w:rPr>
        <w:t xml:space="preserve"> </w:t>
      </w:r>
      <w:r>
        <w:t>efforts</w:t>
      </w:r>
      <w:r>
        <w:rPr>
          <w:spacing w:val="-8"/>
        </w:rPr>
        <w:t xml:space="preserve"> </w:t>
      </w:r>
      <w:r>
        <w:t>of</w:t>
      </w:r>
      <w:r>
        <w:rPr>
          <w:spacing w:val="-6"/>
        </w:rPr>
        <w:t xml:space="preserve"> </w:t>
      </w:r>
      <w:r>
        <w:t>the</w:t>
      </w:r>
      <w:r>
        <w:rPr>
          <w:spacing w:val="-6"/>
        </w:rPr>
        <w:t xml:space="preserve"> </w:t>
      </w:r>
      <w:r>
        <w:t>Producer</w:t>
      </w:r>
      <w:r>
        <w:rPr>
          <w:spacing w:val="-6"/>
        </w:rPr>
        <w:t xml:space="preserve"> </w:t>
      </w:r>
      <w:r>
        <w:t>Licensing</w:t>
      </w:r>
      <w:r>
        <w:rPr>
          <w:spacing w:val="-6"/>
        </w:rPr>
        <w:t xml:space="preserve"> </w:t>
      </w:r>
      <w:r>
        <w:t>(EX)</w:t>
      </w:r>
      <w:r>
        <w:rPr>
          <w:spacing w:val="-6"/>
        </w:rPr>
        <w:t xml:space="preserve"> </w:t>
      </w:r>
      <w:r>
        <w:t>Task</w:t>
      </w:r>
      <w:r>
        <w:rPr>
          <w:spacing w:val="-6"/>
        </w:rPr>
        <w:t xml:space="preserve"> </w:t>
      </w:r>
      <w:r>
        <w:t>Force</w:t>
      </w:r>
      <w:r>
        <w:rPr>
          <w:spacing w:val="-6"/>
        </w:rPr>
        <w:t xml:space="preserve"> </w:t>
      </w:r>
      <w:r>
        <w:t>and</w:t>
      </w:r>
      <w:r>
        <w:rPr>
          <w:spacing w:val="-6"/>
        </w:rPr>
        <w:t xml:space="preserve"> </w:t>
      </w:r>
      <w:r>
        <w:t>the</w:t>
      </w:r>
      <w:r>
        <w:rPr>
          <w:spacing w:val="-6"/>
        </w:rPr>
        <w:t xml:space="preserve"> </w:t>
      </w:r>
      <w:r>
        <w:t>Producer</w:t>
      </w:r>
      <w:r>
        <w:rPr>
          <w:spacing w:val="-6"/>
        </w:rPr>
        <w:t xml:space="preserve"> </w:t>
      </w:r>
      <w:r>
        <w:t>Licensing</w:t>
      </w:r>
      <w:r>
        <w:rPr>
          <w:spacing w:val="-6"/>
        </w:rPr>
        <w:t xml:space="preserve"> </w:t>
      </w:r>
      <w:r>
        <w:t>(EX)</w:t>
      </w:r>
      <w:r>
        <w:rPr>
          <w:spacing w:val="-6"/>
        </w:rPr>
        <w:t xml:space="preserve"> </w:t>
      </w:r>
      <w:r>
        <w:t>Working</w:t>
      </w:r>
      <w:r>
        <w:rPr>
          <w:spacing w:val="-6"/>
        </w:rPr>
        <w:t xml:space="preserve"> </w:t>
      </w:r>
      <w:r>
        <w:t>Group,</w:t>
      </w:r>
      <w:r>
        <w:rPr>
          <w:spacing w:val="-6"/>
        </w:rPr>
        <w:t xml:space="preserve"> </w:t>
      </w:r>
      <w:r>
        <w:t>the NAIC monitors state compliance with reciprocity guidelines. The NAIC also set a goal to create uniform licensing practices.</w:t>
      </w:r>
      <w:r>
        <w:rPr>
          <w:spacing w:val="-7"/>
        </w:rPr>
        <w:t xml:space="preserve"> </w:t>
      </w:r>
      <w:r>
        <w:t>The</w:t>
      </w:r>
      <w:r>
        <w:rPr>
          <w:spacing w:val="-10"/>
        </w:rPr>
        <w:t xml:space="preserve"> </w:t>
      </w:r>
      <w:r>
        <w:t>Working</w:t>
      </w:r>
      <w:r>
        <w:rPr>
          <w:spacing w:val="-9"/>
        </w:rPr>
        <w:t xml:space="preserve"> </w:t>
      </w:r>
      <w:r>
        <w:t>Group</w:t>
      </w:r>
      <w:r>
        <w:rPr>
          <w:spacing w:val="-9"/>
        </w:rPr>
        <w:t xml:space="preserve"> </w:t>
      </w:r>
      <w:r>
        <w:t>has</w:t>
      </w:r>
      <w:r>
        <w:rPr>
          <w:spacing w:val="-9"/>
        </w:rPr>
        <w:t xml:space="preserve"> </w:t>
      </w:r>
      <w:r>
        <w:t>adopted</w:t>
      </w:r>
      <w:r>
        <w:rPr>
          <w:spacing w:val="-9"/>
        </w:rPr>
        <w:t xml:space="preserve"> </w:t>
      </w:r>
      <w:r>
        <w:t>a</w:t>
      </w:r>
      <w:r>
        <w:rPr>
          <w:spacing w:val="-10"/>
        </w:rPr>
        <w:t xml:space="preserve"> </w:t>
      </w:r>
      <w:r>
        <w:t>number</w:t>
      </w:r>
      <w:r>
        <w:rPr>
          <w:spacing w:val="-9"/>
        </w:rPr>
        <w:t xml:space="preserve"> </w:t>
      </w:r>
      <w:r>
        <w:t>of</w:t>
      </w:r>
      <w:r>
        <w:rPr>
          <w:spacing w:val="-9"/>
        </w:rPr>
        <w:t xml:space="preserve"> </w:t>
      </w:r>
      <w:r>
        <w:t>Uniform</w:t>
      </w:r>
      <w:r>
        <w:rPr>
          <w:spacing w:val="-7"/>
        </w:rPr>
        <w:t xml:space="preserve"> </w:t>
      </w:r>
      <w:r>
        <w:t>Licensing</w:t>
      </w:r>
      <w:r>
        <w:rPr>
          <w:spacing w:val="-7"/>
        </w:rPr>
        <w:t xml:space="preserve"> </w:t>
      </w:r>
      <w:r>
        <w:t>Standards</w:t>
      </w:r>
      <w:r>
        <w:rPr>
          <w:spacing w:val="-9"/>
        </w:rPr>
        <w:t xml:space="preserve"> </w:t>
      </w:r>
      <w:r>
        <w:t>and</w:t>
      </w:r>
      <w:r>
        <w:rPr>
          <w:spacing w:val="-9"/>
        </w:rPr>
        <w:t xml:space="preserve"> </w:t>
      </w:r>
      <w:r>
        <w:t>guidelines,</w:t>
      </w:r>
      <w:r>
        <w:rPr>
          <w:spacing w:val="-7"/>
        </w:rPr>
        <w:t xml:space="preserve"> </w:t>
      </w:r>
      <w:r>
        <w:t>and</w:t>
      </w:r>
      <w:r>
        <w:rPr>
          <w:spacing w:val="-7"/>
        </w:rPr>
        <w:t xml:space="preserve"> </w:t>
      </w:r>
      <w:r>
        <w:t>it</w:t>
      </w:r>
      <w:r>
        <w:rPr>
          <w:spacing w:val="-11"/>
        </w:rPr>
        <w:t xml:space="preserve"> </w:t>
      </w:r>
      <w:r>
        <w:t>continues to strive toward a more efficient licensing system among the states.</w:t>
      </w:r>
    </w:p>
    <w:p w14:paraId="7BE32893" w14:textId="77777777" w:rsidR="00755132" w:rsidRDefault="00755132">
      <w:pPr>
        <w:sectPr w:rsidR="00755132">
          <w:headerReference w:type="default" r:id="rId7"/>
          <w:footerReference w:type="default" r:id="rId8"/>
          <w:type w:val="continuous"/>
          <w:pgSz w:w="12240" w:h="15840"/>
          <w:pgMar w:top="1340" w:right="1320" w:bottom="720" w:left="1320" w:header="376" w:footer="521" w:gutter="0"/>
          <w:pgNumType w:start="5"/>
          <w:cols w:space="720"/>
        </w:sectPr>
      </w:pPr>
    </w:p>
    <w:p w14:paraId="549893CD" w14:textId="77777777" w:rsidR="00755132" w:rsidRDefault="009A025B">
      <w:pPr>
        <w:pStyle w:val="Heading1"/>
        <w:spacing w:before="80"/>
        <w:jc w:val="both"/>
      </w:pPr>
      <w:r>
        <w:lastRenderedPageBreak/>
        <w:t>National</w:t>
      </w:r>
      <w:r>
        <w:rPr>
          <w:spacing w:val="-9"/>
        </w:rPr>
        <w:t xml:space="preserve"> </w:t>
      </w:r>
      <w:r>
        <w:t>Insurance</w:t>
      </w:r>
      <w:r>
        <w:rPr>
          <w:spacing w:val="-9"/>
        </w:rPr>
        <w:t xml:space="preserve"> </w:t>
      </w:r>
      <w:r>
        <w:t>Producer</w:t>
      </w:r>
      <w:r>
        <w:rPr>
          <w:spacing w:val="-8"/>
        </w:rPr>
        <w:t xml:space="preserve"> </w:t>
      </w:r>
      <w:r>
        <w:rPr>
          <w:spacing w:val="-2"/>
        </w:rPr>
        <w:t>Registry</w:t>
      </w:r>
    </w:p>
    <w:p w14:paraId="7C6AF7CF" w14:textId="77777777" w:rsidR="00755132" w:rsidRDefault="00755132">
      <w:pPr>
        <w:pStyle w:val="BodyText"/>
        <w:spacing w:before="49"/>
        <w:jc w:val="left"/>
        <w:rPr>
          <w:b/>
        </w:rPr>
      </w:pPr>
    </w:p>
    <w:p w14:paraId="2EB1C652" w14:textId="77777777" w:rsidR="00755132" w:rsidRDefault="009A025B">
      <w:pPr>
        <w:pStyle w:val="BodyText"/>
        <w:ind w:left="120" w:right="113"/>
      </w:pPr>
      <w:r>
        <w:t>The NAIC has long advocated for increased use of technology to streamline licensing processes. In 1996, the NAIC collaborated with industry to create the Insurance Regulatory Information Network (IRIN) as a nonprofit affiliate of the NAIC. In 1999, the organization changed its name to the National Insurance Producer Registry (NIPR). The purpose of the NIPR is to</w:t>
      </w:r>
      <w:r>
        <w:rPr>
          <w:spacing w:val="-1"/>
        </w:rPr>
        <w:t xml:space="preserve"> </w:t>
      </w:r>
      <w:r>
        <w:t xml:space="preserve">work with the states and the NAIC to re-engineer, streamline, and make </w:t>
      </w:r>
      <w:proofErr w:type="gramStart"/>
      <w:r>
        <w:t>more uniform</w:t>
      </w:r>
      <w:proofErr w:type="gramEnd"/>
      <w:r>
        <w:t xml:space="preserve"> the producer licensing process for the benefit of state insurance regulators, the insurance industry, and consumers.</w:t>
      </w:r>
      <w:r>
        <w:rPr>
          <w:spacing w:val="80"/>
        </w:rPr>
        <w:t xml:space="preserve"> </w:t>
      </w:r>
      <w:r>
        <w:t>NIPR</w:t>
      </w:r>
      <w:r>
        <w:rPr>
          <w:spacing w:val="-3"/>
        </w:rPr>
        <w:t xml:space="preserve"> </w:t>
      </w:r>
      <w:r>
        <w:t>worked with the NAIC to develop and implement: 1) the Producer Database (PDB), which includes licensing information from 50 states, Washington, DC</w:t>
      </w:r>
      <w:r>
        <w:rPr>
          <w:spacing w:val="-1"/>
        </w:rPr>
        <w:t xml:space="preserve"> </w:t>
      </w:r>
      <w:r>
        <w:t>and Puerto Rico, utilized by the industry for</w:t>
      </w:r>
      <w:r>
        <w:rPr>
          <w:spacing w:val="-1"/>
        </w:rPr>
        <w:t xml:space="preserve"> </w:t>
      </w:r>
      <w:r>
        <w:t>licensing</w:t>
      </w:r>
      <w:r>
        <w:rPr>
          <w:spacing w:val="-1"/>
        </w:rPr>
        <w:t xml:space="preserve"> </w:t>
      </w:r>
      <w:r>
        <w:t>and appointment information; and 2) the State Producer Licensing Database (SPLD) for use by state insurance regulators.</w:t>
      </w:r>
    </w:p>
    <w:p w14:paraId="75121705" w14:textId="77777777" w:rsidR="00755132" w:rsidRDefault="00755132">
      <w:pPr>
        <w:pStyle w:val="BodyText"/>
        <w:spacing w:before="52"/>
        <w:jc w:val="left"/>
      </w:pPr>
    </w:p>
    <w:p w14:paraId="520A15D9" w14:textId="77777777" w:rsidR="00755132" w:rsidRDefault="009A025B">
      <w:pPr>
        <w:pStyle w:val="BodyText"/>
        <w:spacing w:before="1"/>
        <w:ind w:left="119" w:right="116"/>
      </w:pPr>
      <w:r>
        <w:t>The states use</w:t>
      </w:r>
      <w:r>
        <w:rPr>
          <w:spacing w:val="-2"/>
        </w:rPr>
        <w:t xml:space="preserve"> </w:t>
      </w:r>
      <w:r>
        <w:t>NIPR to link state insurance departments with the</w:t>
      </w:r>
      <w:r>
        <w:rPr>
          <w:spacing w:val="-2"/>
        </w:rPr>
        <w:t xml:space="preserve"> </w:t>
      </w:r>
      <w:r>
        <w:t>entities they regulate. Applicants and licensees can transmit licensing applications, insurers can transmit appointments and terminations, and both can transmit other information to state insurance regulators in multiple states</w:t>
      </w:r>
      <w:r>
        <w:rPr>
          <w:rFonts w:ascii="Arial"/>
          <w:b/>
        </w:rPr>
        <w:t xml:space="preserve">, </w:t>
      </w:r>
      <w:r>
        <w:t>thereby creating electronic solutions that are easy and efficient to use by the states and industry.</w:t>
      </w:r>
    </w:p>
    <w:p w14:paraId="67F5098F" w14:textId="77777777" w:rsidR="00755132" w:rsidRDefault="009A025B">
      <w:pPr>
        <w:pStyle w:val="BodyText"/>
        <w:spacing w:before="229"/>
        <w:ind w:left="119" w:right="115"/>
      </w:pPr>
      <w:r>
        <w:t>Additionally, using the subsequent launch of the Attachment Warehouse, an applicant who answers “yes” to any background</w:t>
      </w:r>
      <w:r>
        <w:rPr>
          <w:spacing w:val="-4"/>
        </w:rPr>
        <w:t xml:space="preserve"> </w:t>
      </w:r>
      <w:r>
        <w:t>question</w:t>
      </w:r>
      <w:r>
        <w:rPr>
          <w:spacing w:val="-4"/>
        </w:rPr>
        <w:t xml:space="preserve"> </w:t>
      </w:r>
      <w:r>
        <w:t>on</w:t>
      </w:r>
      <w:r>
        <w:rPr>
          <w:spacing w:val="-4"/>
        </w:rPr>
        <w:t xml:space="preserve"> </w:t>
      </w:r>
      <w:r>
        <w:t>the</w:t>
      </w:r>
      <w:r>
        <w:rPr>
          <w:spacing w:val="-5"/>
        </w:rPr>
        <w:t xml:space="preserve"> </w:t>
      </w:r>
      <w:r>
        <w:t>NAIC</w:t>
      </w:r>
      <w:r>
        <w:rPr>
          <w:spacing w:val="-6"/>
        </w:rPr>
        <w:t xml:space="preserve"> </w:t>
      </w:r>
      <w:r>
        <w:t>Uniform</w:t>
      </w:r>
      <w:r>
        <w:rPr>
          <w:spacing w:val="-4"/>
        </w:rPr>
        <w:t xml:space="preserve"> </w:t>
      </w:r>
      <w:r>
        <w:t>application</w:t>
      </w:r>
      <w:r>
        <w:rPr>
          <w:spacing w:val="-4"/>
        </w:rPr>
        <w:t xml:space="preserve"> </w:t>
      </w:r>
      <w:r>
        <w:t>can</w:t>
      </w:r>
      <w:r>
        <w:rPr>
          <w:spacing w:val="-7"/>
        </w:rPr>
        <w:t xml:space="preserve"> </w:t>
      </w:r>
      <w:r>
        <w:t>submit</w:t>
      </w:r>
      <w:r>
        <w:rPr>
          <w:spacing w:val="-6"/>
        </w:rPr>
        <w:t xml:space="preserve"> </w:t>
      </w:r>
      <w:r>
        <w:t>the</w:t>
      </w:r>
      <w:r>
        <w:rPr>
          <w:spacing w:val="-5"/>
        </w:rPr>
        <w:t xml:space="preserve"> </w:t>
      </w:r>
      <w:r>
        <w:t>required</w:t>
      </w:r>
      <w:r>
        <w:rPr>
          <w:spacing w:val="-7"/>
        </w:rPr>
        <w:t xml:space="preserve"> </w:t>
      </w:r>
      <w:r>
        <w:t>supporting</w:t>
      </w:r>
      <w:r>
        <w:rPr>
          <w:spacing w:val="-7"/>
        </w:rPr>
        <w:t xml:space="preserve"> </w:t>
      </w:r>
      <w:r>
        <w:t>documentation</w:t>
      </w:r>
      <w:r>
        <w:rPr>
          <w:spacing w:val="-4"/>
        </w:rPr>
        <w:t xml:space="preserve"> </w:t>
      </w:r>
      <w:r>
        <w:t>at</w:t>
      </w:r>
      <w:r>
        <w:rPr>
          <w:spacing w:val="-8"/>
        </w:rPr>
        <w:t xml:space="preserve"> </w:t>
      </w:r>
      <w:r>
        <w:t>the</w:t>
      </w:r>
      <w:r>
        <w:rPr>
          <w:spacing w:val="-5"/>
        </w:rPr>
        <w:t xml:space="preserve"> </w:t>
      </w:r>
      <w:r>
        <w:t>time he or she is applying for or renewing a license. The submission of a document to the Attachment Warehouse will trigger</w:t>
      </w:r>
      <w:r>
        <w:rPr>
          <w:spacing w:val="-13"/>
        </w:rPr>
        <w:t xml:space="preserve"> </w:t>
      </w:r>
      <w:r>
        <w:t>an</w:t>
      </w:r>
      <w:r>
        <w:rPr>
          <w:spacing w:val="-12"/>
        </w:rPr>
        <w:t xml:space="preserve"> </w:t>
      </w:r>
      <w:r>
        <w:t>email</w:t>
      </w:r>
      <w:r>
        <w:rPr>
          <w:spacing w:val="-13"/>
        </w:rPr>
        <w:t xml:space="preserve"> </w:t>
      </w:r>
      <w:r>
        <w:t>alert</w:t>
      </w:r>
      <w:r>
        <w:rPr>
          <w:spacing w:val="-12"/>
        </w:rPr>
        <w:t xml:space="preserve"> </w:t>
      </w:r>
      <w:r>
        <w:t>to</w:t>
      </w:r>
      <w:r>
        <w:rPr>
          <w:spacing w:val="-13"/>
        </w:rPr>
        <w:t xml:space="preserve"> </w:t>
      </w:r>
      <w:r>
        <w:t>the</w:t>
      </w:r>
      <w:r>
        <w:rPr>
          <w:spacing w:val="-12"/>
        </w:rPr>
        <w:t xml:space="preserve"> </w:t>
      </w:r>
      <w:r>
        <w:t>appropriate</w:t>
      </w:r>
      <w:r>
        <w:rPr>
          <w:spacing w:val="-13"/>
        </w:rPr>
        <w:t xml:space="preserve"> </w:t>
      </w:r>
      <w:r>
        <w:t>state(s)</w:t>
      </w:r>
      <w:r>
        <w:rPr>
          <w:spacing w:val="-12"/>
        </w:rPr>
        <w:t xml:space="preserve"> </w:t>
      </w:r>
      <w:r>
        <w:t>notifying</w:t>
      </w:r>
      <w:r>
        <w:rPr>
          <w:spacing w:val="-13"/>
        </w:rPr>
        <w:t xml:space="preserve"> </w:t>
      </w:r>
      <w:r>
        <w:t>the</w:t>
      </w:r>
      <w:r>
        <w:rPr>
          <w:spacing w:val="-12"/>
        </w:rPr>
        <w:t xml:space="preserve"> </w:t>
      </w:r>
      <w:r>
        <w:t>state(s)</w:t>
      </w:r>
      <w:r>
        <w:rPr>
          <w:spacing w:val="-13"/>
        </w:rPr>
        <w:t xml:space="preserve"> </w:t>
      </w:r>
      <w:r>
        <w:t>that</w:t>
      </w:r>
      <w:r>
        <w:rPr>
          <w:spacing w:val="-12"/>
        </w:rPr>
        <w:t xml:space="preserve"> </w:t>
      </w:r>
      <w:r>
        <w:t>supporting</w:t>
      </w:r>
      <w:r>
        <w:rPr>
          <w:spacing w:val="-13"/>
        </w:rPr>
        <w:t xml:space="preserve"> </w:t>
      </w:r>
      <w:r>
        <w:t>documentation</w:t>
      </w:r>
      <w:r>
        <w:rPr>
          <w:spacing w:val="-12"/>
        </w:rPr>
        <w:t xml:space="preserve"> </w:t>
      </w:r>
      <w:r>
        <w:t>has</w:t>
      </w:r>
      <w:r>
        <w:rPr>
          <w:spacing w:val="-13"/>
        </w:rPr>
        <w:t xml:space="preserve"> </w:t>
      </w:r>
      <w:r>
        <w:t>been</w:t>
      </w:r>
      <w:r>
        <w:rPr>
          <w:spacing w:val="-12"/>
        </w:rPr>
        <w:t xml:space="preserve"> </w:t>
      </w:r>
      <w:r>
        <w:t>submitted to</w:t>
      </w:r>
      <w:r>
        <w:rPr>
          <w:spacing w:val="-9"/>
        </w:rPr>
        <w:t xml:space="preserve"> </w:t>
      </w:r>
      <w:r>
        <w:t>fulfill</w:t>
      </w:r>
      <w:r>
        <w:rPr>
          <w:spacing w:val="-10"/>
        </w:rPr>
        <w:t xml:space="preserve"> </w:t>
      </w:r>
      <w:r>
        <w:t>document</w:t>
      </w:r>
      <w:r>
        <w:rPr>
          <w:spacing w:val="-10"/>
        </w:rPr>
        <w:t xml:space="preserve"> </w:t>
      </w:r>
      <w:r>
        <w:t>requirements</w:t>
      </w:r>
      <w:r>
        <w:rPr>
          <w:spacing w:val="-11"/>
        </w:rPr>
        <w:t xml:space="preserve"> </w:t>
      </w:r>
      <w:r>
        <w:t>pertaining</w:t>
      </w:r>
      <w:r>
        <w:rPr>
          <w:spacing w:val="-9"/>
        </w:rPr>
        <w:t xml:space="preserve"> </w:t>
      </w:r>
      <w:r>
        <w:t>to</w:t>
      </w:r>
      <w:r>
        <w:rPr>
          <w:spacing w:val="-9"/>
        </w:rPr>
        <w:t xml:space="preserve"> </w:t>
      </w:r>
      <w:r>
        <w:t>the</w:t>
      </w:r>
      <w:r>
        <w:rPr>
          <w:spacing w:val="-10"/>
        </w:rPr>
        <w:t xml:space="preserve"> </w:t>
      </w:r>
      <w:r>
        <w:t>“yes”</w:t>
      </w:r>
      <w:r>
        <w:rPr>
          <w:spacing w:val="-10"/>
        </w:rPr>
        <w:t xml:space="preserve"> </w:t>
      </w:r>
      <w:r>
        <w:t>answer</w:t>
      </w:r>
      <w:r>
        <w:rPr>
          <w:spacing w:val="-9"/>
        </w:rPr>
        <w:t xml:space="preserve"> </w:t>
      </w:r>
      <w:r>
        <w:t>on</w:t>
      </w:r>
      <w:r>
        <w:rPr>
          <w:spacing w:val="-9"/>
        </w:rPr>
        <w:t xml:space="preserve"> </w:t>
      </w:r>
      <w:r>
        <w:t>the</w:t>
      </w:r>
      <w:r>
        <w:rPr>
          <w:spacing w:val="-10"/>
        </w:rPr>
        <w:t xml:space="preserve"> </w:t>
      </w:r>
      <w:r>
        <w:t>background.</w:t>
      </w:r>
      <w:r>
        <w:rPr>
          <w:spacing w:val="-10"/>
        </w:rPr>
        <w:t xml:space="preserve"> </w:t>
      </w:r>
      <w:r>
        <w:t>The</w:t>
      </w:r>
      <w:r>
        <w:rPr>
          <w:spacing w:val="-10"/>
        </w:rPr>
        <w:t xml:space="preserve"> </w:t>
      </w:r>
      <w:r>
        <w:t>advantage</w:t>
      </w:r>
      <w:r>
        <w:rPr>
          <w:spacing w:val="-10"/>
        </w:rPr>
        <w:t xml:space="preserve"> </w:t>
      </w:r>
      <w:r>
        <w:t>to</w:t>
      </w:r>
      <w:r>
        <w:rPr>
          <w:spacing w:val="-9"/>
        </w:rPr>
        <w:t xml:space="preserve"> </w:t>
      </w:r>
      <w:r>
        <w:t>the</w:t>
      </w:r>
      <w:r>
        <w:rPr>
          <w:spacing w:val="-10"/>
        </w:rPr>
        <w:t xml:space="preserve"> </w:t>
      </w:r>
      <w:r>
        <w:t>producer</w:t>
      </w:r>
      <w:r>
        <w:rPr>
          <w:spacing w:val="-9"/>
        </w:rPr>
        <w:t xml:space="preserve"> </w:t>
      </w:r>
      <w:r>
        <w:t>and the</w:t>
      </w:r>
      <w:r>
        <w:rPr>
          <w:spacing w:val="-7"/>
        </w:rPr>
        <w:t xml:space="preserve"> </w:t>
      </w:r>
      <w:r>
        <w:t>state(s)</w:t>
      </w:r>
      <w:r>
        <w:rPr>
          <w:spacing w:val="-6"/>
        </w:rPr>
        <w:t xml:space="preserve"> </w:t>
      </w:r>
      <w:r>
        <w:t>is</w:t>
      </w:r>
      <w:r>
        <w:rPr>
          <w:spacing w:val="-8"/>
        </w:rPr>
        <w:t xml:space="preserve"> </w:t>
      </w:r>
      <w:r>
        <w:t>that</w:t>
      </w:r>
      <w:r>
        <w:rPr>
          <w:spacing w:val="-7"/>
        </w:rPr>
        <w:t xml:space="preserve"> </w:t>
      </w:r>
      <w:r>
        <w:t>the</w:t>
      </w:r>
      <w:r>
        <w:rPr>
          <w:spacing w:val="-6"/>
        </w:rPr>
        <w:t xml:space="preserve"> </w:t>
      </w:r>
      <w:r>
        <w:t>documentation</w:t>
      </w:r>
      <w:r>
        <w:rPr>
          <w:spacing w:val="-6"/>
        </w:rPr>
        <w:t xml:space="preserve"> </w:t>
      </w:r>
      <w:r>
        <w:t>can</w:t>
      </w:r>
      <w:r>
        <w:rPr>
          <w:spacing w:val="-6"/>
        </w:rPr>
        <w:t xml:space="preserve"> </w:t>
      </w:r>
      <w:r>
        <w:t>be</w:t>
      </w:r>
      <w:r>
        <w:rPr>
          <w:spacing w:val="-6"/>
        </w:rPr>
        <w:t xml:space="preserve"> </w:t>
      </w:r>
      <w:r>
        <w:t>sent</w:t>
      </w:r>
      <w:r>
        <w:rPr>
          <w:spacing w:val="-7"/>
        </w:rPr>
        <w:t xml:space="preserve"> </w:t>
      </w:r>
      <w:r>
        <w:t>to</w:t>
      </w:r>
      <w:r>
        <w:rPr>
          <w:spacing w:val="-6"/>
        </w:rPr>
        <w:t xml:space="preserve"> </w:t>
      </w:r>
      <w:r>
        <w:t>the</w:t>
      </w:r>
      <w:r>
        <w:rPr>
          <w:spacing w:val="-6"/>
        </w:rPr>
        <w:t xml:space="preserve"> </w:t>
      </w:r>
      <w:r>
        <w:t>Attachment</w:t>
      </w:r>
      <w:r>
        <w:rPr>
          <w:spacing w:val="-7"/>
        </w:rPr>
        <w:t xml:space="preserve"> </w:t>
      </w:r>
      <w:r>
        <w:t>Warehouse</w:t>
      </w:r>
      <w:r>
        <w:rPr>
          <w:spacing w:val="-6"/>
        </w:rPr>
        <w:t xml:space="preserve"> </w:t>
      </w:r>
      <w:r>
        <w:t>once,</w:t>
      </w:r>
      <w:r>
        <w:rPr>
          <w:spacing w:val="-6"/>
        </w:rPr>
        <w:t xml:space="preserve"> </w:t>
      </w:r>
      <w:r>
        <w:t>and</w:t>
      </w:r>
      <w:r>
        <w:rPr>
          <w:spacing w:val="-6"/>
        </w:rPr>
        <w:t xml:space="preserve"> </w:t>
      </w:r>
      <w:r>
        <w:t>all</w:t>
      </w:r>
      <w:r>
        <w:rPr>
          <w:spacing w:val="-7"/>
        </w:rPr>
        <w:t xml:space="preserve"> </w:t>
      </w:r>
      <w:r>
        <w:t>appropriate</w:t>
      </w:r>
      <w:r>
        <w:rPr>
          <w:spacing w:val="-6"/>
        </w:rPr>
        <w:t xml:space="preserve"> </w:t>
      </w:r>
      <w:r>
        <w:t>states</w:t>
      </w:r>
      <w:r>
        <w:rPr>
          <w:spacing w:val="-8"/>
        </w:rPr>
        <w:t xml:space="preserve"> </w:t>
      </w:r>
      <w:r>
        <w:t>will</w:t>
      </w:r>
      <w:r>
        <w:rPr>
          <w:spacing w:val="-5"/>
        </w:rPr>
        <w:t xml:space="preserve"> </w:t>
      </w:r>
      <w:r>
        <w:t>be notified and have the ability to view, download or print the document. The Attachment Warehouse also allows a producer</w:t>
      </w:r>
      <w:r>
        <w:rPr>
          <w:spacing w:val="-1"/>
        </w:rPr>
        <w:t xml:space="preserve"> </w:t>
      </w:r>
      <w:r>
        <w:t>to</w:t>
      </w:r>
      <w:r>
        <w:rPr>
          <w:spacing w:val="-1"/>
        </w:rPr>
        <w:t xml:space="preserve"> </w:t>
      </w:r>
      <w:r>
        <w:t>meet</w:t>
      </w:r>
      <w:r>
        <w:rPr>
          <w:spacing w:val="-2"/>
        </w:rPr>
        <w:t xml:space="preserve"> </w:t>
      </w:r>
      <w:r>
        <w:t>the</w:t>
      </w:r>
      <w:r>
        <w:rPr>
          <w:spacing w:val="-2"/>
        </w:rPr>
        <w:t xml:space="preserve"> </w:t>
      </w:r>
      <w:proofErr w:type="gramStart"/>
      <w:r>
        <w:t>requirement</w:t>
      </w:r>
      <w:proofErr w:type="gramEnd"/>
      <w:r>
        <w:rPr>
          <w:spacing w:val="-2"/>
        </w:rPr>
        <w:t xml:space="preserve"> </w:t>
      </w:r>
      <w:r>
        <w:t>from</w:t>
      </w:r>
      <w:r>
        <w:rPr>
          <w:spacing w:val="-1"/>
        </w:rPr>
        <w:t xml:space="preserve"> </w:t>
      </w:r>
      <w:r>
        <w:t>the</w:t>
      </w:r>
      <w:r>
        <w:rPr>
          <w:spacing w:val="-2"/>
        </w:rPr>
        <w:t xml:space="preserve"> </w:t>
      </w:r>
      <w:r>
        <w:t>states</w:t>
      </w:r>
      <w:r>
        <w:rPr>
          <w:spacing w:val="-3"/>
        </w:rPr>
        <w:t xml:space="preserve"> </w:t>
      </w:r>
      <w:r>
        <w:t>to</w:t>
      </w:r>
      <w:r>
        <w:rPr>
          <w:spacing w:val="-1"/>
        </w:rPr>
        <w:t xml:space="preserve"> </w:t>
      </w:r>
      <w:r>
        <w:t>report</w:t>
      </w:r>
      <w:r>
        <w:rPr>
          <w:spacing w:val="-2"/>
        </w:rPr>
        <w:t xml:space="preserve"> </w:t>
      </w:r>
      <w:r>
        <w:t>and</w:t>
      </w:r>
      <w:r>
        <w:rPr>
          <w:spacing w:val="-1"/>
        </w:rPr>
        <w:t xml:space="preserve"> </w:t>
      </w:r>
      <w:r>
        <w:t>submit</w:t>
      </w:r>
      <w:r>
        <w:rPr>
          <w:spacing w:val="-2"/>
        </w:rPr>
        <w:t xml:space="preserve"> </w:t>
      </w:r>
      <w:r>
        <w:t>documentation</w:t>
      </w:r>
      <w:r>
        <w:rPr>
          <w:spacing w:val="-1"/>
        </w:rPr>
        <w:t xml:space="preserve"> </w:t>
      </w:r>
      <w:r>
        <w:t>related</w:t>
      </w:r>
      <w:r>
        <w:rPr>
          <w:spacing w:val="-1"/>
        </w:rPr>
        <w:t xml:space="preserve"> </w:t>
      </w:r>
      <w:r>
        <w:t>to</w:t>
      </w:r>
      <w:r>
        <w:rPr>
          <w:spacing w:val="-1"/>
        </w:rPr>
        <w:t xml:space="preserve"> </w:t>
      </w:r>
      <w:r>
        <w:t>any</w:t>
      </w:r>
      <w:r>
        <w:rPr>
          <w:spacing w:val="-1"/>
        </w:rPr>
        <w:t xml:space="preserve"> </w:t>
      </w:r>
      <w:r>
        <w:t>regulatory</w:t>
      </w:r>
      <w:r>
        <w:rPr>
          <w:spacing w:val="-1"/>
        </w:rPr>
        <w:t xml:space="preserve"> </w:t>
      </w:r>
      <w:r>
        <w:t>action taken against him/her. This enables the producer to meet this regulatory obligation quickly in order to comply with the typical state requirement for producers to report an action within 30 days. Through the use of the Attachment Warehouse,</w:t>
      </w:r>
      <w:r>
        <w:rPr>
          <w:spacing w:val="-13"/>
        </w:rPr>
        <w:t xml:space="preserve"> </w:t>
      </w:r>
      <w:r>
        <w:t>all</w:t>
      </w:r>
      <w:r>
        <w:rPr>
          <w:spacing w:val="-12"/>
        </w:rPr>
        <w:t xml:space="preserve"> </w:t>
      </w:r>
      <w:r>
        <w:t>states</w:t>
      </w:r>
      <w:r>
        <w:rPr>
          <w:spacing w:val="-13"/>
        </w:rPr>
        <w:t xml:space="preserve"> </w:t>
      </w:r>
      <w:r>
        <w:t>in</w:t>
      </w:r>
      <w:r>
        <w:rPr>
          <w:spacing w:val="-13"/>
        </w:rPr>
        <w:t xml:space="preserve"> </w:t>
      </w:r>
      <w:r>
        <w:t>which</w:t>
      </w:r>
      <w:r>
        <w:rPr>
          <w:spacing w:val="-13"/>
        </w:rPr>
        <w:t xml:space="preserve"> </w:t>
      </w:r>
      <w:r>
        <w:t>the</w:t>
      </w:r>
      <w:r>
        <w:rPr>
          <w:spacing w:val="-12"/>
        </w:rPr>
        <w:t xml:space="preserve"> </w:t>
      </w:r>
      <w:r>
        <w:t>producer</w:t>
      </w:r>
      <w:r>
        <w:rPr>
          <w:spacing w:val="-14"/>
        </w:rPr>
        <w:t xml:space="preserve"> </w:t>
      </w:r>
      <w:r>
        <w:t>is</w:t>
      </w:r>
      <w:r>
        <w:rPr>
          <w:spacing w:val="-13"/>
        </w:rPr>
        <w:t xml:space="preserve"> </w:t>
      </w:r>
      <w:r>
        <w:t>licensed</w:t>
      </w:r>
      <w:r>
        <w:rPr>
          <w:spacing w:val="-13"/>
        </w:rPr>
        <w:t xml:space="preserve"> </w:t>
      </w:r>
      <w:r>
        <w:t>are</w:t>
      </w:r>
      <w:r>
        <w:rPr>
          <w:spacing w:val="-15"/>
        </w:rPr>
        <w:t xml:space="preserve"> </w:t>
      </w:r>
      <w:r>
        <w:t>notified</w:t>
      </w:r>
      <w:r>
        <w:rPr>
          <w:spacing w:val="-12"/>
        </w:rPr>
        <w:t xml:space="preserve"> </w:t>
      </w:r>
      <w:r>
        <w:t>with</w:t>
      </w:r>
      <w:r>
        <w:rPr>
          <w:spacing w:val="-13"/>
        </w:rPr>
        <w:t xml:space="preserve"> </w:t>
      </w:r>
      <w:r>
        <w:t>an</w:t>
      </w:r>
      <w:r>
        <w:rPr>
          <w:spacing w:val="-12"/>
        </w:rPr>
        <w:t xml:space="preserve"> </w:t>
      </w:r>
      <w:r>
        <w:t>email</w:t>
      </w:r>
      <w:r>
        <w:rPr>
          <w:spacing w:val="-13"/>
        </w:rPr>
        <w:t xml:space="preserve"> </w:t>
      </w:r>
      <w:r>
        <w:t>alert</w:t>
      </w:r>
      <w:r>
        <w:rPr>
          <w:spacing w:val="-12"/>
        </w:rPr>
        <w:t xml:space="preserve"> </w:t>
      </w:r>
      <w:r>
        <w:t>and</w:t>
      </w:r>
      <w:r>
        <w:rPr>
          <w:spacing w:val="-13"/>
        </w:rPr>
        <w:t xml:space="preserve"> </w:t>
      </w:r>
      <w:r>
        <w:t>have</w:t>
      </w:r>
      <w:r>
        <w:rPr>
          <w:spacing w:val="-12"/>
        </w:rPr>
        <w:t xml:space="preserve"> </w:t>
      </w:r>
      <w:r>
        <w:t>access</w:t>
      </w:r>
      <w:r>
        <w:rPr>
          <w:spacing w:val="-13"/>
        </w:rPr>
        <w:t xml:space="preserve"> </w:t>
      </w:r>
      <w:r>
        <w:t>to</w:t>
      </w:r>
      <w:r>
        <w:rPr>
          <w:spacing w:val="-13"/>
        </w:rPr>
        <w:t xml:space="preserve"> </w:t>
      </w:r>
      <w:r>
        <w:t>the</w:t>
      </w:r>
      <w:r>
        <w:rPr>
          <w:spacing w:val="-12"/>
        </w:rPr>
        <w:t xml:space="preserve"> </w:t>
      </w:r>
      <w:r>
        <w:t>document.</w:t>
      </w:r>
    </w:p>
    <w:p w14:paraId="3E7CAA16" w14:textId="77777777" w:rsidR="00755132" w:rsidRDefault="00755132">
      <w:pPr>
        <w:pStyle w:val="BodyText"/>
        <w:spacing w:before="99"/>
        <w:jc w:val="left"/>
      </w:pPr>
    </w:p>
    <w:p w14:paraId="4F95E07D" w14:textId="77777777" w:rsidR="00755132" w:rsidRDefault="009A025B">
      <w:pPr>
        <w:pStyle w:val="BodyText"/>
        <w:spacing w:line="242" w:lineRule="auto"/>
        <w:ind w:left="119" w:right="119"/>
      </w:pPr>
      <w:r>
        <w:t xml:space="preserve">A complete list of jurisdictions using NIPR products and services is available at </w:t>
      </w:r>
      <w:hyperlink r:id="rId9">
        <w:r>
          <w:rPr>
            <w:i/>
          </w:rPr>
          <w:t>www.nipr.com</w:t>
        </w:r>
        <w:r>
          <w:t>.</w:t>
        </w:r>
      </w:hyperlink>
      <w:r>
        <w:t xml:space="preserve"> The website has an updated list of the states that are making active use of NIPR electronic processing. (Product List by State)</w:t>
      </w:r>
    </w:p>
    <w:sectPr w:rsidR="00755132">
      <w:pgSz w:w="12240" w:h="15840"/>
      <w:pgMar w:top="1340" w:right="1320" w:bottom="720" w:left="1320" w:header="376"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2CE9" w14:textId="77777777" w:rsidR="009A025B" w:rsidRDefault="009A025B">
      <w:r>
        <w:separator/>
      </w:r>
    </w:p>
  </w:endnote>
  <w:endnote w:type="continuationSeparator" w:id="0">
    <w:p w14:paraId="076A5133" w14:textId="77777777" w:rsidR="009A025B" w:rsidRDefault="009A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5C95" w14:textId="77777777" w:rsidR="00755132" w:rsidRDefault="009A025B">
    <w:pPr>
      <w:pStyle w:val="BodyText"/>
      <w:spacing w:line="14" w:lineRule="auto"/>
      <w:jc w:val="left"/>
    </w:pPr>
    <w:r>
      <w:rPr>
        <w:noProof/>
      </w:rPr>
      <mc:AlternateContent>
        <mc:Choice Requires="wps">
          <w:drawing>
            <wp:anchor distT="0" distB="0" distL="0" distR="0" simplePos="0" relativeHeight="487547392" behindDoc="1" locked="0" layoutInCell="1" allowOverlap="1" wp14:anchorId="34086C7B" wp14:editId="423676BC">
              <wp:simplePos x="0" y="0"/>
              <wp:positionH relativeFrom="page">
                <wp:posOffset>901700</wp:posOffset>
              </wp:positionH>
              <wp:positionV relativeFrom="page">
                <wp:posOffset>9587790</wp:posOffset>
              </wp:positionV>
              <wp:extent cx="253555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430"/>
                      </a:xfrm>
                      <a:prstGeom prst="rect">
                        <a:avLst/>
                      </a:prstGeom>
                    </wps:spPr>
                    <wps:txbx>
                      <w:txbxContent>
                        <w:p w14:paraId="42BAF646" w14:textId="77777777" w:rsidR="00755132" w:rsidRDefault="009A025B">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wps:txbx>
                    <wps:bodyPr wrap="square" lIns="0" tIns="0" rIns="0" bIns="0" rtlCol="0">
                      <a:noAutofit/>
                    </wps:bodyPr>
                  </wps:wsp>
                </a:graphicData>
              </a:graphic>
            </wp:anchor>
          </w:drawing>
        </mc:Choice>
        <mc:Fallback>
          <w:pict>
            <v:shapetype w14:anchorId="34086C7B" id="_x0000_t202" coordsize="21600,21600" o:spt="202" path="m,l,21600r21600,l21600,xe">
              <v:stroke joinstyle="miter"/>
              <v:path gradientshapeok="t" o:connecttype="rect"/>
            </v:shapetype>
            <v:shape id="Textbox 3" o:spid="_x0000_s1027" type="#_x0000_t202" style="position:absolute;margin-left:71pt;margin-top:754.95pt;width:199.65pt;height:10.9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" filled="f" stroked="f">
              <v:textbox inset="0,0,0,0">
                <w:txbxContent>
                  <w:p w14:paraId="42BAF646" w14:textId="77777777" w:rsidR="00755132" w:rsidRDefault="009A025B">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547904" behindDoc="1" locked="0" layoutInCell="1" allowOverlap="1" wp14:anchorId="3E75F226" wp14:editId="4DD76C34">
              <wp:simplePos x="0" y="0"/>
              <wp:positionH relativeFrom="page">
                <wp:posOffset>3822700</wp:posOffset>
              </wp:positionH>
              <wp:positionV relativeFrom="page">
                <wp:posOffset>9587790</wp:posOffset>
              </wp:positionV>
              <wp:extent cx="13970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8430"/>
                      </a:xfrm>
                      <a:prstGeom prst="rect">
                        <a:avLst/>
                      </a:prstGeom>
                    </wps:spPr>
                    <wps:txbx>
                      <w:txbxContent>
                        <w:p w14:paraId="610A1C8C" w14:textId="77777777" w:rsidR="00755132" w:rsidRDefault="009A025B">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w14:anchorId="3E75F226" id="Textbox 4" o:spid="_x0000_s1028" type="#_x0000_t202" style="position:absolute;margin-left:301pt;margin-top:754.95pt;width:11pt;height:10.9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" filled="f" stroked="f">
              <v:textbox inset="0,0,0,0">
                <w:txbxContent>
                  <w:p w14:paraId="610A1C8C" w14:textId="77777777" w:rsidR="00755132" w:rsidRDefault="009A025B">
                    <w:pPr>
                      <w:spacing w:before="13"/>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64AD3" w14:textId="77777777" w:rsidR="009A025B" w:rsidRDefault="009A025B">
      <w:r>
        <w:separator/>
      </w:r>
    </w:p>
  </w:footnote>
  <w:footnote w:type="continuationSeparator" w:id="0">
    <w:p w14:paraId="3D8AD46E" w14:textId="77777777" w:rsidR="009A025B" w:rsidRDefault="009A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5D78" w14:textId="77777777" w:rsidR="00755132" w:rsidRDefault="009A025B">
    <w:pPr>
      <w:pStyle w:val="BodyText"/>
      <w:spacing w:line="14" w:lineRule="auto"/>
      <w:jc w:val="left"/>
    </w:pPr>
    <w:r>
      <w:rPr>
        <w:noProof/>
      </w:rPr>
      <mc:AlternateContent>
        <mc:Choice Requires="wps">
          <w:drawing>
            <wp:anchor distT="0" distB="0" distL="0" distR="0" simplePos="0" relativeHeight="487546368" behindDoc="1" locked="0" layoutInCell="1" allowOverlap="1" wp14:anchorId="50BE7CF0" wp14:editId="36CBEBB7">
              <wp:simplePos x="0" y="0"/>
              <wp:positionH relativeFrom="page">
                <wp:posOffset>920216</wp:posOffset>
              </wp:positionH>
              <wp:positionV relativeFrom="page">
                <wp:posOffset>441845</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83"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58E6A" id="Graphic 1" o:spid="_x0000_s1026" style="position:absolute;margin-left:72.45pt;margin-top:34.8pt;width:465.55pt;height:.1pt;z-index:-15770112;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9TFQ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" path="m,l5912383,e" filled="f" strokeweight=".1217mm">
              <v:path arrowok="t"/>
              <w10:wrap anchorx="page" anchory="page"/>
            </v:shape>
          </w:pict>
        </mc:Fallback>
      </mc:AlternateContent>
    </w:r>
    <w:r>
      <w:rPr>
        <w:noProof/>
      </w:rPr>
      <mc:AlternateContent>
        <mc:Choice Requires="wps">
          <w:drawing>
            <wp:anchor distT="0" distB="0" distL="0" distR="0" simplePos="0" relativeHeight="487546880" behindDoc="1" locked="0" layoutInCell="1" allowOverlap="1" wp14:anchorId="481E8DDE" wp14:editId="573554F0">
              <wp:simplePos x="0" y="0"/>
              <wp:positionH relativeFrom="page">
                <wp:posOffset>5468429</wp:posOffset>
              </wp:positionH>
              <wp:positionV relativeFrom="page">
                <wp:posOffset>226350</wp:posOffset>
              </wp:positionV>
              <wp:extent cx="13665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6370"/>
                      </a:xfrm>
                      <a:prstGeom prst="rect">
                        <a:avLst/>
                      </a:prstGeom>
                    </wps:spPr>
                    <wps:txbx>
                      <w:txbxContent>
                        <w:p w14:paraId="5C5EDCE8" w14:textId="77777777" w:rsidR="00755132" w:rsidRDefault="009A025B">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wps:txbx>
                    <wps:bodyPr wrap="square" lIns="0" tIns="0" rIns="0" bIns="0" rtlCol="0">
                      <a:noAutofit/>
                    </wps:bodyPr>
                  </wps:wsp>
                </a:graphicData>
              </a:graphic>
            </wp:anchor>
          </w:drawing>
        </mc:Choice>
        <mc:Fallback>
          <w:pict>
            <v:shapetype w14:anchorId="481E8DDE" id="_x0000_t202" coordsize="21600,21600" o:spt="202" path="m,l,21600r21600,l21600,xe">
              <v:stroke joinstyle="miter"/>
              <v:path gradientshapeok="t" o:connecttype="rect"/>
            </v:shapetype>
            <v:shape id="Textbox 2" o:spid="_x0000_s1026" type="#_x0000_t202" style="position:absolute;margin-left:430.6pt;margin-top:17.8pt;width:107.6pt;height:13.1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" filled="f" stroked="f">
              <v:textbox inset="0,0,0,0">
                <w:txbxContent>
                  <w:p w14:paraId="5C5EDCE8" w14:textId="77777777" w:rsidR="00755132" w:rsidRDefault="009A025B">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CC1FD4"/>
    <w:multiLevelType w:val="hybridMultilevel"/>
    <w:tmpl w:val="81BA51B0"/>
    <w:lvl w:ilvl="0" w:tplc="2FC628EC">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3C6F1CE">
      <w:numFmt w:val="bullet"/>
      <w:lvlText w:val="•"/>
      <w:lvlJc w:val="left"/>
      <w:pPr>
        <w:ind w:left="1716" w:hanging="360"/>
      </w:pPr>
      <w:rPr>
        <w:rFonts w:hint="default"/>
        <w:lang w:val="en-US" w:eastAsia="en-US" w:bidi="ar-SA"/>
      </w:rPr>
    </w:lvl>
    <w:lvl w:ilvl="2" w:tplc="223EEA5C">
      <w:numFmt w:val="bullet"/>
      <w:lvlText w:val="•"/>
      <w:lvlJc w:val="left"/>
      <w:pPr>
        <w:ind w:left="2592" w:hanging="360"/>
      </w:pPr>
      <w:rPr>
        <w:rFonts w:hint="default"/>
        <w:lang w:val="en-US" w:eastAsia="en-US" w:bidi="ar-SA"/>
      </w:rPr>
    </w:lvl>
    <w:lvl w:ilvl="3" w:tplc="73AE416E">
      <w:numFmt w:val="bullet"/>
      <w:lvlText w:val="•"/>
      <w:lvlJc w:val="left"/>
      <w:pPr>
        <w:ind w:left="3468" w:hanging="360"/>
      </w:pPr>
      <w:rPr>
        <w:rFonts w:hint="default"/>
        <w:lang w:val="en-US" w:eastAsia="en-US" w:bidi="ar-SA"/>
      </w:rPr>
    </w:lvl>
    <w:lvl w:ilvl="4" w:tplc="801C1C34">
      <w:numFmt w:val="bullet"/>
      <w:lvlText w:val="•"/>
      <w:lvlJc w:val="left"/>
      <w:pPr>
        <w:ind w:left="4344" w:hanging="360"/>
      </w:pPr>
      <w:rPr>
        <w:rFonts w:hint="default"/>
        <w:lang w:val="en-US" w:eastAsia="en-US" w:bidi="ar-SA"/>
      </w:rPr>
    </w:lvl>
    <w:lvl w:ilvl="5" w:tplc="6824A3B8">
      <w:numFmt w:val="bullet"/>
      <w:lvlText w:val="•"/>
      <w:lvlJc w:val="left"/>
      <w:pPr>
        <w:ind w:left="5220" w:hanging="360"/>
      </w:pPr>
      <w:rPr>
        <w:rFonts w:hint="default"/>
        <w:lang w:val="en-US" w:eastAsia="en-US" w:bidi="ar-SA"/>
      </w:rPr>
    </w:lvl>
    <w:lvl w:ilvl="6" w:tplc="74F8AD14">
      <w:numFmt w:val="bullet"/>
      <w:lvlText w:val="•"/>
      <w:lvlJc w:val="left"/>
      <w:pPr>
        <w:ind w:left="6096" w:hanging="360"/>
      </w:pPr>
      <w:rPr>
        <w:rFonts w:hint="default"/>
        <w:lang w:val="en-US" w:eastAsia="en-US" w:bidi="ar-SA"/>
      </w:rPr>
    </w:lvl>
    <w:lvl w:ilvl="7" w:tplc="8BBC4D80">
      <w:numFmt w:val="bullet"/>
      <w:lvlText w:val="•"/>
      <w:lvlJc w:val="left"/>
      <w:pPr>
        <w:ind w:left="6972" w:hanging="360"/>
      </w:pPr>
      <w:rPr>
        <w:rFonts w:hint="default"/>
        <w:lang w:val="en-US" w:eastAsia="en-US" w:bidi="ar-SA"/>
      </w:rPr>
    </w:lvl>
    <w:lvl w:ilvl="8" w:tplc="84AAD4B6">
      <w:numFmt w:val="bullet"/>
      <w:lvlText w:val="•"/>
      <w:lvlJc w:val="left"/>
      <w:pPr>
        <w:ind w:left="7848" w:hanging="360"/>
      </w:pPr>
      <w:rPr>
        <w:rFonts w:hint="default"/>
        <w:lang w:val="en-US" w:eastAsia="en-US" w:bidi="ar-SA"/>
      </w:rPr>
    </w:lvl>
  </w:abstractNum>
  <w:num w:numId="1" w16cid:durableId="121041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32"/>
    <w:rsid w:val="00755132"/>
    <w:rsid w:val="008F3343"/>
    <w:rsid w:val="009A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1A56"/>
  <w15:docId w15:val="{08CD2CF2-8ABB-4679-8A32-C9532E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838"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pr.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2024-11-07T18:15:33+00:00</_EndDate>
    <StartDate xmlns="http://schemas.microsoft.com/sharepoint/v3">2024-11-07T18:15:33+00:00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73B238A6-46AB-45D2-83A9-D8386AF89FA6}"/>
</file>

<file path=customXml/itemProps2.xml><?xml version="1.0" encoding="utf-8"?>
<ds:datastoreItem xmlns:ds="http://schemas.openxmlformats.org/officeDocument/2006/customXml" ds:itemID="{23954FDD-C278-4143-A8D1-A45AFA750075}"/>
</file>

<file path=customXml/itemProps3.xml><?xml version="1.0" encoding="utf-8"?>
<ds:datastoreItem xmlns:ds="http://schemas.openxmlformats.org/officeDocument/2006/customXml" ds:itemID="{5967CD93-5494-44C3-9E0A-57777D37E80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5953</Characters>
  <Application>Microsoft Office Word</Application>
  <DocSecurity>0</DocSecurity>
  <Lines>541</Lines>
  <Paragraphs>432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 Lacey</dc:creator>
  <cp:lastModifiedBy>Welker, Greg</cp:lastModifiedBy>
  <cp:revision>2</cp:revision>
  <dcterms:created xsi:type="dcterms:W3CDTF">2024-11-07T18:15:00Z</dcterms:created>
  <dcterms:modified xsi:type="dcterms:W3CDTF">2024-11-07T18:15:00Z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2024-11-07T00:00:00Z</vt:filetime>
  </property>
  <property fmtid="{D5CDD505-2E9C-101B-9397-08002B2CF9AE}" pid="5" name="Producer">
    <vt:lpwstr>Adobe Acrobat Pro DC 20.13.20066</vt:lpwstr>
  </property>
  <property fmtid="{D5CDD505-2E9C-101B-9397-08002B2CF9AE}" pid="6" name="ContentTypeId">
    <vt:lpwstr>0x010100376674D47D81254AAE898D727025BAAD</vt:lpwstr>
  </property>
</Properties>
</file>