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6C425" w14:textId="382BCACF" w:rsidR="00DC7501" w:rsidRPr="00DC7501" w:rsidRDefault="00DC7501" w:rsidP="00DC7501">
      <w:pPr>
        <w:spacing w:after="0" w:line="240" w:lineRule="auto"/>
        <w:rPr>
          <w:rFonts w:ascii="Times New Roman" w:eastAsia="Times New Roman" w:hAnsi="Times New Roman" w:cs="Times New Roman"/>
          <w:kern w:val="0"/>
          <w:sz w:val="24"/>
          <w:szCs w:val="24"/>
          <w14:ligatures w14:val="none"/>
        </w:rPr>
      </w:pPr>
      <w:r w:rsidRPr="00DC7501">
        <w:rPr>
          <w:rFonts w:ascii="Times New Roman" w:eastAsia="Times New Roman" w:hAnsi="Times New Roman" w:cs="Times New Roman"/>
          <w:noProof/>
          <w:kern w:val="0"/>
          <w:sz w:val="24"/>
          <w:szCs w:val="24"/>
          <w14:ligatures w14:val="none"/>
        </w:rPr>
        <w:drawing>
          <wp:inline distT="0" distB="0" distL="0" distR="0" wp14:anchorId="36CF0B71" wp14:editId="373449DA">
            <wp:extent cx="1365175" cy="610870"/>
            <wp:effectExtent l="0" t="0" r="6985" b="0"/>
            <wp:docPr id="406661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2296" cy="623006"/>
                    </a:xfrm>
                    <a:prstGeom prst="rect">
                      <a:avLst/>
                    </a:prstGeom>
                    <a:noFill/>
                    <a:ln>
                      <a:noFill/>
                    </a:ln>
                  </pic:spPr>
                </pic:pic>
              </a:graphicData>
            </a:graphic>
          </wp:inline>
        </w:drawing>
      </w:r>
    </w:p>
    <w:p w14:paraId="456D1579" w14:textId="0B18B860" w:rsidR="00DC7501" w:rsidRDefault="00DC7501" w:rsidP="00DC7501">
      <w:pPr>
        <w:pStyle w:val="NormalWeb"/>
        <w:spacing w:before="0" w:beforeAutospacing="0" w:after="0" w:afterAutospacing="0"/>
        <w:rPr>
          <w:rFonts w:asciiTheme="minorHAnsi" w:hAnsiTheme="minorHAnsi" w:cstheme="minorHAnsi"/>
          <w:sz w:val="22"/>
          <w:szCs w:val="22"/>
        </w:rPr>
      </w:pPr>
      <w:r w:rsidRPr="00DC7501">
        <w:rPr>
          <w:rStyle w:val="Strong"/>
          <w:rFonts w:asciiTheme="minorHAnsi" w:hAnsiTheme="minorHAnsi" w:cstheme="minorHAnsi"/>
          <w:sz w:val="22"/>
          <w:szCs w:val="22"/>
        </w:rPr>
        <w:t>John Hancock Life Insurance Company (U.S.A.)</w:t>
      </w:r>
    </w:p>
    <w:p w14:paraId="61138342" w14:textId="0F22A8D5" w:rsidR="00DC7501" w:rsidRDefault="00DC7501" w:rsidP="00DC750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Ann Delaney</w:t>
      </w:r>
      <w:r w:rsidR="003859CD">
        <w:rPr>
          <w:rFonts w:asciiTheme="minorHAnsi" w:hAnsiTheme="minorHAnsi" w:cstheme="minorHAnsi"/>
          <w:sz w:val="22"/>
          <w:szCs w:val="22"/>
        </w:rPr>
        <w:t xml:space="preserve">, </w:t>
      </w:r>
      <w:r>
        <w:rPr>
          <w:rFonts w:asciiTheme="minorHAnsi" w:hAnsiTheme="minorHAnsi" w:cstheme="minorHAnsi"/>
          <w:sz w:val="22"/>
          <w:szCs w:val="22"/>
        </w:rPr>
        <w:t>AVP &amp; Regulatory Actuary</w:t>
      </w:r>
      <w:r w:rsidR="003859CD">
        <w:rPr>
          <w:rFonts w:asciiTheme="minorHAnsi" w:hAnsiTheme="minorHAnsi" w:cstheme="minorHAnsi"/>
          <w:sz w:val="22"/>
          <w:szCs w:val="22"/>
        </w:rPr>
        <w:t xml:space="preserve">, </w:t>
      </w:r>
      <w:hyperlink r:id="rId8" w:history="1">
        <w:r w:rsidR="003859CD" w:rsidRPr="004C2A18">
          <w:rPr>
            <w:rStyle w:val="Hyperlink"/>
            <w:rFonts w:asciiTheme="minorHAnsi" w:hAnsiTheme="minorHAnsi" w:cstheme="minorHAnsi"/>
            <w:sz w:val="22"/>
            <w:szCs w:val="22"/>
          </w:rPr>
          <w:t>adelaney@jhancock.com</w:t>
        </w:r>
      </w:hyperlink>
    </w:p>
    <w:p w14:paraId="549A741E" w14:textId="306A1EA5" w:rsidR="003859CD" w:rsidRPr="00DC7501" w:rsidRDefault="003859CD" w:rsidP="00DC750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Elizabeth Lennox, Actuary, Life Product Pricing, elennox@jhancock.com</w:t>
      </w:r>
    </w:p>
    <w:p w14:paraId="46A7AC74" w14:textId="77777777" w:rsidR="00676221" w:rsidRPr="00DC7501" w:rsidRDefault="00676221" w:rsidP="00F460A2">
      <w:pPr>
        <w:spacing w:after="0"/>
        <w:rPr>
          <w:rFonts w:cstheme="minorHAnsi"/>
        </w:rPr>
      </w:pPr>
    </w:p>
    <w:p w14:paraId="0BBAE155" w14:textId="3470D64D" w:rsidR="00F460A2" w:rsidRDefault="003859CD" w:rsidP="00F460A2">
      <w:pPr>
        <w:spacing w:after="0"/>
      </w:pPr>
      <w:r>
        <w:t xml:space="preserve">February </w:t>
      </w:r>
      <w:r w:rsidR="005E79F8">
        <w:t>26</w:t>
      </w:r>
      <w:r>
        <w:t>, 2025</w:t>
      </w:r>
    </w:p>
    <w:p w14:paraId="6B52B5CF" w14:textId="77777777" w:rsidR="00DC7501" w:rsidRDefault="00DC7501" w:rsidP="00F460A2">
      <w:pPr>
        <w:spacing w:after="0"/>
      </w:pPr>
    </w:p>
    <w:p w14:paraId="44ADA64D" w14:textId="2762E128" w:rsidR="00F460A2" w:rsidRDefault="00DC7501" w:rsidP="007534C3">
      <w:pPr>
        <w:spacing w:after="0"/>
      </w:pPr>
      <w:r>
        <w:t>To:</w:t>
      </w:r>
      <w:r w:rsidR="00B41E34">
        <w:t xml:space="preserve"> </w:t>
      </w:r>
      <w:r w:rsidR="00B41E34">
        <w:tab/>
      </w:r>
      <w:r w:rsidR="003859CD">
        <w:t>Rachel Hemphill</w:t>
      </w:r>
      <w:r w:rsidR="00F460A2">
        <w:t xml:space="preserve">, Chair, </w:t>
      </w:r>
      <w:r w:rsidR="003859CD">
        <w:t>Life Actuarial (A) Task Force</w:t>
      </w:r>
    </w:p>
    <w:p w14:paraId="6EA78663" w14:textId="4A471C0C" w:rsidR="00F460A2" w:rsidRDefault="003859CD" w:rsidP="00B41E34">
      <w:pPr>
        <w:spacing w:after="0"/>
        <w:ind w:firstLine="720"/>
      </w:pPr>
      <w:r>
        <w:t>Craig Chupp,</w:t>
      </w:r>
      <w:r w:rsidR="007534C3">
        <w:t xml:space="preserve"> </w:t>
      </w:r>
      <w:r w:rsidR="00F460A2">
        <w:t xml:space="preserve">Vice Chair, </w:t>
      </w:r>
      <w:r>
        <w:t>Life Actuarial (A) Task Force</w:t>
      </w:r>
    </w:p>
    <w:p w14:paraId="4F12721C" w14:textId="2BDB71F6" w:rsidR="00F460A2" w:rsidRDefault="00F460A2" w:rsidP="00F460A2">
      <w:pPr>
        <w:spacing w:after="0"/>
      </w:pPr>
    </w:p>
    <w:p w14:paraId="51A916FA" w14:textId="3E104BD4" w:rsidR="00F460A2" w:rsidRDefault="00F460A2" w:rsidP="00F460A2">
      <w:r w:rsidRPr="00620388">
        <w:rPr>
          <w:rFonts w:cs="Times New Roman"/>
        </w:rPr>
        <w:t>Re</w:t>
      </w:r>
      <w:r w:rsidRPr="00F460A2">
        <w:rPr>
          <w:rFonts w:cs="Times New Roman"/>
          <w:b/>
          <w:bCs/>
        </w:rPr>
        <w:t>:</w:t>
      </w:r>
      <w:r w:rsidR="00B41E34">
        <w:rPr>
          <w:rFonts w:cs="Times New Roman"/>
          <w:b/>
          <w:bCs/>
        </w:rPr>
        <w:tab/>
      </w:r>
      <w:r w:rsidRPr="00F460A2">
        <w:rPr>
          <w:rFonts w:cs="Times New Roman"/>
          <w:b/>
          <w:bCs/>
        </w:rPr>
        <w:t xml:space="preserve"> </w:t>
      </w:r>
      <w:r w:rsidR="00301EF8" w:rsidRPr="000F18EB">
        <w:rPr>
          <w:rFonts w:cs="Times New Roman"/>
        </w:rPr>
        <w:t>APF 2024-16 UL N</w:t>
      </w:r>
      <w:r w:rsidR="00AB191D">
        <w:rPr>
          <w:rFonts w:cs="Times New Roman"/>
        </w:rPr>
        <w:t>onforfeiture</w:t>
      </w:r>
      <w:r w:rsidR="00301EF8" w:rsidRPr="000F18EB">
        <w:rPr>
          <w:rFonts w:cs="Times New Roman"/>
        </w:rPr>
        <w:t xml:space="preserve"> Clarifying Guidance</w:t>
      </w:r>
    </w:p>
    <w:p w14:paraId="50CCC3A8" w14:textId="62168A61" w:rsidR="00F460A2" w:rsidRDefault="00F460A2" w:rsidP="00F460A2">
      <w:pPr>
        <w:spacing w:line="240" w:lineRule="auto"/>
        <w:rPr>
          <w:rFonts w:cs="Times New Roman"/>
        </w:rPr>
      </w:pPr>
      <w:r w:rsidRPr="00CA2163">
        <w:rPr>
          <w:rFonts w:cs="Times New Roman"/>
        </w:rPr>
        <w:t xml:space="preserve">Dear Chair </w:t>
      </w:r>
      <w:r w:rsidR="003859CD">
        <w:rPr>
          <w:rFonts w:cs="Times New Roman"/>
        </w:rPr>
        <w:t>Hemphill</w:t>
      </w:r>
      <w:r>
        <w:rPr>
          <w:rFonts w:cs="Times New Roman"/>
        </w:rPr>
        <w:t xml:space="preserve"> and Vice Chair </w:t>
      </w:r>
      <w:r w:rsidR="003859CD">
        <w:rPr>
          <w:rFonts w:cs="Times New Roman"/>
        </w:rPr>
        <w:t>Chupp</w:t>
      </w:r>
      <w:r w:rsidR="00077491">
        <w:rPr>
          <w:rFonts w:cs="Times New Roman"/>
        </w:rPr>
        <w:t>,</w:t>
      </w:r>
    </w:p>
    <w:p w14:paraId="1CAD6312" w14:textId="176509C6" w:rsidR="004622AA" w:rsidRDefault="00F460A2" w:rsidP="004622AA">
      <w:pPr>
        <w:spacing w:line="240" w:lineRule="auto"/>
      </w:pPr>
      <w:r w:rsidRPr="740F3BAD">
        <w:rPr>
          <w:rFonts w:cs="Times New Roman"/>
        </w:rPr>
        <w:t xml:space="preserve">John Hancock </w:t>
      </w:r>
      <w:r w:rsidR="00077491" w:rsidRPr="740F3BAD">
        <w:rPr>
          <w:rFonts w:cs="Times New Roman"/>
        </w:rPr>
        <w:t xml:space="preserve">Life Insurance Company (U.S.A.) </w:t>
      </w:r>
      <w:r w:rsidRPr="740F3BAD">
        <w:rPr>
          <w:rFonts w:cs="Times New Roman"/>
        </w:rPr>
        <w:t xml:space="preserve">appreciates the opportunity to provide feedback on the recently exposed </w:t>
      </w:r>
      <w:r w:rsidR="003859CD" w:rsidRPr="740F3BAD">
        <w:rPr>
          <w:rFonts w:cs="Times New Roman"/>
        </w:rPr>
        <w:t>APF 2024-16 UL N</w:t>
      </w:r>
      <w:r w:rsidR="00AB191D">
        <w:rPr>
          <w:rFonts w:cs="Times New Roman"/>
        </w:rPr>
        <w:t>onforfeiture</w:t>
      </w:r>
      <w:r w:rsidR="003859CD" w:rsidRPr="740F3BAD">
        <w:rPr>
          <w:rFonts w:cs="Times New Roman"/>
        </w:rPr>
        <w:t xml:space="preserve"> Clarifying Guidance with cover letter</w:t>
      </w:r>
      <w:r w:rsidRPr="740F3BAD">
        <w:rPr>
          <w:rFonts w:cs="Times New Roman"/>
        </w:rPr>
        <w:t>.</w:t>
      </w:r>
      <w:r w:rsidR="00B24E32" w:rsidRPr="740F3BAD">
        <w:rPr>
          <w:rFonts w:cs="Times New Roman"/>
        </w:rPr>
        <w:t xml:space="preserve"> </w:t>
      </w:r>
      <w:r w:rsidR="004622AA" w:rsidRPr="740F3BAD">
        <w:rPr>
          <w:rFonts w:cs="Times New Roman"/>
        </w:rPr>
        <w:t xml:space="preserve">The exposure asks for </w:t>
      </w:r>
      <w:r w:rsidR="004622AA">
        <w:t>input on whether providing for a safe harbor or simplified demonstration would or would not be consistent with the Model #585 requirements.</w:t>
      </w:r>
    </w:p>
    <w:p w14:paraId="6516516D" w14:textId="702D4A52" w:rsidR="002F244E" w:rsidRDefault="00B24E32" w:rsidP="00F460A2">
      <w:pPr>
        <w:spacing w:line="240" w:lineRule="auto"/>
      </w:pPr>
      <w:r w:rsidRPr="740F3BAD">
        <w:rPr>
          <w:rFonts w:cs="Times New Roman"/>
        </w:rPr>
        <w:t xml:space="preserve">We understand the need for guidance </w:t>
      </w:r>
      <w:r w:rsidR="000F18EB">
        <w:rPr>
          <w:rFonts w:cs="Times New Roman"/>
        </w:rPr>
        <w:t>in</w:t>
      </w:r>
      <w:r w:rsidRPr="740F3BAD">
        <w:rPr>
          <w:rFonts w:cs="Times New Roman"/>
        </w:rPr>
        <w:t xml:space="preserve"> determining maximum surrender charges for products that have multiple sets of guarantees that affect the policy cash surrender value</w:t>
      </w:r>
      <w:r w:rsidR="004622AA" w:rsidRPr="740F3BAD">
        <w:rPr>
          <w:rFonts w:cs="Times New Roman"/>
        </w:rPr>
        <w:t xml:space="preserve">, </w:t>
      </w:r>
      <w:proofErr w:type="gramStart"/>
      <w:r w:rsidR="004622AA" w:rsidRPr="740F3BAD">
        <w:rPr>
          <w:rFonts w:cs="Times New Roman"/>
        </w:rPr>
        <w:t>in light of</w:t>
      </w:r>
      <w:proofErr w:type="gramEnd"/>
      <w:r w:rsidR="004622AA" w:rsidRPr="740F3BAD">
        <w:rPr>
          <w:rFonts w:cs="Times New Roman"/>
        </w:rPr>
        <w:t xml:space="preserve"> the relatively low interest rate guarantees in the market today</w:t>
      </w:r>
      <w:r w:rsidRPr="740F3BAD">
        <w:rPr>
          <w:rFonts w:cs="Times New Roman"/>
        </w:rPr>
        <w:t xml:space="preserve">. </w:t>
      </w:r>
    </w:p>
    <w:p w14:paraId="714D6400" w14:textId="5452A5E6" w:rsidR="00314A51" w:rsidRDefault="005C00D8" w:rsidP="00F460A2">
      <w:pPr>
        <w:spacing w:line="240" w:lineRule="auto"/>
        <w:rPr>
          <w:bCs/>
        </w:rPr>
      </w:pPr>
      <w:r w:rsidRPr="005C00D8">
        <w:rPr>
          <w:bCs/>
        </w:rPr>
        <w:t xml:space="preserve">We support the </w:t>
      </w:r>
      <w:r w:rsidR="00FA1657">
        <w:rPr>
          <w:bCs/>
        </w:rPr>
        <w:t>safe</w:t>
      </w:r>
      <w:r w:rsidR="005C0709">
        <w:rPr>
          <w:bCs/>
        </w:rPr>
        <w:t xml:space="preserve"> harbor</w:t>
      </w:r>
      <w:r w:rsidRPr="005C00D8">
        <w:rPr>
          <w:bCs/>
        </w:rPr>
        <w:t xml:space="preserve"> proposed by the Life Products Committee of the American Academy of Actuaries, which said “if a contract with multiple sets of guarantees has different sets of guaranteed interest crediting rates, acquisition expense charge rates, and cost of insurance charge rates, the maximum of the guaranteed interest rates (which would correspond to the lowest initial expense allowance), and the maximum of the acquisition expense charge rates and cost of insurance charge rates across all of the sets of guarantees could be used in performing a single demonstration of nonforfeiture compliance.</w:t>
      </w:r>
      <w:r w:rsidR="00B453F5">
        <w:rPr>
          <w:bCs/>
        </w:rPr>
        <w:t>”</w:t>
      </w:r>
      <w:r w:rsidRPr="005C00D8">
        <w:rPr>
          <w:bCs/>
        </w:rPr>
        <w:t xml:space="preserve"> It also said that, when the multiple sets of guarantees that </w:t>
      </w:r>
      <w:proofErr w:type="gramStart"/>
      <w:r w:rsidRPr="005C00D8">
        <w:rPr>
          <w:bCs/>
        </w:rPr>
        <w:t>are used</w:t>
      </w:r>
      <w:proofErr w:type="gramEnd"/>
      <w:r w:rsidRPr="005C00D8">
        <w:rPr>
          <w:bCs/>
        </w:rPr>
        <w:t xml:space="preserve"> to determine the cash surrender value of the contract have the same expense and cost of insurance rates, the set with the largest guaranteed interest rate </w:t>
      </w:r>
      <w:r w:rsidR="005C0709">
        <w:rPr>
          <w:bCs/>
        </w:rPr>
        <w:t>w</w:t>
      </w:r>
      <w:r w:rsidRPr="005C00D8">
        <w:rPr>
          <w:bCs/>
        </w:rPr>
        <w:t>ould be used</w:t>
      </w:r>
      <w:r w:rsidR="005C0709">
        <w:rPr>
          <w:bCs/>
        </w:rPr>
        <w:t xml:space="preserve"> </w:t>
      </w:r>
      <w:r w:rsidR="005C0709" w:rsidRPr="5D848506">
        <w:rPr>
          <w:rFonts w:cs="Times New Roman"/>
        </w:rPr>
        <w:t>in a single demonstration to support compliance</w:t>
      </w:r>
      <w:r>
        <w:rPr>
          <w:bCs/>
        </w:rPr>
        <w:t>.</w:t>
      </w:r>
      <w:r w:rsidR="00103D70" w:rsidRPr="00103D70">
        <w:rPr>
          <w:rFonts w:ascii="Calibri" w:hAnsi="Calibri" w:cs="Calibri"/>
          <w:color w:val="000000"/>
          <w:shd w:val="clear" w:color="auto" w:fill="FFFFFF"/>
        </w:rPr>
        <w:t xml:space="preserve"> </w:t>
      </w:r>
      <w:r w:rsidR="00103D70" w:rsidRPr="00103D70">
        <w:rPr>
          <w:bCs/>
        </w:rPr>
        <w:t>We believe this approach is consistent with the requirements of Model 585, as long as the guaranteed interest rate</w:t>
      </w:r>
      <w:r w:rsidR="000F18EB">
        <w:rPr>
          <w:bCs/>
        </w:rPr>
        <w:t xml:space="preserve"> (or rates</w:t>
      </w:r>
      <w:r w:rsidR="00103D70" w:rsidRPr="00103D70">
        <w:rPr>
          <w:bCs/>
        </w:rPr>
        <w:t xml:space="preserve">) used in the calculation of the initial expense allowance does not exceed the nonforfeiture interest rate as defined in Model Law 808, Section 5.c.H. for policies issued in that calendar year, and the rate used in the amortization of the unused expense allowance is guaranteed in the contract. </w:t>
      </w:r>
    </w:p>
    <w:p w14:paraId="63C46607" w14:textId="0B28B60E" w:rsidR="009C09F3" w:rsidRPr="009C09F3" w:rsidRDefault="009C09F3" w:rsidP="009C09F3">
      <w:pPr>
        <w:spacing w:line="240" w:lineRule="auto"/>
        <w:rPr>
          <w:rFonts w:cs="Times New Roman"/>
        </w:rPr>
      </w:pPr>
      <w:r w:rsidRPr="009C09F3">
        <w:rPr>
          <w:rFonts w:cs="Times New Roman"/>
        </w:rPr>
        <w:t>NAIC Model Law 585, Section 6</w:t>
      </w:r>
      <w:r w:rsidR="00780676">
        <w:rPr>
          <w:rFonts w:cs="Times New Roman"/>
        </w:rPr>
        <w:t>.</w:t>
      </w:r>
      <w:r w:rsidRPr="009C09F3">
        <w:rPr>
          <w:rFonts w:cs="Times New Roman"/>
        </w:rPr>
        <w:t>A</w:t>
      </w:r>
      <w:r w:rsidR="00780676">
        <w:rPr>
          <w:rFonts w:cs="Times New Roman"/>
        </w:rPr>
        <w:t>.</w:t>
      </w:r>
      <w:r>
        <w:rPr>
          <w:rFonts w:cs="Times New Roman"/>
        </w:rPr>
        <w:t xml:space="preserve"> states that</w:t>
      </w:r>
      <w:r w:rsidRPr="009C09F3">
        <w:rPr>
          <w:rFonts w:cs="Times New Roman"/>
        </w:rPr>
        <w:t>:</w:t>
      </w:r>
    </w:p>
    <w:p w14:paraId="70D92239" w14:textId="17A5CACC" w:rsidR="009C09F3" w:rsidRPr="009C09F3" w:rsidRDefault="009C09F3" w:rsidP="009C09F3">
      <w:pPr>
        <w:spacing w:line="240" w:lineRule="auto"/>
        <w:rPr>
          <w:rFonts w:cs="Times New Roman"/>
        </w:rPr>
      </w:pPr>
      <w:r w:rsidRPr="009C09F3">
        <w:rPr>
          <w:rFonts w:cs="Times New Roman"/>
          <w:i/>
          <w:iCs/>
        </w:rPr>
        <w:t xml:space="preserve">The unamortized unused initial expense allowance during the policy year beginning on the policy anniversary at age x+t (where “x” is the same issue age) shall be the unused initial expense allowance multiplied by ax+t where ax+t and ax are present values of an annuity of one per year payable on policy anniversaries beginning at ages x+t and x, respectively, and continuing until the highest attained age at which a premium may be paid under the policy, both on the mortality </w:t>
      </w:r>
      <w:r w:rsidRPr="009C09F3">
        <w:rPr>
          <w:rFonts w:cs="Times New Roman"/>
          <w:b/>
          <w:bCs/>
          <w:i/>
          <w:iCs/>
        </w:rPr>
        <w:t>and interest bases guaranteed in the policy</w:t>
      </w:r>
      <w:r>
        <w:rPr>
          <w:rFonts w:cs="Times New Roman"/>
          <w:i/>
          <w:iCs/>
        </w:rPr>
        <w:t xml:space="preserve"> (emphasis added)</w:t>
      </w:r>
      <w:r w:rsidRPr="009C09F3">
        <w:rPr>
          <w:rFonts w:cs="Times New Roman"/>
          <w:i/>
          <w:iCs/>
        </w:rPr>
        <w:t xml:space="preserve">. </w:t>
      </w:r>
    </w:p>
    <w:p w14:paraId="1EF95EC8" w14:textId="271FCE0C" w:rsidR="009C09F3" w:rsidRDefault="009C09F3" w:rsidP="009C09F3">
      <w:pPr>
        <w:spacing w:line="240" w:lineRule="auto"/>
        <w:rPr>
          <w:rFonts w:cs="Times New Roman"/>
        </w:rPr>
      </w:pPr>
      <w:r w:rsidRPr="740F3BAD">
        <w:rPr>
          <w:rFonts w:cs="Times New Roman"/>
        </w:rPr>
        <w:t>We believe that using the higher of the guaranteed interest rates</w:t>
      </w:r>
      <w:r w:rsidR="00731126" w:rsidRPr="740F3BAD">
        <w:rPr>
          <w:rFonts w:cs="Times New Roman"/>
        </w:rPr>
        <w:t xml:space="preserve"> (or rates)</w:t>
      </w:r>
      <w:r w:rsidRPr="740F3BAD">
        <w:rPr>
          <w:rFonts w:cs="Times New Roman"/>
        </w:rPr>
        <w:t xml:space="preserve"> </w:t>
      </w:r>
      <w:r w:rsidR="55882BE9" w:rsidRPr="740F3BAD">
        <w:rPr>
          <w:rFonts w:cs="Times New Roman"/>
        </w:rPr>
        <w:t>in</w:t>
      </w:r>
      <w:r w:rsidRPr="740F3BAD">
        <w:rPr>
          <w:rFonts w:cs="Times New Roman"/>
        </w:rPr>
        <w:t xml:space="preserve"> the multiple set of guarantees is consistent with this requirement</w:t>
      </w:r>
      <w:r w:rsidR="00731126" w:rsidRPr="740F3BAD">
        <w:rPr>
          <w:rFonts w:cs="Times New Roman"/>
        </w:rPr>
        <w:t xml:space="preserve"> because it </w:t>
      </w:r>
      <w:proofErr w:type="gramStart"/>
      <w:r w:rsidR="00731126" w:rsidRPr="740F3BAD">
        <w:rPr>
          <w:rFonts w:cs="Times New Roman"/>
        </w:rPr>
        <w:t>is guaranteed</w:t>
      </w:r>
      <w:proofErr w:type="gramEnd"/>
      <w:r w:rsidR="00731126" w:rsidRPr="740F3BAD">
        <w:rPr>
          <w:rFonts w:cs="Times New Roman"/>
        </w:rPr>
        <w:t xml:space="preserve"> in the policy</w:t>
      </w:r>
      <w:r w:rsidRPr="740F3BAD">
        <w:rPr>
          <w:rFonts w:cs="Times New Roman"/>
        </w:rPr>
        <w:t xml:space="preserve">. </w:t>
      </w:r>
    </w:p>
    <w:p w14:paraId="75BE2EF9" w14:textId="2F7E13F6" w:rsidR="009C09F3" w:rsidRPr="009C09F3" w:rsidRDefault="009C09F3" w:rsidP="009C09F3">
      <w:pPr>
        <w:spacing w:line="240" w:lineRule="auto"/>
        <w:rPr>
          <w:rFonts w:cs="Times New Roman"/>
        </w:rPr>
      </w:pPr>
      <w:r w:rsidRPr="009C09F3">
        <w:rPr>
          <w:rFonts w:cs="Times New Roman"/>
        </w:rPr>
        <w:lastRenderedPageBreak/>
        <w:t>NAIC Model Law 585, Section 6</w:t>
      </w:r>
      <w:r w:rsidR="00780676">
        <w:rPr>
          <w:rFonts w:cs="Times New Roman"/>
        </w:rPr>
        <w:t>.</w:t>
      </w:r>
      <w:r w:rsidRPr="009C09F3">
        <w:rPr>
          <w:rFonts w:cs="Times New Roman"/>
        </w:rPr>
        <w:t>A</w:t>
      </w:r>
      <w:r w:rsidR="00780676">
        <w:rPr>
          <w:rFonts w:cs="Times New Roman"/>
        </w:rPr>
        <w:t>.</w:t>
      </w:r>
      <w:r>
        <w:rPr>
          <w:rFonts w:cs="Times New Roman"/>
        </w:rPr>
        <w:t xml:space="preserve"> further states that</w:t>
      </w:r>
      <w:r w:rsidRPr="009C09F3">
        <w:rPr>
          <w:rFonts w:cs="Times New Roman"/>
        </w:rPr>
        <w:t>:</w:t>
      </w:r>
    </w:p>
    <w:p w14:paraId="1C1CF44E" w14:textId="77777777" w:rsidR="009C09F3" w:rsidRPr="009C09F3" w:rsidRDefault="009C09F3" w:rsidP="009C09F3">
      <w:pPr>
        <w:spacing w:line="240" w:lineRule="auto"/>
        <w:rPr>
          <w:rFonts w:cs="Times New Roman"/>
          <w:i/>
          <w:iCs/>
        </w:rPr>
      </w:pPr>
      <w:r w:rsidRPr="009C09F3">
        <w:rPr>
          <w:rFonts w:cs="Times New Roman"/>
          <w:i/>
          <w:iCs/>
        </w:rPr>
        <w:t>The initial expense allowance shall be the allowance provided by [insert reference to Section 5 or 5cA of the Standard Nonforfeiture Law for Life Insurance] for a fixed premium, fixed benefit endowment policy with a face amount equal to the initial face amount of the flexible premium universal life insurance policy, with level premiums paid annually until the highest attained age at which a premium may be paid under the flexible premium universal life insurance policy, and maturing on the latest maturity date permitted under the policy, if any, otherwise at the highest age in the valuation mortality table. The unused initial expense allowance shall be the excess, if any, of the initial expense allowance over the initial acquisition expense charges as defined above.</w:t>
      </w:r>
    </w:p>
    <w:p w14:paraId="1242F519" w14:textId="0EE1C186" w:rsidR="009C09F3" w:rsidRPr="009C09F3" w:rsidRDefault="009C09F3" w:rsidP="009C09F3">
      <w:pPr>
        <w:spacing w:line="240" w:lineRule="auto"/>
        <w:rPr>
          <w:rFonts w:cs="Times New Roman"/>
        </w:rPr>
      </w:pPr>
      <w:r w:rsidRPr="009C09F3">
        <w:rPr>
          <w:rFonts w:cs="Times New Roman"/>
        </w:rPr>
        <w:t>Model Law 808</w:t>
      </w:r>
      <w:r w:rsidR="00C94FC9">
        <w:rPr>
          <w:rFonts w:cs="Times New Roman"/>
        </w:rPr>
        <w:t xml:space="preserve"> (</w:t>
      </w:r>
      <w:r w:rsidR="00C94FC9" w:rsidRPr="009C09F3">
        <w:rPr>
          <w:rFonts w:cs="Times New Roman"/>
          <w:i/>
          <w:iCs/>
        </w:rPr>
        <w:t>Standard Nonforfeiture Law for Life Insurance</w:t>
      </w:r>
      <w:r w:rsidR="00C94FC9">
        <w:rPr>
          <w:rFonts w:cs="Times New Roman"/>
          <w:i/>
          <w:iCs/>
        </w:rPr>
        <w:t>)</w:t>
      </w:r>
      <w:r w:rsidRPr="009C09F3">
        <w:rPr>
          <w:rFonts w:cs="Times New Roman"/>
        </w:rPr>
        <w:t>, Section 5</w:t>
      </w:r>
      <w:r w:rsidR="00780676">
        <w:rPr>
          <w:rFonts w:cs="Times New Roman"/>
        </w:rPr>
        <w:t>.</w:t>
      </w:r>
      <w:r w:rsidRPr="009C09F3">
        <w:rPr>
          <w:rFonts w:cs="Times New Roman"/>
        </w:rPr>
        <w:t>c</w:t>
      </w:r>
      <w:r w:rsidR="00780676">
        <w:rPr>
          <w:rFonts w:cs="Times New Roman"/>
        </w:rPr>
        <w:t>.</w:t>
      </w:r>
      <w:r w:rsidRPr="009C09F3">
        <w:rPr>
          <w:rFonts w:cs="Times New Roman"/>
        </w:rPr>
        <w:t>A</w:t>
      </w:r>
      <w:r w:rsidR="00780676">
        <w:rPr>
          <w:rFonts w:cs="Times New Roman"/>
        </w:rPr>
        <w:t>.</w:t>
      </w:r>
      <w:r>
        <w:rPr>
          <w:rFonts w:cs="Times New Roman"/>
        </w:rPr>
        <w:t xml:space="preserve"> </w:t>
      </w:r>
      <w:r w:rsidR="00252539">
        <w:rPr>
          <w:rFonts w:cs="Times New Roman"/>
        </w:rPr>
        <w:t xml:space="preserve">applies because section 5 excludes policies issued after the effective date of this section. Section 5.c.A. </w:t>
      </w:r>
      <w:r>
        <w:rPr>
          <w:rFonts w:cs="Times New Roman"/>
        </w:rPr>
        <w:t>states that</w:t>
      </w:r>
      <w:r w:rsidRPr="009C09F3">
        <w:rPr>
          <w:rFonts w:cs="Times New Roman"/>
        </w:rPr>
        <w:t>:</w:t>
      </w:r>
    </w:p>
    <w:p w14:paraId="2DC17702" w14:textId="77777777" w:rsidR="009C09F3" w:rsidRPr="009C09F3" w:rsidRDefault="009C09F3" w:rsidP="009C09F3">
      <w:pPr>
        <w:spacing w:line="240" w:lineRule="auto"/>
        <w:rPr>
          <w:rFonts w:cs="Times New Roman"/>
          <w:i/>
          <w:iCs/>
        </w:rPr>
      </w:pPr>
      <w:r w:rsidRPr="009C09F3">
        <w:rPr>
          <w:rFonts w:cs="Times New Roman"/>
          <w:i/>
          <w:iCs/>
        </w:rPr>
        <w:t xml:space="preserve">This section shall apply to all policies issued on or after the operative date of this section. Except as provided in Subsection G, the adjusted premiums for any policy shall be calculated on an annual basis and shall be such uniform percentage of the respective premiums specified in the policy for each policy year, excluding amounts payable as extra premiums to cover impairments or special hazards and also excluding any uniform annual contract charge or policy fee specified in the policy in a statement of the method to be used in calculating the cash surrender values and paid-up nonforfeiture benefits, that the present value, at the date of issue of the policy, of all adjusted premiums shall be equal to the sum of: </w:t>
      </w:r>
    </w:p>
    <w:p w14:paraId="71FF40AB" w14:textId="77777777" w:rsidR="009C09F3" w:rsidRPr="009C09F3" w:rsidRDefault="009C09F3" w:rsidP="009C09F3">
      <w:pPr>
        <w:spacing w:line="240" w:lineRule="auto"/>
        <w:rPr>
          <w:rFonts w:cs="Times New Roman"/>
          <w:i/>
          <w:iCs/>
        </w:rPr>
      </w:pPr>
      <w:r w:rsidRPr="009C09F3">
        <w:rPr>
          <w:rFonts w:cs="Times New Roman"/>
          <w:i/>
          <w:iCs/>
        </w:rPr>
        <w:t xml:space="preserve">(1) The then present value of the future guaranteed benefits provided for by the policy; </w:t>
      </w:r>
    </w:p>
    <w:p w14:paraId="6860E21F" w14:textId="77777777" w:rsidR="009C09F3" w:rsidRPr="009C09F3" w:rsidRDefault="009C09F3" w:rsidP="009C09F3">
      <w:pPr>
        <w:spacing w:line="240" w:lineRule="auto"/>
        <w:rPr>
          <w:rFonts w:cs="Times New Roman"/>
          <w:i/>
          <w:iCs/>
        </w:rPr>
      </w:pPr>
      <w:r w:rsidRPr="009C09F3">
        <w:rPr>
          <w:rFonts w:cs="Times New Roman"/>
          <w:i/>
          <w:iCs/>
        </w:rPr>
        <w:t xml:space="preserve">(2) One percent of either the amount of insurance, if the insurance be uniform in amount, or the </w:t>
      </w:r>
    </w:p>
    <w:p w14:paraId="67CF9ECB" w14:textId="77777777" w:rsidR="009C09F3" w:rsidRPr="009C09F3" w:rsidRDefault="009C09F3" w:rsidP="009C09F3">
      <w:pPr>
        <w:spacing w:line="240" w:lineRule="auto"/>
        <w:rPr>
          <w:rFonts w:cs="Times New Roman"/>
          <w:i/>
          <w:iCs/>
        </w:rPr>
      </w:pPr>
      <w:r w:rsidRPr="009C09F3">
        <w:rPr>
          <w:rFonts w:cs="Times New Roman"/>
          <w:i/>
          <w:iCs/>
        </w:rPr>
        <w:t xml:space="preserve">average amount of insurance at the beginning of each of the first ten (10) policy years; and </w:t>
      </w:r>
    </w:p>
    <w:p w14:paraId="230BC24A" w14:textId="77777777" w:rsidR="009C09F3" w:rsidRPr="009C09F3" w:rsidRDefault="009C09F3" w:rsidP="009C09F3">
      <w:pPr>
        <w:spacing w:line="240" w:lineRule="auto"/>
        <w:rPr>
          <w:rFonts w:cs="Times New Roman"/>
          <w:i/>
          <w:iCs/>
        </w:rPr>
      </w:pPr>
      <w:r w:rsidRPr="009C09F3">
        <w:rPr>
          <w:rFonts w:cs="Times New Roman"/>
          <w:i/>
          <w:iCs/>
        </w:rPr>
        <w:t>(3) One hundred twenty-five percent (125%) of the nonforfeiture net level premium as hereinafter defined</w:t>
      </w:r>
      <w:proofErr w:type="gramStart"/>
      <w:r w:rsidRPr="009C09F3">
        <w:rPr>
          <w:rFonts w:cs="Times New Roman"/>
          <w:i/>
          <w:iCs/>
        </w:rPr>
        <w:t xml:space="preserve">.  </w:t>
      </w:r>
      <w:proofErr w:type="gramEnd"/>
    </w:p>
    <w:p w14:paraId="482C0778" w14:textId="293C1281" w:rsidR="009C09F3" w:rsidRPr="009C09F3" w:rsidRDefault="009C09F3" w:rsidP="009C09F3">
      <w:pPr>
        <w:spacing w:line="240" w:lineRule="auto"/>
        <w:rPr>
          <w:rFonts w:cs="Times New Roman"/>
        </w:rPr>
      </w:pPr>
      <w:r w:rsidRPr="009C09F3">
        <w:rPr>
          <w:rFonts w:cs="Times New Roman"/>
        </w:rPr>
        <w:t xml:space="preserve">The nonforfeiture net level premium </w:t>
      </w:r>
      <w:proofErr w:type="gramStart"/>
      <w:r w:rsidRPr="009C09F3">
        <w:rPr>
          <w:rFonts w:cs="Times New Roman"/>
        </w:rPr>
        <w:t>is defined</w:t>
      </w:r>
      <w:proofErr w:type="gramEnd"/>
      <w:r w:rsidRPr="009C09F3">
        <w:rPr>
          <w:rFonts w:cs="Times New Roman"/>
        </w:rPr>
        <w:t xml:space="preserve"> in Model Law 808, Section 5</w:t>
      </w:r>
      <w:r w:rsidR="00780676">
        <w:rPr>
          <w:rFonts w:cs="Times New Roman"/>
        </w:rPr>
        <w:t>.</w:t>
      </w:r>
      <w:r w:rsidRPr="009C09F3">
        <w:rPr>
          <w:rFonts w:cs="Times New Roman"/>
        </w:rPr>
        <w:t>c</w:t>
      </w:r>
      <w:r w:rsidR="00780676">
        <w:rPr>
          <w:rFonts w:cs="Times New Roman"/>
        </w:rPr>
        <w:t>.</w:t>
      </w:r>
      <w:r w:rsidRPr="009C09F3">
        <w:rPr>
          <w:rFonts w:cs="Times New Roman"/>
        </w:rPr>
        <w:t>B</w:t>
      </w:r>
      <w:r w:rsidR="00780676">
        <w:rPr>
          <w:rFonts w:cs="Times New Roman"/>
        </w:rPr>
        <w:t>.</w:t>
      </w:r>
      <w:r w:rsidRPr="009C09F3">
        <w:rPr>
          <w:rFonts w:cs="Times New Roman"/>
        </w:rPr>
        <w:t xml:space="preserve"> as follows:</w:t>
      </w:r>
    </w:p>
    <w:p w14:paraId="5C276274" w14:textId="77777777" w:rsidR="009C09F3" w:rsidRPr="009C09F3" w:rsidRDefault="009C09F3" w:rsidP="009C09F3">
      <w:pPr>
        <w:spacing w:line="240" w:lineRule="auto"/>
        <w:rPr>
          <w:rFonts w:cs="Times New Roman"/>
        </w:rPr>
      </w:pPr>
      <w:r w:rsidRPr="009C09F3">
        <w:rPr>
          <w:rFonts w:cs="Times New Roman"/>
          <w:i/>
          <w:iCs/>
        </w:rPr>
        <w:t>The nonforfeiture net level premium shall be equal to the present value, at the date of issue of the policy, of the guaranteed benefits provided for by the policy divided by the present value, at the date of issue of the policy, of an annuity of one per annum payable on the date of issue of the policy and on each anniversary of the policy on which a premium falls due.</w:t>
      </w:r>
    </w:p>
    <w:p w14:paraId="022F6214" w14:textId="22C91011" w:rsidR="009C09F3" w:rsidRPr="009C09F3" w:rsidRDefault="009C09F3" w:rsidP="009C09F3">
      <w:pPr>
        <w:spacing w:line="240" w:lineRule="auto"/>
        <w:rPr>
          <w:rFonts w:cs="Times New Roman"/>
        </w:rPr>
      </w:pPr>
      <w:r w:rsidRPr="009C09F3">
        <w:rPr>
          <w:rFonts w:cs="Times New Roman"/>
        </w:rPr>
        <w:t xml:space="preserve">The basis of interest used in the Net Level Premium </w:t>
      </w:r>
      <w:proofErr w:type="gramStart"/>
      <w:r w:rsidRPr="009C09F3">
        <w:rPr>
          <w:rFonts w:cs="Times New Roman"/>
        </w:rPr>
        <w:t>is defined</w:t>
      </w:r>
      <w:proofErr w:type="gramEnd"/>
      <w:r w:rsidRPr="009C09F3">
        <w:rPr>
          <w:rFonts w:cs="Times New Roman"/>
        </w:rPr>
        <w:t xml:space="preserve"> in Model Law 808, Section 5</w:t>
      </w:r>
      <w:r w:rsidR="00780676">
        <w:rPr>
          <w:rFonts w:cs="Times New Roman"/>
        </w:rPr>
        <w:t>.</w:t>
      </w:r>
      <w:r w:rsidRPr="009C09F3">
        <w:rPr>
          <w:rFonts w:cs="Times New Roman"/>
        </w:rPr>
        <w:t>c</w:t>
      </w:r>
      <w:r w:rsidR="00780676">
        <w:rPr>
          <w:rFonts w:cs="Times New Roman"/>
        </w:rPr>
        <w:t>.</w:t>
      </w:r>
      <w:r w:rsidRPr="009C09F3">
        <w:rPr>
          <w:rFonts w:cs="Times New Roman"/>
        </w:rPr>
        <w:t>H</w:t>
      </w:r>
      <w:r w:rsidR="00780676">
        <w:rPr>
          <w:rFonts w:cs="Times New Roman"/>
        </w:rPr>
        <w:t>.</w:t>
      </w:r>
      <w:r w:rsidRPr="009C09F3">
        <w:rPr>
          <w:rFonts w:cs="Times New Roman"/>
        </w:rPr>
        <w:t xml:space="preserve"> as follows:</w:t>
      </w:r>
    </w:p>
    <w:p w14:paraId="6ED24B3E" w14:textId="1CC9C139" w:rsidR="009C09F3" w:rsidRPr="009C09F3" w:rsidRDefault="009C09F3" w:rsidP="009C09F3">
      <w:pPr>
        <w:spacing w:line="240" w:lineRule="auto"/>
        <w:rPr>
          <w:rFonts w:cs="Times New Roman"/>
          <w:i/>
          <w:iCs/>
        </w:rPr>
      </w:pPr>
      <w:r w:rsidRPr="009C09F3">
        <w:rPr>
          <w:rFonts w:cs="Times New Roman"/>
          <w:i/>
          <w:iCs/>
        </w:rPr>
        <w:t xml:space="preserve">All adjusted premiums and present values referred to in this Act … shall for all policies issued in a particular calendar year be calculated </w:t>
      </w:r>
      <w:proofErr w:type="gramStart"/>
      <w:r w:rsidRPr="009C09F3">
        <w:rPr>
          <w:rFonts w:cs="Times New Roman"/>
          <w:i/>
          <w:iCs/>
        </w:rPr>
        <w:t>on the basis of</w:t>
      </w:r>
      <w:proofErr w:type="gramEnd"/>
      <w:r w:rsidRPr="009C09F3">
        <w:rPr>
          <w:rFonts w:cs="Times New Roman"/>
          <w:i/>
          <w:iCs/>
        </w:rPr>
        <w:t xml:space="preserve"> </w:t>
      </w:r>
      <w:r w:rsidRPr="009C09F3">
        <w:rPr>
          <w:rFonts w:cs="Times New Roman"/>
          <w:b/>
          <w:bCs/>
          <w:i/>
          <w:iCs/>
        </w:rPr>
        <w:t>a rate of interest not exceeding the nonforfeiture interest rate as defined in this section, for policies issued in that calendar ye</w:t>
      </w:r>
      <w:r w:rsidR="00780676">
        <w:rPr>
          <w:rFonts w:cs="Times New Roman"/>
          <w:b/>
          <w:bCs/>
          <w:i/>
          <w:iCs/>
        </w:rPr>
        <w:t>ar…</w:t>
      </w:r>
      <w:r>
        <w:rPr>
          <w:rFonts w:cs="Times New Roman"/>
          <w:i/>
          <w:iCs/>
        </w:rPr>
        <w:t xml:space="preserve"> (emphasis added)</w:t>
      </w:r>
    </w:p>
    <w:p w14:paraId="75DCE551" w14:textId="7C0F3A56" w:rsidR="009C09F3" w:rsidRPr="009C09F3" w:rsidRDefault="00780676" w:rsidP="009C09F3">
      <w:pPr>
        <w:spacing w:line="240" w:lineRule="auto"/>
        <w:rPr>
          <w:rFonts w:cs="Times New Roman"/>
        </w:rPr>
      </w:pPr>
      <w:r>
        <w:rPr>
          <w:rFonts w:cs="Times New Roman"/>
        </w:rPr>
        <w:t>Therefore, any interest rate used in the initial expense allowance not exceeding the nonforfeiture interest rate would comply with Model 585</w:t>
      </w:r>
      <w:r w:rsidR="0086250A">
        <w:rPr>
          <w:rFonts w:cs="Times New Roman"/>
        </w:rPr>
        <w:t xml:space="preserve">, and </w:t>
      </w:r>
      <w:r w:rsidR="004154AC">
        <w:rPr>
          <w:rFonts w:cs="Times New Roman"/>
        </w:rPr>
        <w:t>guidance that proposed using</w:t>
      </w:r>
      <w:r>
        <w:rPr>
          <w:rFonts w:cs="Times New Roman"/>
        </w:rPr>
        <w:t xml:space="preserve"> the highest </w:t>
      </w:r>
      <w:r w:rsidR="0086250A">
        <w:rPr>
          <w:rFonts w:cs="Times New Roman"/>
        </w:rPr>
        <w:t xml:space="preserve">guaranteed </w:t>
      </w:r>
      <w:r>
        <w:rPr>
          <w:rFonts w:cs="Times New Roman"/>
        </w:rPr>
        <w:t>interest rate</w:t>
      </w:r>
      <w:r w:rsidR="0086250A">
        <w:rPr>
          <w:rFonts w:cs="Times New Roman"/>
        </w:rPr>
        <w:t xml:space="preserve"> (or rates)</w:t>
      </w:r>
      <w:r>
        <w:rPr>
          <w:rFonts w:cs="Times New Roman"/>
        </w:rPr>
        <w:t xml:space="preserve">, when there are multiple sets of guarantees </w:t>
      </w:r>
      <w:r w:rsidR="00867075">
        <w:rPr>
          <w:rFonts w:cs="Times New Roman"/>
        </w:rPr>
        <w:t>would also satisfy the requirements of the model.</w:t>
      </w:r>
      <w:r>
        <w:rPr>
          <w:rFonts w:cs="Times New Roman"/>
        </w:rPr>
        <w:t xml:space="preserve"> </w:t>
      </w:r>
    </w:p>
    <w:p w14:paraId="20702450" w14:textId="6F46EC36" w:rsidR="00B453F5" w:rsidRPr="00B453F5" w:rsidRDefault="00B453F5" w:rsidP="00B453F5">
      <w:pPr>
        <w:spacing w:line="240" w:lineRule="auto"/>
      </w:pPr>
      <w:r>
        <w:rPr>
          <w:rFonts w:cs="Times New Roman"/>
        </w:rPr>
        <w:t>Not only do w</w:t>
      </w:r>
      <w:r w:rsidRPr="740F3BAD">
        <w:rPr>
          <w:rFonts w:cs="Times New Roman"/>
        </w:rPr>
        <w:t xml:space="preserve">e believe that a simplified approach is </w:t>
      </w:r>
      <w:r>
        <w:rPr>
          <w:rFonts w:cs="Times New Roman"/>
        </w:rPr>
        <w:t>justifiable</w:t>
      </w:r>
      <w:r w:rsidRPr="740F3BAD">
        <w:rPr>
          <w:rFonts w:cs="Times New Roman"/>
        </w:rPr>
        <w:t xml:space="preserve">, </w:t>
      </w:r>
      <w:r>
        <w:rPr>
          <w:rFonts w:cs="Times New Roman"/>
        </w:rPr>
        <w:t xml:space="preserve">without this simplification, </w:t>
      </w:r>
      <w:r w:rsidRPr="740F3BAD">
        <w:rPr>
          <w:rFonts w:cs="Times New Roman"/>
        </w:rPr>
        <w:t xml:space="preserve">the APF, as written, could require a significant amount of additional work with a de minimis benefit, which could impact the availability of products in the market. Demonstrating compliance with </w:t>
      </w:r>
      <w:r>
        <w:t xml:space="preserve">Model #585 takes a significant amount of model run-time, sometimes days of computing time. The demonstration must </w:t>
      </w:r>
      <w:proofErr w:type="gramStart"/>
      <w:r>
        <w:t>be run</w:t>
      </w:r>
      <w:proofErr w:type="gramEnd"/>
      <w:r>
        <w:t xml:space="preserve"> multiple times as product rates are refined in the final stages of pricing/repricing a product. This </w:t>
      </w:r>
      <w:r>
        <w:lastRenderedPageBreak/>
        <w:t xml:space="preserve">timeline </w:t>
      </w:r>
      <w:proofErr w:type="gramStart"/>
      <w:r>
        <w:t>is exacerbated</w:t>
      </w:r>
      <w:proofErr w:type="gramEnd"/>
      <w:r>
        <w:t xml:space="preserve"> for survivorship products with many more combinations of insureds. The proposed safe harbor is sufficient to ensure compliance with Model 585</w:t>
      </w:r>
      <w:r w:rsidR="00150EB1">
        <w:t>,</w:t>
      </w:r>
      <w:r>
        <w:t xml:space="preserve"> while maintaining a reasonable level of burden on </w:t>
      </w:r>
      <w:r w:rsidR="00150EB1">
        <w:t>insurers when testing rates and providing demonstrations</w:t>
      </w:r>
      <w:r w:rsidR="006650C7">
        <w:t>, and therefore we support this approach.</w:t>
      </w:r>
    </w:p>
    <w:p w14:paraId="3A6CA23A" w14:textId="11A77A47" w:rsidR="00AC46D1" w:rsidRDefault="00AC46D1" w:rsidP="00AC46D1">
      <w:pPr>
        <w:spacing w:after="0" w:line="240" w:lineRule="auto"/>
        <w:rPr>
          <w:rFonts w:cs="Times New Roman"/>
        </w:rPr>
      </w:pPr>
      <w:r>
        <w:rPr>
          <w:rFonts w:cs="Times New Roman"/>
        </w:rPr>
        <w:t>Sincerely,</w:t>
      </w:r>
    </w:p>
    <w:p w14:paraId="13E38352" w14:textId="77777777" w:rsidR="00AC46D1" w:rsidRDefault="00AC46D1" w:rsidP="00AC46D1">
      <w:pPr>
        <w:spacing w:after="0" w:line="240" w:lineRule="auto"/>
        <w:rPr>
          <w:rFonts w:cs="Times New Roman"/>
        </w:rPr>
      </w:pPr>
    </w:p>
    <w:p w14:paraId="5D2BFB22" w14:textId="05956A00" w:rsidR="00AC46D1" w:rsidRPr="002937D8" w:rsidRDefault="00AC46D1" w:rsidP="00AC46D1">
      <w:pPr>
        <w:rPr>
          <w:color w:val="FF0000"/>
        </w:rPr>
      </w:pPr>
      <w:r w:rsidRPr="00A64955">
        <w:rPr>
          <w:noProof/>
        </w:rPr>
        <w:drawing>
          <wp:inline distT="0" distB="0" distL="0" distR="0" wp14:anchorId="3F849A9B" wp14:editId="20C6BB50">
            <wp:extent cx="1633171" cy="364456"/>
            <wp:effectExtent l="0" t="0" r="5715" b="0"/>
            <wp:docPr id="1031895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2315" cy="370960"/>
                    </a:xfrm>
                    <a:prstGeom prst="rect">
                      <a:avLst/>
                    </a:prstGeom>
                    <a:noFill/>
                    <a:ln>
                      <a:noFill/>
                    </a:ln>
                  </pic:spPr>
                </pic:pic>
              </a:graphicData>
            </a:graphic>
          </wp:inline>
        </w:drawing>
      </w:r>
      <w:r w:rsidR="002937D8">
        <w:t xml:space="preserve">, </w:t>
      </w:r>
      <w:r w:rsidR="00306761" w:rsidRPr="00E61BD2">
        <w:rPr>
          <w:rFonts w:ascii="Times" w:hAnsi="Times"/>
          <w:noProof/>
        </w:rPr>
        <w:drawing>
          <wp:inline distT="0" distB="0" distL="0" distR="0" wp14:anchorId="31C4D119" wp14:editId="67EE9054">
            <wp:extent cx="1647825" cy="393902"/>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2853" cy="402275"/>
                    </a:xfrm>
                    <a:prstGeom prst="rect">
                      <a:avLst/>
                    </a:prstGeom>
                    <a:noFill/>
                    <a:ln>
                      <a:noFill/>
                    </a:ln>
                  </pic:spPr>
                </pic:pic>
              </a:graphicData>
            </a:graphic>
          </wp:inline>
        </w:drawing>
      </w:r>
    </w:p>
    <w:p w14:paraId="72CF641D" w14:textId="48546840" w:rsidR="00077491" w:rsidRDefault="00077491" w:rsidP="00077491">
      <w:pPr>
        <w:spacing w:line="240" w:lineRule="auto"/>
        <w:rPr>
          <w:rFonts w:cs="Times New Roman"/>
        </w:rPr>
      </w:pPr>
      <w:r w:rsidRPr="00541DD5">
        <w:rPr>
          <w:rFonts w:cs="Times New Roman"/>
        </w:rPr>
        <w:t>cc: Scott O’Neal, NAIC</w:t>
      </w:r>
      <w:bookmarkStart w:id="0" w:name="StartingPoint"/>
      <w:bookmarkEnd w:id="0"/>
    </w:p>
    <w:p w14:paraId="62527305" w14:textId="62CC40DA" w:rsidR="00F460A2" w:rsidRDefault="00BD281B" w:rsidP="0068696F">
      <w:pPr>
        <w:rPr>
          <w:rFonts w:cs="Times New Roman"/>
        </w:rPr>
      </w:pPr>
      <w:r>
        <w:rPr>
          <w:rFonts w:cs="Times New Roman"/>
        </w:rPr>
        <w:br w:type="page"/>
      </w:r>
    </w:p>
    <w:p w14:paraId="1DBC3A4A" w14:textId="77777777" w:rsidR="00F460A2" w:rsidRDefault="00F460A2" w:rsidP="00F460A2">
      <w:pPr>
        <w:spacing w:after="0"/>
      </w:pPr>
    </w:p>
    <w:sectPr w:rsidR="00F460A2" w:rsidSect="005E79F8">
      <w:footerReference w:type="even" r:id="rId11"/>
      <w:footerReference w:type="default" r:id="rId12"/>
      <w:footerReference w:type="firs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B7730" w14:textId="77777777" w:rsidR="00A6394F" w:rsidRDefault="00A6394F" w:rsidP="003013C9">
      <w:pPr>
        <w:spacing w:after="0" w:line="240" w:lineRule="auto"/>
      </w:pPr>
      <w:r>
        <w:separator/>
      </w:r>
    </w:p>
  </w:endnote>
  <w:endnote w:type="continuationSeparator" w:id="0">
    <w:p w14:paraId="5ECAD6FE" w14:textId="77777777" w:rsidR="00A6394F" w:rsidRDefault="00A6394F" w:rsidP="003013C9">
      <w:pPr>
        <w:spacing w:after="0" w:line="240" w:lineRule="auto"/>
      </w:pPr>
      <w:r>
        <w:continuationSeparator/>
      </w:r>
    </w:p>
  </w:endnote>
  <w:endnote w:type="continuationNotice" w:id="1">
    <w:p w14:paraId="63BFC45E" w14:textId="77777777" w:rsidR="00A6394F" w:rsidRDefault="00A639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D3B55" w14:textId="4E34BAA9" w:rsidR="003013C9" w:rsidRDefault="003013C9">
    <w:pPr>
      <w:pStyle w:val="Footer"/>
    </w:pPr>
    <w:r>
      <w:rPr>
        <w:noProof/>
      </w:rPr>
      <mc:AlternateContent>
        <mc:Choice Requires="wps">
          <w:drawing>
            <wp:anchor distT="0" distB="0" distL="0" distR="0" simplePos="0" relativeHeight="251658241" behindDoc="0" locked="0" layoutInCell="1" allowOverlap="1" wp14:anchorId="57E9CE85" wp14:editId="78939BB2">
              <wp:simplePos x="635" y="635"/>
              <wp:positionH relativeFrom="page">
                <wp:align>center</wp:align>
              </wp:positionH>
              <wp:positionV relativeFrom="page">
                <wp:align>bottom</wp:align>
              </wp:positionV>
              <wp:extent cx="443865" cy="443865"/>
              <wp:effectExtent l="0" t="0" r="14605" b="0"/>
              <wp:wrapNone/>
              <wp:docPr id="1402133096"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68C123" w14:textId="5FC631F5" w:rsidR="003013C9" w:rsidRPr="003013C9" w:rsidRDefault="003013C9" w:rsidP="003013C9">
                          <w:pPr>
                            <w:spacing w:after="0"/>
                            <w:rPr>
                              <w:rFonts w:ascii="Calibri" w:eastAsia="Calibri" w:hAnsi="Calibri" w:cs="Calibri"/>
                              <w:noProof/>
                              <w:color w:val="000000"/>
                              <w:sz w:val="20"/>
                              <w:szCs w:val="20"/>
                            </w:rPr>
                          </w:pPr>
                          <w:r w:rsidRPr="003013C9">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E9CE85" id="_x0000_t202" coordsize="21600,21600" o:spt="202" path="m,l,21600r21600,l21600,xe">
              <v:stroke joinstyle="miter"/>
              <v:path gradientshapeok="t" o:connecttype="rect"/>
            </v:shapetype>
            <v:shape id="Text Box 3" o:spid="_x0000_s1026" type="#_x0000_t202" alt="CONFIDENT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A68C123" w14:textId="5FC631F5" w:rsidR="003013C9" w:rsidRPr="003013C9" w:rsidRDefault="003013C9" w:rsidP="003013C9">
                    <w:pPr>
                      <w:spacing w:after="0"/>
                      <w:rPr>
                        <w:rFonts w:ascii="Calibri" w:eastAsia="Calibri" w:hAnsi="Calibri" w:cs="Calibri"/>
                        <w:noProof/>
                        <w:color w:val="000000"/>
                        <w:sz w:val="20"/>
                        <w:szCs w:val="20"/>
                      </w:rPr>
                    </w:pPr>
                    <w:r w:rsidRPr="003013C9">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8646" w14:textId="25D80C61" w:rsidR="003013C9" w:rsidRDefault="003013C9">
    <w:pPr>
      <w:pStyle w:val="Footer"/>
    </w:pPr>
    <w:r>
      <w:rPr>
        <w:noProof/>
      </w:rPr>
      <mc:AlternateContent>
        <mc:Choice Requires="wps">
          <w:drawing>
            <wp:anchor distT="0" distB="0" distL="0" distR="0" simplePos="0" relativeHeight="251658242" behindDoc="0" locked="0" layoutInCell="1" allowOverlap="1" wp14:anchorId="6C5FBDF3" wp14:editId="0D8A6F06">
              <wp:simplePos x="914400" y="9429750"/>
              <wp:positionH relativeFrom="page">
                <wp:align>center</wp:align>
              </wp:positionH>
              <wp:positionV relativeFrom="page">
                <wp:align>bottom</wp:align>
              </wp:positionV>
              <wp:extent cx="443865" cy="443865"/>
              <wp:effectExtent l="0" t="0" r="14605" b="0"/>
              <wp:wrapNone/>
              <wp:docPr id="967033070"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59C3D1" w14:textId="77BA2561" w:rsidR="003013C9" w:rsidRPr="003013C9" w:rsidRDefault="003013C9" w:rsidP="003013C9">
                          <w:pPr>
                            <w:spacing w:after="0"/>
                            <w:rPr>
                              <w:rFonts w:ascii="Calibri" w:eastAsia="Calibri" w:hAnsi="Calibri" w:cs="Calibri"/>
                              <w:noProof/>
                              <w:color w:val="000000"/>
                              <w:sz w:val="20"/>
                              <w:szCs w:val="20"/>
                            </w:rPr>
                          </w:pPr>
                          <w:r w:rsidRPr="003013C9">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5FBDF3" id="_x0000_t202" coordsize="21600,21600" o:spt="202" path="m,l,21600r21600,l21600,xe">
              <v:stroke joinstyle="miter"/>
              <v:path gradientshapeok="t" o:connecttype="rect"/>
            </v:shapetype>
            <v:shape id="Text Box 4" o:spid="_x0000_s1027" type="#_x0000_t202" alt="CONFIDENT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D59C3D1" w14:textId="77BA2561" w:rsidR="003013C9" w:rsidRPr="003013C9" w:rsidRDefault="003013C9" w:rsidP="003013C9">
                    <w:pPr>
                      <w:spacing w:after="0"/>
                      <w:rPr>
                        <w:rFonts w:ascii="Calibri" w:eastAsia="Calibri" w:hAnsi="Calibri" w:cs="Calibri"/>
                        <w:noProof/>
                        <w:color w:val="000000"/>
                        <w:sz w:val="20"/>
                        <w:szCs w:val="20"/>
                      </w:rPr>
                    </w:pPr>
                    <w:r w:rsidRPr="003013C9">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A4C4" w14:textId="6D82D7CE" w:rsidR="003013C9" w:rsidRDefault="003013C9">
    <w:pPr>
      <w:pStyle w:val="Footer"/>
    </w:pPr>
    <w:r>
      <w:rPr>
        <w:noProof/>
      </w:rPr>
      <mc:AlternateContent>
        <mc:Choice Requires="wps">
          <w:drawing>
            <wp:anchor distT="0" distB="0" distL="0" distR="0" simplePos="0" relativeHeight="251658240" behindDoc="0" locked="0" layoutInCell="1" allowOverlap="1" wp14:anchorId="4F9DD89F" wp14:editId="6D22D26A">
              <wp:simplePos x="635" y="635"/>
              <wp:positionH relativeFrom="page">
                <wp:align>center</wp:align>
              </wp:positionH>
              <wp:positionV relativeFrom="page">
                <wp:align>bottom</wp:align>
              </wp:positionV>
              <wp:extent cx="443865" cy="443865"/>
              <wp:effectExtent l="0" t="0" r="14605" b="0"/>
              <wp:wrapNone/>
              <wp:docPr id="1156888926"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2B9D41" w14:textId="5D3C907E" w:rsidR="003013C9" w:rsidRPr="003013C9" w:rsidRDefault="003013C9" w:rsidP="003013C9">
                          <w:pPr>
                            <w:spacing w:after="0"/>
                            <w:rPr>
                              <w:rFonts w:ascii="Calibri" w:eastAsia="Calibri" w:hAnsi="Calibri" w:cs="Calibri"/>
                              <w:noProof/>
                              <w:color w:val="000000"/>
                              <w:sz w:val="20"/>
                              <w:szCs w:val="20"/>
                            </w:rPr>
                          </w:pPr>
                          <w:r w:rsidRPr="003013C9">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9DD89F" id="_x0000_t202" coordsize="21600,21600" o:spt="202" path="m,l,21600r21600,l21600,xe">
              <v:stroke joinstyle="miter"/>
              <v:path gradientshapeok="t" o:connecttype="rect"/>
            </v:shapetype>
            <v:shape id="Text Box 2" o:spid="_x0000_s1028" type="#_x0000_t202" alt="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D2B9D41" w14:textId="5D3C907E" w:rsidR="003013C9" w:rsidRPr="003013C9" w:rsidRDefault="003013C9" w:rsidP="003013C9">
                    <w:pPr>
                      <w:spacing w:after="0"/>
                      <w:rPr>
                        <w:rFonts w:ascii="Calibri" w:eastAsia="Calibri" w:hAnsi="Calibri" w:cs="Calibri"/>
                        <w:noProof/>
                        <w:color w:val="000000"/>
                        <w:sz w:val="20"/>
                        <w:szCs w:val="20"/>
                      </w:rPr>
                    </w:pPr>
                    <w:r w:rsidRPr="003013C9">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DAB2" w14:textId="77777777" w:rsidR="00A6394F" w:rsidRDefault="00A6394F" w:rsidP="003013C9">
      <w:pPr>
        <w:spacing w:after="0" w:line="240" w:lineRule="auto"/>
      </w:pPr>
      <w:r>
        <w:separator/>
      </w:r>
    </w:p>
  </w:footnote>
  <w:footnote w:type="continuationSeparator" w:id="0">
    <w:p w14:paraId="4B068551" w14:textId="77777777" w:rsidR="00A6394F" w:rsidRDefault="00A6394F" w:rsidP="003013C9">
      <w:pPr>
        <w:spacing w:after="0" w:line="240" w:lineRule="auto"/>
      </w:pPr>
      <w:r>
        <w:continuationSeparator/>
      </w:r>
    </w:p>
  </w:footnote>
  <w:footnote w:type="continuationNotice" w:id="1">
    <w:p w14:paraId="1C44B5A9" w14:textId="77777777" w:rsidR="00A6394F" w:rsidRDefault="00A639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56A4"/>
    <w:multiLevelType w:val="hybridMultilevel"/>
    <w:tmpl w:val="1916B954"/>
    <w:lvl w:ilvl="0" w:tplc="54EC7228">
      <w:start w:val="1"/>
      <w:numFmt w:val="bullet"/>
      <w:lvlText w:val="•"/>
      <w:lvlJc w:val="left"/>
      <w:pPr>
        <w:tabs>
          <w:tab w:val="num" w:pos="720"/>
        </w:tabs>
        <w:ind w:left="720" w:hanging="360"/>
      </w:pPr>
      <w:rPr>
        <w:rFonts w:ascii="Arial" w:hAnsi="Arial" w:hint="default"/>
      </w:rPr>
    </w:lvl>
    <w:lvl w:ilvl="1" w:tplc="D1DEEC56">
      <w:numFmt w:val="bullet"/>
      <w:lvlText w:val="•"/>
      <w:lvlJc w:val="left"/>
      <w:pPr>
        <w:tabs>
          <w:tab w:val="num" w:pos="1440"/>
        </w:tabs>
        <w:ind w:left="1440" w:hanging="360"/>
      </w:pPr>
      <w:rPr>
        <w:rFonts w:ascii="Arial" w:hAnsi="Arial" w:hint="default"/>
      </w:rPr>
    </w:lvl>
    <w:lvl w:ilvl="2" w:tplc="56102E5A">
      <w:numFmt w:val="bullet"/>
      <w:lvlText w:val="•"/>
      <w:lvlJc w:val="left"/>
      <w:pPr>
        <w:tabs>
          <w:tab w:val="num" w:pos="2160"/>
        </w:tabs>
        <w:ind w:left="2160" w:hanging="360"/>
      </w:pPr>
      <w:rPr>
        <w:rFonts w:ascii="Arial" w:hAnsi="Arial" w:hint="default"/>
      </w:rPr>
    </w:lvl>
    <w:lvl w:ilvl="3" w:tplc="BC603F24" w:tentative="1">
      <w:start w:val="1"/>
      <w:numFmt w:val="bullet"/>
      <w:lvlText w:val="•"/>
      <w:lvlJc w:val="left"/>
      <w:pPr>
        <w:tabs>
          <w:tab w:val="num" w:pos="2880"/>
        </w:tabs>
        <w:ind w:left="2880" w:hanging="360"/>
      </w:pPr>
      <w:rPr>
        <w:rFonts w:ascii="Arial" w:hAnsi="Arial" w:hint="default"/>
      </w:rPr>
    </w:lvl>
    <w:lvl w:ilvl="4" w:tplc="A56EDDF8" w:tentative="1">
      <w:start w:val="1"/>
      <w:numFmt w:val="bullet"/>
      <w:lvlText w:val="•"/>
      <w:lvlJc w:val="left"/>
      <w:pPr>
        <w:tabs>
          <w:tab w:val="num" w:pos="3600"/>
        </w:tabs>
        <w:ind w:left="3600" w:hanging="360"/>
      </w:pPr>
      <w:rPr>
        <w:rFonts w:ascii="Arial" w:hAnsi="Arial" w:hint="default"/>
      </w:rPr>
    </w:lvl>
    <w:lvl w:ilvl="5" w:tplc="0A0605A0" w:tentative="1">
      <w:start w:val="1"/>
      <w:numFmt w:val="bullet"/>
      <w:lvlText w:val="•"/>
      <w:lvlJc w:val="left"/>
      <w:pPr>
        <w:tabs>
          <w:tab w:val="num" w:pos="4320"/>
        </w:tabs>
        <w:ind w:left="4320" w:hanging="360"/>
      </w:pPr>
      <w:rPr>
        <w:rFonts w:ascii="Arial" w:hAnsi="Arial" w:hint="default"/>
      </w:rPr>
    </w:lvl>
    <w:lvl w:ilvl="6" w:tplc="0C8CB89A" w:tentative="1">
      <w:start w:val="1"/>
      <w:numFmt w:val="bullet"/>
      <w:lvlText w:val="•"/>
      <w:lvlJc w:val="left"/>
      <w:pPr>
        <w:tabs>
          <w:tab w:val="num" w:pos="5040"/>
        </w:tabs>
        <w:ind w:left="5040" w:hanging="360"/>
      </w:pPr>
      <w:rPr>
        <w:rFonts w:ascii="Arial" w:hAnsi="Arial" w:hint="default"/>
      </w:rPr>
    </w:lvl>
    <w:lvl w:ilvl="7" w:tplc="84ECC6A0" w:tentative="1">
      <w:start w:val="1"/>
      <w:numFmt w:val="bullet"/>
      <w:lvlText w:val="•"/>
      <w:lvlJc w:val="left"/>
      <w:pPr>
        <w:tabs>
          <w:tab w:val="num" w:pos="5760"/>
        </w:tabs>
        <w:ind w:left="5760" w:hanging="360"/>
      </w:pPr>
      <w:rPr>
        <w:rFonts w:ascii="Arial" w:hAnsi="Arial" w:hint="default"/>
      </w:rPr>
    </w:lvl>
    <w:lvl w:ilvl="8" w:tplc="9C5AB1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1F473F"/>
    <w:multiLevelType w:val="hybridMultilevel"/>
    <w:tmpl w:val="0DE8CCC6"/>
    <w:lvl w:ilvl="0" w:tplc="7954E664">
      <w:start w:val="1"/>
      <w:numFmt w:val="bullet"/>
      <w:lvlText w:val="•"/>
      <w:lvlJc w:val="left"/>
      <w:pPr>
        <w:tabs>
          <w:tab w:val="num" w:pos="720"/>
        </w:tabs>
        <w:ind w:left="720" w:hanging="360"/>
      </w:pPr>
      <w:rPr>
        <w:rFonts w:ascii="Arial" w:hAnsi="Arial" w:hint="default"/>
      </w:rPr>
    </w:lvl>
    <w:lvl w:ilvl="1" w:tplc="2A1A9ECE">
      <w:start w:val="1"/>
      <w:numFmt w:val="bullet"/>
      <w:lvlText w:val="•"/>
      <w:lvlJc w:val="left"/>
      <w:pPr>
        <w:tabs>
          <w:tab w:val="num" w:pos="1440"/>
        </w:tabs>
        <w:ind w:left="1440" w:hanging="360"/>
      </w:pPr>
      <w:rPr>
        <w:rFonts w:ascii="Arial" w:hAnsi="Arial" w:hint="default"/>
      </w:rPr>
    </w:lvl>
    <w:lvl w:ilvl="2" w:tplc="E1261DB4">
      <w:numFmt w:val="bullet"/>
      <w:lvlText w:val="•"/>
      <w:lvlJc w:val="left"/>
      <w:pPr>
        <w:tabs>
          <w:tab w:val="num" w:pos="2160"/>
        </w:tabs>
        <w:ind w:left="2160" w:hanging="360"/>
      </w:pPr>
      <w:rPr>
        <w:rFonts w:ascii="Arial" w:hAnsi="Arial" w:hint="default"/>
      </w:rPr>
    </w:lvl>
    <w:lvl w:ilvl="3" w:tplc="F7AE58DC">
      <w:numFmt w:val="bullet"/>
      <w:lvlText w:val="•"/>
      <w:lvlJc w:val="left"/>
      <w:pPr>
        <w:tabs>
          <w:tab w:val="num" w:pos="2880"/>
        </w:tabs>
        <w:ind w:left="2880" w:hanging="360"/>
      </w:pPr>
      <w:rPr>
        <w:rFonts w:ascii="Arial" w:hAnsi="Arial" w:hint="default"/>
      </w:rPr>
    </w:lvl>
    <w:lvl w:ilvl="4" w:tplc="54E0A87E" w:tentative="1">
      <w:start w:val="1"/>
      <w:numFmt w:val="bullet"/>
      <w:lvlText w:val="•"/>
      <w:lvlJc w:val="left"/>
      <w:pPr>
        <w:tabs>
          <w:tab w:val="num" w:pos="3600"/>
        </w:tabs>
        <w:ind w:left="3600" w:hanging="360"/>
      </w:pPr>
      <w:rPr>
        <w:rFonts w:ascii="Arial" w:hAnsi="Arial" w:hint="default"/>
      </w:rPr>
    </w:lvl>
    <w:lvl w:ilvl="5" w:tplc="7DF6C320" w:tentative="1">
      <w:start w:val="1"/>
      <w:numFmt w:val="bullet"/>
      <w:lvlText w:val="•"/>
      <w:lvlJc w:val="left"/>
      <w:pPr>
        <w:tabs>
          <w:tab w:val="num" w:pos="4320"/>
        </w:tabs>
        <w:ind w:left="4320" w:hanging="360"/>
      </w:pPr>
      <w:rPr>
        <w:rFonts w:ascii="Arial" w:hAnsi="Arial" w:hint="default"/>
      </w:rPr>
    </w:lvl>
    <w:lvl w:ilvl="6" w:tplc="2E04B8C4" w:tentative="1">
      <w:start w:val="1"/>
      <w:numFmt w:val="bullet"/>
      <w:lvlText w:val="•"/>
      <w:lvlJc w:val="left"/>
      <w:pPr>
        <w:tabs>
          <w:tab w:val="num" w:pos="5040"/>
        </w:tabs>
        <w:ind w:left="5040" w:hanging="360"/>
      </w:pPr>
      <w:rPr>
        <w:rFonts w:ascii="Arial" w:hAnsi="Arial" w:hint="default"/>
      </w:rPr>
    </w:lvl>
    <w:lvl w:ilvl="7" w:tplc="A85EA1B8" w:tentative="1">
      <w:start w:val="1"/>
      <w:numFmt w:val="bullet"/>
      <w:lvlText w:val="•"/>
      <w:lvlJc w:val="left"/>
      <w:pPr>
        <w:tabs>
          <w:tab w:val="num" w:pos="5760"/>
        </w:tabs>
        <w:ind w:left="5760" w:hanging="360"/>
      </w:pPr>
      <w:rPr>
        <w:rFonts w:ascii="Arial" w:hAnsi="Arial" w:hint="default"/>
      </w:rPr>
    </w:lvl>
    <w:lvl w:ilvl="8" w:tplc="99FCE5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AF7664B"/>
    <w:multiLevelType w:val="hybridMultilevel"/>
    <w:tmpl w:val="FFFFFFFF"/>
    <w:lvl w:ilvl="0" w:tplc="CACC8698">
      <w:start w:val="1"/>
      <w:numFmt w:val="bullet"/>
      <w:lvlText w:val="-"/>
      <w:lvlJc w:val="left"/>
      <w:pPr>
        <w:ind w:left="720" w:hanging="360"/>
      </w:pPr>
      <w:rPr>
        <w:rFonts w:ascii="Aptos" w:hAnsi="Aptos" w:hint="default"/>
      </w:rPr>
    </w:lvl>
    <w:lvl w:ilvl="1" w:tplc="E52C6230">
      <w:start w:val="1"/>
      <w:numFmt w:val="bullet"/>
      <w:lvlText w:val="o"/>
      <w:lvlJc w:val="left"/>
      <w:pPr>
        <w:ind w:left="1440" w:hanging="360"/>
      </w:pPr>
      <w:rPr>
        <w:rFonts w:ascii="Courier New" w:hAnsi="Courier New" w:hint="default"/>
      </w:rPr>
    </w:lvl>
    <w:lvl w:ilvl="2" w:tplc="1F52DB46">
      <w:start w:val="1"/>
      <w:numFmt w:val="bullet"/>
      <w:lvlText w:val=""/>
      <w:lvlJc w:val="left"/>
      <w:pPr>
        <w:ind w:left="2160" w:hanging="360"/>
      </w:pPr>
      <w:rPr>
        <w:rFonts w:ascii="Wingdings" w:hAnsi="Wingdings" w:hint="default"/>
      </w:rPr>
    </w:lvl>
    <w:lvl w:ilvl="3" w:tplc="94A04586">
      <w:start w:val="1"/>
      <w:numFmt w:val="bullet"/>
      <w:lvlText w:val=""/>
      <w:lvlJc w:val="left"/>
      <w:pPr>
        <w:ind w:left="2880" w:hanging="360"/>
      </w:pPr>
      <w:rPr>
        <w:rFonts w:ascii="Symbol" w:hAnsi="Symbol" w:hint="default"/>
      </w:rPr>
    </w:lvl>
    <w:lvl w:ilvl="4" w:tplc="70EA51A4">
      <w:start w:val="1"/>
      <w:numFmt w:val="bullet"/>
      <w:lvlText w:val="o"/>
      <w:lvlJc w:val="left"/>
      <w:pPr>
        <w:ind w:left="3600" w:hanging="360"/>
      </w:pPr>
      <w:rPr>
        <w:rFonts w:ascii="Courier New" w:hAnsi="Courier New" w:hint="default"/>
      </w:rPr>
    </w:lvl>
    <w:lvl w:ilvl="5" w:tplc="8DAA4E4C">
      <w:start w:val="1"/>
      <w:numFmt w:val="bullet"/>
      <w:lvlText w:val=""/>
      <w:lvlJc w:val="left"/>
      <w:pPr>
        <w:ind w:left="4320" w:hanging="360"/>
      </w:pPr>
      <w:rPr>
        <w:rFonts w:ascii="Wingdings" w:hAnsi="Wingdings" w:hint="default"/>
      </w:rPr>
    </w:lvl>
    <w:lvl w:ilvl="6" w:tplc="4D9EFD44">
      <w:start w:val="1"/>
      <w:numFmt w:val="bullet"/>
      <w:lvlText w:val=""/>
      <w:lvlJc w:val="left"/>
      <w:pPr>
        <w:ind w:left="5040" w:hanging="360"/>
      </w:pPr>
      <w:rPr>
        <w:rFonts w:ascii="Symbol" w:hAnsi="Symbol" w:hint="default"/>
      </w:rPr>
    </w:lvl>
    <w:lvl w:ilvl="7" w:tplc="B288B9C2">
      <w:start w:val="1"/>
      <w:numFmt w:val="bullet"/>
      <w:lvlText w:val="o"/>
      <w:lvlJc w:val="left"/>
      <w:pPr>
        <w:ind w:left="5760" w:hanging="360"/>
      </w:pPr>
      <w:rPr>
        <w:rFonts w:ascii="Courier New" w:hAnsi="Courier New" w:hint="default"/>
      </w:rPr>
    </w:lvl>
    <w:lvl w:ilvl="8" w:tplc="D44C1BB0">
      <w:start w:val="1"/>
      <w:numFmt w:val="bullet"/>
      <w:lvlText w:val=""/>
      <w:lvlJc w:val="left"/>
      <w:pPr>
        <w:ind w:left="6480" w:hanging="360"/>
      </w:pPr>
      <w:rPr>
        <w:rFonts w:ascii="Wingdings" w:hAnsi="Wingdings" w:hint="default"/>
      </w:rPr>
    </w:lvl>
  </w:abstractNum>
  <w:abstractNum w:abstractNumId="3" w15:restartNumberingAfterBreak="0">
    <w:nsid w:val="3ECF4F0E"/>
    <w:multiLevelType w:val="hybridMultilevel"/>
    <w:tmpl w:val="47B4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04704CD"/>
    <w:multiLevelType w:val="hybridMultilevel"/>
    <w:tmpl w:val="AFC81E0E"/>
    <w:lvl w:ilvl="0" w:tplc="6E0C2C40">
      <w:start w:val="1"/>
      <w:numFmt w:val="bullet"/>
      <w:lvlText w:val="•"/>
      <w:lvlJc w:val="left"/>
      <w:pPr>
        <w:tabs>
          <w:tab w:val="num" w:pos="720"/>
        </w:tabs>
        <w:ind w:left="720" w:hanging="360"/>
      </w:pPr>
      <w:rPr>
        <w:rFonts w:ascii="Arial" w:hAnsi="Arial" w:hint="default"/>
      </w:rPr>
    </w:lvl>
    <w:lvl w:ilvl="1" w:tplc="F1EC7378">
      <w:numFmt w:val="bullet"/>
      <w:lvlText w:val="•"/>
      <w:lvlJc w:val="left"/>
      <w:pPr>
        <w:tabs>
          <w:tab w:val="num" w:pos="1440"/>
        </w:tabs>
        <w:ind w:left="1440" w:hanging="360"/>
      </w:pPr>
      <w:rPr>
        <w:rFonts w:ascii="Arial" w:hAnsi="Arial" w:hint="default"/>
      </w:rPr>
    </w:lvl>
    <w:lvl w:ilvl="2" w:tplc="5B4ABF26" w:tentative="1">
      <w:start w:val="1"/>
      <w:numFmt w:val="bullet"/>
      <w:lvlText w:val="•"/>
      <w:lvlJc w:val="left"/>
      <w:pPr>
        <w:tabs>
          <w:tab w:val="num" w:pos="2160"/>
        </w:tabs>
        <w:ind w:left="2160" w:hanging="360"/>
      </w:pPr>
      <w:rPr>
        <w:rFonts w:ascii="Arial" w:hAnsi="Arial" w:hint="default"/>
      </w:rPr>
    </w:lvl>
    <w:lvl w:ilvl="3" w:tplc="C36E0CDC" w:tentative="1">
      <w:start w:val="1"/>
      <w:numFmt w:val="bullet"/>
      <w:lvlText w:val="•"/>
      <w:lvlJc w:val="left"/>
      <w:pPr>
        <w:tabs>
          <w:tab w:val="num" w:pos="2880"/>
        </w:tabs>
        <w:ind w:left="2880" w:hanging="360"/>
      </w:pPr>
      <w:rPr>
        <w:rFonts w:ascii="Arial" w:hAnsi="Arial" w:hint="default"/>
      </w:rPr>
    </w:lvl>
    <w:lvl w:ilvl="4" w:tplc="C11E41CE" w:tentative="1">
      <w:start w:val="1"/>
      <w:numFmt w:val="bullet"/>
      <w:lvlText w:val="•"/>
      <w:lvlJc w:val="left"/>
      <w:pPr>
        <w:tabs>
          <w:tab w:val="num" w:pos="3600"/>
        </w:tabs>
        <w:ind w:left="3600" w:hanging="360"/>
      </w:pPr>
      <w:rPr>
        <w:rFonts w:ascii="Arial" w:hAnsi="Arial" w:hint="default"/>
      </w:rPr>
    </w:lvl>
    <w:lvl w:ilvl="5" w:tplc="08889820" w:tentative="1">
      <w:start w:val="1"/>
      <w:numFmt w:val="bullet"/>
      <w:lvlText w:val="•"/>
      <w:lvlJc w:val="left"/>
      <w:pPr>
        <w:tabs>
          <w:tab w:val="num" w:pos="4320"/>
        </w:tabs>
        <w:ind w:left="4320" w:hanging="360"/>
      </w:pPr>
      <w:rPr>
        <w:rFonts w:ascii="Arial" w:hAnsi="Arial" w:hint="default"/>
      </w:rPr>
    </w:lvl>
    <w:lvl w:ilvl="6" w:tplc="69D22388" w:tentative="1">
      <w:start w:val="1"/>
      <w:numFmt w:val="bullet"/>
      <w:lvlText w:val="•"/>
      <w:lvlJc w:val="left"/>
      <w:pPr>
        <w:tabs>
          <w:tab w:val="num" w:pos="5040"/>
        </w:tabs>
        <w:ind w:left="5040" w:hanging="360"/>
      </w:pPr>
      <w:rPr>
        <w:rFonts w:ascii="Arial" w:hAnsi="Arial" w:hint="default"/>
      </w:rPr>
    </w:lvl>
    <w:lvl w:ilvl="7" w:tplc="8E6651CE" w:tentative="1">
      <w:start w:val="1"/>
      <w:numFmt w:val="bullet"/>
      <w:lvlText w:val="•"/>
      <w:lvlJc w:val="left"/>
      <w:pPr>
        <w:tabs>
          <w:tab w:val="num" w:pos="5760"/>
        </w:tabs>
        <w:ind w:left="5760" w:hanging="360"/>
      </w:pPr>
      <w:rPr>
        <w:rFonts w:ascii="Arial" w:hAnsi="Arial" w:hint="default"/>
      </w:rPr>
    </w:lvl>
    <w:lvl w:ilvl="8" w:tplc="D3284F6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BEB0D4C"/>
    <w:multiLevelType w:val="hybridMultilevel"/>
    <w:tmpl w:val="871CA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FAE692E"/>
    <w:multiLevelType w:val="hybridMultilevel"/>
    <w:tmpl w:val="93AE2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04825605">
    <w:abstractNumId w:val="1"/>
  </w:num>
  <w:num w:numId="2" w16cid:durableId="987593469">
    <w:abstractNumId w:val="0"/>
  </w:num>
  <w:num w:numId="3" w16cid:durableId="1264607348">
    <w:abstractNumId w:val="4"/>
  </w:num>
  <w:num w:numId="4" w16cid:durableId="732387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1589397">
    <w:abstractNumId w:val="5"/>
  </w:num>
  <w:num w:numId="6" w16cid:durableId="1531793906">
    <w:abstractNumId w:val="3"/>
  </w:num>
  <w:num w:numId="7" w16cid:durableId="898514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A2"/>
    <w:rsid w:val="00001747"/>
    <w:rsid w:val="00013874"/>
    <w:rsid w:val="00024B65"/>
    <w:rsid w:val="00035B84"/>
    <w:rsid w:val="000434D5"/>
    <w:rsid w:val="00044683"/>
    <w:rsid w:val="000605F3"/>
    <w:rsid w:val="00072D14"/>
    <w:rsid w:val="00077491"/>
    <w:rsid w:val="00084DCC"/>
    <w:rsid w:val="00095818"/>
    <w:rsid w:val="000C2E5B"/>
    <w:rsid w:val="000C3CAF"/>
    <w:rsid w:val="000D3007"/>
    <w:rsid w:val="000E3620"/>
    <w:rsid w:val="000F18EB"/>
    <w:rsid w:val="000F1974"/>
    <w:rsid w:val="000F4DBF"/>
    <w:rsid w:val="00103D70"/>
    <w:rsid w:val="001101F3"/>
    <w:rsid w:val="00124709"/>
    <w:rsid w:val="00130F7A"/>
    <w:rsid w:val="00150EB1"/>
    <w:rsid w:val="0015455C"/>
    <w:rsid w:val="00157145"/>
    <w:rsid w:val="001605BF"/>
    <w:rsid w:val="00163E22"/>
    <w:rsid w:val="00165AF5"/>
    <w:rsid w:val="00171C6E"/>
    <w:rsid w:val="001770E3"/>
    <w:rsid w:val="00184258"/>
    <w:rsid w:val="00185A1E"/>
    <w:rsid w:val="001941B1"/>
    <w:rsid w:val="001B3B4F"/>
    <w:rsid w:val="001E7585"/>
    <w:rsid w:val="00202565"/>
    <w:rsid w:val="00204B72"/>
    <w:rsid w:val="002262FB"/>
    <w:rsid w:val="00230E95"/>
    <w:rsid w:val="002454F4"/>
    <w:rsid w:val="00247F8D"/>
    <w:rsid w:val="00251372"/>
    <w:rsid w:val="00252539"/>
    <w:rsid w:val="00255483"/>
    <w:rsid w:val="00261A0F"/>
    <w:rsid w:val="002833C0"/>
    <w:rsid w:val="0029069A"/>
    <w:rsid w:val="002937D8"/>
    <w:rsid w:val="002953EC"/>
    <w:rsid w:val="002A132D"/>
    <w:rsid w:val="002A4943"/>
    <w:rsid w:val="002A5513"/>
    <w:rsid w:val="002A7D78"/>
    <w:rsid w:val="002C0E58"/>
    <w:rsid w:val="002D5433"/>
    <w:rsid w:val="002D7E03"/>
    <w:rsid w:val="002E19AD"/>
    <w:rsid w:val="002E73B2"/>
    <w:rsid w:val="002F168F"/>
    <w:rsid w:val="002F244E"/>
    <w:rsid w:val="003013C9"/>
    <w:rsid w:val="00301EF8"/>
    <w:rsid w:val="00306761"/>
    <w:rsid w:val="00311130"/>
    <w:rsid w:val="00314A51"/>
    <w:rsid w:val="00320954"/>
    <w:rsid w:val="00322FD3"/>
    <w:rsid w:val="003327C3"/>
    <w:rsid w:val="00337B49"/>
    <w:rsid w:val="00354744"/>
    <w:rsid w:val="0037496B"/>
    <w:rsid w:val="00375032"/>
    <w:rsid w:val="00380536"/>
    <w:rsid w:val="003859CD"/>
    <w:rsid w:val="0039770C"/>
    <w:rsid w:val="003A2208"/>
    <w:rsid w:val="003A36B0"/>
    <w:rsid w:val="003A63DB"/>
    <w:rsid w:val="003B139B"/>
    <w:rsid w:val="003B630D"/>
    <w:rsid w:val="003D05D6"/>
    <w:rsid w:val="003D4BD0"/>
    <w:rsid w:val="003E07F9"/>
    <w:rsid w:val="003E2646"/>
    <w:rsid w:val="003E585E"/>
    <w:rsid w:val="003F7629"/>
    <w:rsid w:val="00406D96"/>
    <w:rsid w:val="00410467"/>
    <w:rsid w:val="004154AC"/>
    <w:rsid w:val="00415611"/>
    <w:rsid w:val="00417D9A"/>
    <w:rsid w:val="00437EDE"/>
    <w:rsid w:val="004500A8"/>
    <w:rsid w:val="004622AA"/>
    <w:rsid w:val="0047373F"/>
    <w:rsid w:val="00473E7A"/>
    <w:rsid w:val="00492976"/>
    <w:rsid w:val="00493BD8"/>
    <w:rsid w:val="0049488B"/>
    <w:rsid w:val="004C172D"/>
    <w:rsid w:val="004C1B10"/>
    <w:rsid w:val="004C235D"/>
    <w:rsid w:val="004E4CC0"/>
    <w:rsid w:val="004F0B87"/>
    <w:rsid w:val="004F4EBB"/>
    <w:rsid w:val="004F5018"/>
    <w:rsid w:val="00500CF2"/>
    <w:rsid w:val="00504A35"/>
    <w:rsid w:val="00504CDD"/>
    <w:rsid w:val="005069C9"/>
    <w:rsid w:val="00556F40"/>
    <w:rsid w:val="0056212C"/>
    <w:rsid w:val="00562749"/>
    <w:rsid w:val="0057068D"/>
    <w:rsid w:val="00576C7B"/>
    <w:rsid w:val="00585807"/>
    <w:rsid w:val="005A33AA"/>
    <w:rsid w:val="005A5433"/>
    <w:rsid w:val="005B3BF1"/>
    <w:rsid w:val="005B7153"/>
    <w:rsid w:val="005C00D8"/>
    <w:rsid w:val="005C0709"/>
    <w:rsid w:val="005D1FEE"/>
    <w:rsid w:val="005D2A19"/>
    <w:rsid w:val="005D2FA0"/>
    <w:rsid w:val="005D3052"/>
    <w:rsid w:val="005D3473"/>
    <w:rsid w:val="005D4294"/>
    <w:rsid w:val="005E79F8"/>
    <w:rsid w:val="005F424B"/>
    <w:rsid w:val="005F5F8D"/>
    <w:rsid w:val="00615A22"/>
    <w:rsid w:val="0062119A"/>
    <w:rsid w:val="006446F4"/>
    <w:rsid w:val="006650C7"/>
    <w:rsid w:val="00667AF7"/>
    <w:rsid w:val="00670E1F"/>
    <w:rsid w:val="00676221"/>
    <w:rsid w:val="0068214C"/>
    <w:rsid w:val="0068696F"/>
    <w:rsid w:val="00695CED"/>
    <w:rsid w:val="006A36AA"/>
    <w:rsid w:val="006A6A2A"/>
    <w:rsid w:val="006D0BD2"/>
    <w:rsid w:val="00705CAD"/>
    <w:rsid w:val="0070786E"/>
    <w:rsid w:val="00713B9E"/>
    <w:rsid w:val="007162A0"/>
    <w:rsid w:val="00716DF0"/>
    <w:rsid w:val="00723295"/>
    <w:rsid w:val="00731126"/>
    <w:rsid w:val="00736D64"/>
    <w:rsid w:val="00752F64"/>
    <w:rsid w:val="00752FDE"/>
    <w:rsid w:val="007534C3"/>
    <w:rsid w:val="007546FC"/>
    <w:rsid w:val="007618E1"/>
    <w:rsid w:val="0076203F"/>
    <w:rsid w:val="00765AE0"/>
    <w:rsid w:val="00780676"/>
    <w:rsid w:val="00791468"/>
    <w:rsid w:val="007A44DE"/>
    <w:rsid w:val="007A4EF5"/>
    <w:rsid w:val="007C701D"/>
    <w:rsid w:val="007F4BF5"/>
    <w:rsid w:val="008013CD"/>
    <w:rsid w:val="00807EF8"/>
    <w:rsid w:val="00845E22"/>
    <w:rsid w:val="00854EC7"/>
    <w:rsid w:val="008603BD"/>
    <w:rsid w:val="0086250A"/>
    <w:rsid w:val="008656D0"/>
    <w:rsid w:val="00867075"/>
    <w:rsid w:val="00876E4F"/>
    <w:rsid w:val="00894607"/>
    <w:rsid w:val="008A444A"/>
    <w:rsid w:val="008B49A9"/>
    <w:rsid w:val="008B543A"/>
    <w:rsid w:val="008B59D4"/>
    <w:rsid w:val="008C5107"/>
    <w:rsid w:val="008D4DC0"/>
    <w:rsid w:val="008D6070"/>
    <w:rsid w:val="008F7720"/>
    <w:rsid w:val="00904954"/>
    <w:rsid w:val="00912788"/>
    <w:rsid w:val="00916217"/>
    <w:rsid w:val="00921EF2"/>
    <w:rsid w:val="00934C28"/>
    <w:rsid w:val="00951E2D"/>
    <w:rsid w:val="00953106"/>
    <w:rsid w:val="0095348F"/>
    <w:rsid w:val="0095588E"/>
    <w:rsid w:val="009644B4"/>
    <w:rsid w:val="00977785"/>
    <w:rsid w:val="00983807"/>
    <w:rsid w:val="00983EBE"/>
    <w:rsid w:val="00987B58"/>
    <w:rsid w:val="0099486D"/>
    <w:rsid w:val="00995EA2"/>
    <w:rsid w:val="009B110F"/>
    <w:rsid w:val="009B1A31"/>
    <w:rsid w:val="009C09F3"/>
    <w:rsid w:val="009D0D97"/>
    <w:rsid w:val="009F3054"/>
    <w:rsid w:val="009F6331"/>
    <w:rsid w:val="009F788F"/>
    <w:rsid w:val="00A102DD"/>
    <w:rsid w:val="00A12DA6"/>
    <w:rsid w:val="00A151A4"/>
    <w:rsid w:val="00A176D6"/>
    <w:rsid w:val="00A2131E"/>
    <w:rsid w:val="00A30876"/>
    <w:rsid w:val="00A323AF"/>
    <w:rsid w:val="00A52F74"/>
    <w:rsid w:val="00A55C05"/>
    <w:rsid w:val="00A56876"/>
    <w:rsid w:val="00A6394F"/>
    <w:rsid w:val="00A76D26"/>
    <w:rsid w:val="00AA10FB"/>
    <w:rsid w:val="00AA2AD6"/>
    <w:rsid w:val="00AA3407"/>
    <w:rsid w:val="00AA7747"/>
    <w:rsid w:val="00AA7CA4"/>
    <w:rsid w:val="00AA7D9D"/>
    <w:rsid w:val="00AB191D"/>
    <w:rsid w:val="00AC46D1"/>
    <w:rsid w:val="00AE01B5"/>
    <w:rsid w:val="00AE4376"/>
    <w:rsid w:val="00AE65D2"/>
    <w:rsid w:val="00AF4877"/>
    <w:rsid w:val="00AF5243"/>
    <w:rsid w:val="00AF7F1D"/>
    <w:rsid w:val="00B24E32"/>
    <w:rsid w:val="00B41E34"/>
    <w:rsid w:val="00B453F5"/>
    <w:rsid w:val="00B45990"/>
    <w:rsid w:val="00B51B9A"/>
    <w:rsid w:val="00B66F5C"/>
    <w:rsid w:val="00B67C2A"/>
    <w:rsid w:val="00BA6765"/>
    <w:rsid w:val="00BA6931"/>
    <w:rsid w:val="00BB4750"/>
    <w:rsid w:val="00BC4592"/>
    <w:rsid w:val="00BD2220"/>
    <w:rsid w:val="00BD281B"/>
    <w:rsid w:val="00BF0198"/>
    <w:rsid w:val="00C02AC7"/>
    <w:rsid w:val="00C1230B"/>
    <w:rsid w:val="00C21A80"/>
    <w:rsid w:val="00C473CC"/>
    <w:rsid w:val="00C51004"/>
    <w:rsid w:val="00C56562"/>
    <w:rsid w:val="00C61EB6"/>
    <w:rsid w:val="00C64564"/>
    <w:rsid w:val="00C80AE3"/>
    <w:rsid w:val="00C80FA6"/>
    <w:rsid w:val="00C8588D"/>
    <w:rsid w:val="00C94FC9"/>
    <w:rsid w:val="00CA7450"/>
    <w:rsid w:val="00CB1350"/>
    <w:rsid w:val="00CC1E7B"/>
    <w:rsid w:val="00CC2CEE"/>
    <w:rsid w:val="00CE1506"/>
    <w:rsid w:val="00D11BEF"/>
    <w:rsid w:val="00D159DF"/>
    <w:rsid w:val="00D56FB7"/>
    <w:rsid w:val="00D72111"/>
    <w:rsid w:val="00D726C1"/>
    <w:rsid w:val="00D72FCD"/>
    <w:rsid w:val="00D7729A"/>
    <w:rsid w:val="00D80657"/>
    <w:rsid w:val="00D912BA"/>
    <w:rsid w:val="00D91C1A"/>
    <w:rsid w:val="00D97535"/>
    <w:rsid w:val="00DB5825"/>
    <w:rsid w:val="00DB64A0"/>
    <w:rsid w:val="00DC7501"/>
    <w:rsid w:val="00DE0384"/>
    <w:rsid w:val="00DF7F29"/>
    <w:rsid w:val="00E35F1B"/>
    <w:rsid w:val="00E3739B"/>
    <w:rsid w:val="00E37806"/>
    <w:rsid w:val="00E5604F"/>
    <w:rsid w:val="00E5687E"/>
    <w:rsid w:val="00E60481"/>
    <w:rsid w:val="00E6075C"/>
    <w:rsid w:val="00E64803"/>
    <w:rsid w:val="00E70788"/>
    <w:rsid w:val="00E7769B"/>
    <w:rsid w:val="00E8645E"/>
    <w:rsid w:val="00EA15D7"/>
    <w:rsid w:val="00EB74EE"/>
    <w:rsid w:val="00EE1F2D"/>
    <w:rsid w:val="00EF50D9"/>
    <w:rsid w:val="00F14BC9"/>
    <w:rsid w:val="00F152BC"/>
    <w:rsid w:val="00F21909"/>
    <w:rsid w:val="00F4519F"/>
    <w:rsid w:val="00F460A2"/>
    <w:rsid w:val="00F5146B"/>
    <w:rsid w:val="00F529A7"/>
    <w:rsid w:val="00F62B94"/>
    <w:rsid w:val="00F8258F"/>
    <w:rsid w:val="00FA1657"/>
    <w:rsid w:val="00FA1B2C"/>
    <w:rsid w:val="00FB27C3"/>
    <w:rsid w:val="00FB7776"/>
    <w:rsid w:val="00FD2402"/>
    <w:rsid w:val="00FD533F"/>
    <w:rsid w:val="00FD6E14"/>
    <w:rsid w:val="00FF64A1"/>
    <w:rsid w:val="01F1C5F7"/>
    <w:rsid w:val="0414D3AE"/>
    <w:rsid w:val="054434B1"/>
    <w:rsid w:val="06F95719"/>
    <w:rsid w:val="0DD6341E"/>
    <w:rsid w:val="1135113D"/>
    <w:rsid w:val="13036710"/>
    <w:rsid w:val="1569EF8D"/>
    <w:rsid w:val="162B1742"/>
    <w:rsid w:val="1658FB02"/>
    <w:rsid w:val="16A20FA7"/>
    <w:rsid w:val="16D7F85F"/>
    <w:rsid w:val="1AE8BE88"/>
    <w:rsid w:val="1B9C2CAF"/>
    <w:rsid w:val="1D2D988B"/>
    <w:rsid w:val="1E183692"/>
    <w:rsid w:val="1E84AB0A"/>
    <w:rsid w:val="208FD14F"/>
    <w:rsid w:val="20CC9ADF"/>
    <w:rsid w:val="20D6BFE7"/>
    <w:rsid w:val="21155B9A"/>
    <w:rsid w:val="21FD112A"/>
    <w:rsid w:val="23D004AD"/>
    <w:rsid w:val="2558FA94"/>
    <w:rsid w:val="29BCAD76"/>
    <w:rsid w:val="2BE518EA"/>
    <w:rsid w:val="2EC1315F"/>
    <w:rsid w:val="2EF4F5B7"/>
    <w:rsid w:val="31758B05"/>
    <w:rsid w:val="325BFDC4"/>
    <w:rsid w:val="34BB6B9D"/>
    <w:rsid w:val="3608853B"/>
    <w:rsid w:val="3634AB8D"/>
    <w:rsid w:val="3774A214"/>
    <w:rsid w:val="37B15862"/>
    <w:rsid w:val="380A58E2"/>
    <w:rsid w:val="38DBBE36"/>
    <w:rsid w:val="3A0C6969"/>
    <w:rsid w:val="3AC94833"/>
    <w:rsid w:val="3C6B39DC"/>
    <w:rsid w:val="3DF69536"/>
    <w:rsid w:val="41CA88DF"/>
    <w:rsid w:val="41DBA3E3"/>
    <w:rsid w:val="460D3BAA"/>
    <w:rsid w:val="472B0833"/>
    <w:rsid w:val="48367855"/>
    <w:rsid w:val="4A13D8C7"/>
    <w:rsid w:val="4E8303FD"/>
    <w:rsid w:val="4EC8F844"/>
    <w:rsid w:val="4ED7CDFF"/>
    <w:rsid w:val="5413E9AD"/>
    <w:rsid w:val="55882BE9"/>
    <w:rsid w:val="58930A98"/>
    <w:rsid w:val="599AA534"/>
    <w:rsid w:val="5A03149C"/>
    <w:rsid w:val="5B4FCF0E"/>
    <w:rsid w:val="5C9BA68E"/>
    <w:rsid w:val="5D848506"/>
    <w:rsid w:val="6189F619"/>
    <w:rsid w:val="62BD7A7F"/>
    <w:rsid w:val="677B7521"/>
    <w:rsid w:val="69935E94"/>
    <w:rsid w:val="6A3A922E"/>
    <w:rsid w:val="6A5B272D"/>
    <w:rsid w:val="6B3F821F"/>
    <w:rsid w:val="6B5B7AD6"/>
    <w:rsid w:val="6CA61D04"/>
    <w:rsid w:val="6DED4BE4"/>
    <w:rsid w:val="734378FB"/>
    <w:rsid w:val="740F3BAD"/>
    <w:rsid w:val="75803E3F"/>
    <w:rsid w:val="79A7A970"/>
    <w:rsid w:val="7BB34512"/>
    <w:rsid w:val="7BF703EE"/>
    <w:rsid w:val="7F18A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8FBC"/>
  <w15:chartTrackingRefBased/>
  <w15:docId w15:val="{C29D8238-7F1C-401B-BC88-153555A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75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C7501"/>
    <w:rPr>
      <w:b/>
      <w:bCs/>
    </w:rPr>
  </w:style>
  <w:style w:type="paragraph" w:styleId="Footer">
    <w:name w:val="footer"/>
    <w:basedOn w:val="Normal"/>
    <w:link w:val="FooterChar"/>
    <w:uiPriority w:val="99"/>
    <w:unhideWhenUsed/>
    <w:rsid w:val="00301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3C9"/>
  </w:style>
  <w:style w:type="paragraph" w:styleId="Header">
    <w:name w:val="header"/>
    <w:basedOn w:val="Normal"/>
    <w:link w:val="HeaderChar"/>
    <w:uiPriority w:val="99"/>
    <w:semiHidden/>
    <w:unhideWhenUsed/>
    <w:rsid w:val="005069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69C9"/>
  </w:style>
  <w:style w:type="character" w:styleId="CommentReference">
    <w:name w:val="annotation reference"/>
    <w:basedOn w:val="DefaultParagraphFont"/>
    <w:uiPriority w:val="99"/>
    <w:semiHidden/>
    <w:unhideWhenUsed/>
    <w:rsid w:val="00E7769B"/>
    <w:rPr>
      <w:sz w:val="16"/>
      <w:szCs w:val="16"/>
    </w:rPr>
  </w:style>
  <w:style w:type="paragraph" w:styleId="CommentText">
    <w:name w:val="annotation text"/>
    <w:basedOn w:val="Normal"/>
    <w:link w:val="CommentTextChar"/>
    <w:uiPriority w:val="99"/>
    <w:unhideWhenUsed/>
    <w:rsid w:val="00E7769B"/>
    <w:pPr>
      <w:spacing w:line="240" w:lineRule="auto"/>
    </w:pPr>
    <w:rPr>
      <w:sz w:val="20"/>
      <w:szCs w:val="20"/>
    </w:rPr>
  </w:style>
  <w:style w:type="character" w:customStyle="1" w:styleId="CommentTextChar">
    <w:name w:val="Comment Text Char"/>
    <w:basedOn w:val="DefaultParagraphFont"/>
    <w:link w:val="CommentText"/>
    <w:uiPriority w:val="99"/>
    <w:rsid w:val="00E7769B"/>
    <w:rPr>
      <w:sz w:val="20"/>
      <w:szCs w:val="20"/>
    </w:rPr>
  </w:style>
  <w:style w:type="paragraph" w:styleId="CommentSubject">
    <w:name w:val="annotation subject"/>
    <w:basedOn w:val="CommentText"/>
    <w:next w:val="CommentText"/>
    <w:link w:val="CommentSubjectChar"/>
    <w:uiPriority w:val="99"/>
    <w:semiHidden/>
    <w:unhideWhenUsed/>
    <w:rsid w:val="00E7769B"/>
    <w:rPr>
      <w:b/>
      <w:bCs/>
    </w:rPr>
  </w:style>
  <w:style w:type="character" w:customStyle="1" w:styleId="CommentSubjectChar">
    <w:name w:val="Comment Subject Char"/>
    <w:basedOn w:val="CommentTextChar"/>
    <w:link w:val="CommentSubject"/>
    <w:uiPriority w:val="99"/>
    <w:semiHidden/>
    <w:rsid w:val="00E7769B"/>
    <w:rPr>
      <w:b/>
      <w:bCs/>
      <w:sz w:val="20"/>
      <w:szCs w:val="20"/>
    </w:rPr>
  </w:style>
  <w:style w:type="paragraph" w:styleId="ListParagraph">
    <w:name w:val="List Paragraph"/>
    <w:basedOn w:val="Normal"/>
    <w:uiPriority w:val="34"/>
    <w:qFormat/>
    <w:rsid w:val="00585807"/>
    <w:pPr>
      <w:spacing w:line="278" w:lineRule="auto"/>
      <w:ind w:left="720"/>
      <w:contextualSpacing/>
    </w:pPr>
    <w:rPr>
      <w:sz w:val="24"/>
      <w:szCs w:val="24"/>
    </w:rPr>
  </w:style>
  <w:style w:type="character" w:styleId="UnresolvedMention">
    <w:name w:val="Unresolved Mention"/>
    <w:basedOn w:val="DefaultParagraphFont"/>
    <w:uiPriority w:val="99"/>
    <w:unhideWhenUsed/>
    <w:rsid w:val="000E3620"/>
    <w:rPr>
      <w:color w:val="605E5C"/>
      <w:shd w:val="clear" w:color="auto" w:fill="E1DFDD"/>
    </w:rPr>
  </w:style>
  <w:style w:type="character" w:styleId="Mention">
    <w:name w:val="Mention"/>
    <w:basedOn w:val="DefaultParagraphFont"/>
    <w:uiPriority w:val="99"/>
    <w:unhideWhenUsed/>
    <w:rsid w:val="000E3620"/>
    <w:rPr>
      <w:color w:val="2B579A"/>
      <w:shd w:val="clear" w:color="auto" w:fill="E1DFDD"/>
    </w:rPr>
  </w:style>
  <w:style w:type="paragraph" w:styleId="Revision">
    <w:name w:val="Revision"/>
    <w:hidden/>
    <w:uiPriority w:val="99"/>
    <w:semiHidden/>
    <w:rsid w:val="00035B84"/>
    <w:pPr>
      <w:spacing w:after="0" w:line="240" w:lineRule="auto"/>
    </w:pPr>
  </w:style>
  <w:style w:type="character" w:styleId="Hyperlink">
    <w:name w:val="Hyperlink"/>
    <w:basedOn w:val="DefaultParagraphFont"/>
    <w:uiPriority w:val="99"/>
    <w:unhideWhenUsed/>
    <w:rsid w:val="003859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366935">
      <w:bodyDiv w:val="1"/>
      <w:marLeft w:val="0"/>
      <w:marRight w:val="0"/>
      <w:marTop w:val="0"/>
      <w:marBottom w:val="0"/>
      <w:divBdr>
        <w:top w:val="none" w:sz="0" w:space="0" w:color="auto"/>
        <w:left w:val="none" w:sz="0" w:space="0" w:color="auto"/>
        <w:bottom w:val="none" w:sz="0" w:space="0" w:color="auto"/>
        <w:right w:val="none" w:sz="0" w:space="0" w:color="auto"/>
      </w:divBdr>
      <w:divsChild>
        <w:div w:id="338968471">
          <w:marLeft w:val="374"/>
          <w:marRight w:val="0"/>
          <w:marTop w:val="240"/>
          <w:marBottom w:val="0"/>
          <w:divBdr>
            <w:top w:val="none" w:sz="0" w:space="0" w:color="auto"/>
            <w:left w:val="none" w:sz="0" w:space="0" w:color="auto"/>
            <w:bottom w:val="none" w:sz="0" w:space="0" w:color="auto"/>
            <w:right w:val="none" w:sz="0" w:space="0" w:color="auto"/>
          </w:divBdr>
        </w:div>
        <w:div w:id="441925042">
          <w:marLeft w:val="907"/>
          <w:marRight w:val="0"/>
          <w:marTop w:val="180"/>
          <w:marBottom w:val="0"/>
          <w:divBdr>
            <w:top w:val="none" w:sz="0" w:space="0" w:color="auto"/>
            <w:left w:val="none" w:sz="0" w:space="0" w:color="auto"/>
            <w:bottom w:val="none" w:sz="0" w:space="0" w:color="auto"/>
            <w:right w:val="none" w:sz="0" w:space="0" w:color="auto"/>
          </w:divBdr>
        </w:div>
        <w:div w:id="1155803473">
          <w:marLeft w:val="907"/>
          <w:marRight w:val="0"/>
          <w:marTop w:val="180"/>
          <w:marBottom w:val="0"/>
          <w:divBdr>
            <w:top w:val="none" w:sz="0" w:space="0" w:color="auto"/>
            <w:left w:val="none" w:sz="0" w:space="0" w:color="auto"/>
            <w:bottom w:val="none" w:sz="0" w:space="0" w:color="auto"/>
            <w:right w:val="none" w:sz="0" w:space="0" w:color="auto"/>
          </w:divBdr>
        </w:div>
        <w:div w:id="1983539905">
          <w:marLeft w:val="907"/>
          <w:marRight w:val="0"/>
          <w:marTop w:val="180"/>
          <w:marBottom w:val="0"/>
          <w:divBdr>
            <w:top w:val="none" w:sz="0" w:space="0" w:color="auto"/>
            <w:left w:val="none" w:sz="0" w:space="0" w:color="auto"/>
            <w:bottom w:val="none" w:sz="0" w:space="0" w:color="auto"/>
            <w:right w:val="none" w:sz="0" w:space="0" w:color="auto"/>
          </w:divBdr>
        </w:div>
      </w:divsChild>
    </w:div>
    <w:div w:id="860163643">
      <w:bodyDiv w:val="1"/>
      <w:marLeft w:val="0"/>
      <w:marRight w:val="0"/>
      <w:marTop w:val="0"/>
      <w:marBottom w:val="0"/>
      <w:divBdr>
        <w:top w:val="none" w:sz="0" w:space="0" w:color="auto"/>
        <w:left w:val="none" w:sz="0" w:space="0" w:color="auto"/>
        <w:bottom w:val="none" w:sz="0" w:space="0" w:color="auto"/>
        <w:right w:val="none" w:sz="0" w:space="0" w:color="auto"/>
      </w:divBdr>
    </w:div>
    <w:div w:id="888028948">
      <w:bodyDiv w:val="1"/>
      <w:marLeft w:val="0"/>
      <w:marRight w:val="0"/>
      <w:marTop w:val="0"/>
      <w:marBottom w:val="0"/>
      <w:divBdr>
        <w:top w:val="none" w:sz="0" w:space="0" w:color="auto"/>
        <w:left w:val="none" w:sz="0" w:space="0" w:color="auto"/>
        <w:bottom w:val="none" w:sz="0" w:space="0" w:color="auto"/>
        <w:right w:val="none" w:sz="0" w:space="0" w:color="auto"/>
      </w:divBdr>
      <w:divsChild>
        <w:div w:id="150566869">
          <w:marLeft w:val="907"/>
          <w:marRight w:val="0"/>
          <w:marTop w:val="180"/>
          <w:marBottom w:val="0"/>
          <w:divBdr>
            <w:top w:val="none" w:sz="0" w:space="0" w:color="auto"/>
            <w:left w:val="none" w:sz="0" w:space="0" w:color="auto"/>
            <w:bottom w:val="none" w:sz="0" w:space="0" w:color="auto"/>
            <w:right w:val="none" w:sz="0" w:space="0" w:color="auto"/>
          </w:divBdr>
        </w:div>
        <w:div w:id="335425880">
          <w:marLeft w:val="1440"/>
          <w:marRight w:val="0"/>
          <w:marTop w:val="160"/>
          <w:marBottom w:val="0"/>
          <w:divBdr>
            <w:top w:val="none" w:sz="0" w:space="0" w:color="auto"/>
            <w:left w:val="none" w:sz="0" w:space="0" w:color="auto"/>
            <w:bottom w:val="none" w:sz="0" w:space="0" w:color="auto"/>
            <w:right w:val="none" w:sz="0" w:space="0" w:color="auto"/>
          </w:divBdr>
        </w:div>
        <w:div w:id="786774648">
          <w:marLeft w:val="1973"/>
          <w:marRight w:val="0"/>
          <w:marTop w:val="120"/>
          <w:marBottom w:val="0"/>
          <w:divBdr>
            <w:top w:val="none" w:sz="0" w:space="0" w:color="auto"/>
            <w:left w:val="none" w:sz="0" w:space="0" w:color="auto"/>
            <w:bottom w:val="none" w:sz="0" w:space="0" w:color="auto"/>
            <w:right w:val="none" w:sz="0" w:space="0" w:color="auto"/>
          </w:divBdr>
        </w:div>
        <w:div w:id="1550190961">
          <w:marLeft w:val="1973"/>
          <w:marRight w:val="0"/>
          <w:marTop w:val="120"/>
          <w:marBottom w:val="0"/>
          <w:divBdr>
            <w:top w:val="none" w:sz="0" w:space="0" w:color="auto"/>
            <w:left w:val="none" w:sz="0" w:space="0" w:color="auto"/>
            <w:bottom w:val="none" w:sz="0" w:space="0" w:color="auto"/>
            <w:right w:val="none" w:sz="0" w:space="0" w:color="auto"/>
          </w:divBdr>
        </w:div>
        <w:div w:id="1765372308">
          <w:marLeft w:val="1973"/>
          <w:marRight w:val="0"/>
          <w:marTop w:val="120"/>
          <w:marBottom w:val="0"/>
          <w:divBdr>
            <w:top w:val="none" w:sz="0" w:space="0" w:color="auto"/>
            <w:left w:val="none" w:sz="0" w:space="0" w:color="auto"/>
            <w:bottom w:val="none" w:sz="0" w:space="0" w:color="auto"/>
            <w:right w:val="none" w:sz="0" w:space="0" w:color="auto"/>
          </w:divBdr>
        </w:div>
        <w:div w:id="1766536643">
          <w:marLeft w:val="1440"/>
          <w:marRight w:val="0"/>
          <w:marTop w:val="160"/>
          <w:marBottom w:val="0"/>
          <w:divBdr>
            <w:top w:val="none" w:sz="0" w:space="0" w:color="auto"/>
            <w:left w:val="none" w:sz="0" w:space="0" w:color="auto"/>
            <w:bottom w:val="none" w:sz="0" w:space="0" w:color="auto"/>
            <w:right w:val="none" w:sz="0" w:space="0" w:color="auto"/>
          </w:divBdr>
        </w:div>
        <w:div w:id="1768379614">
          <w:marLeft w:val="907"/>
          <w:marRight w:val="0"/>
          <w:marTop w:val="180"/>
          <w:marBottom w:val="0"/>
          <w:divBdr>
            <w:top w:val="none" w:sz="0" w:space="0" w:color="auto"/>
            <w:left w:val="none" w:sz="0" w:space="0" w:color="auto"/>
            <w:bottom w:val="none" w:sz="0" w:space="0" w:color="auto"/>
            <w:right w:val="none" w:sz="0" w:space="0" w:color="auto"/>
          </w:divBdr>
        </w:div>
      </w:divsChild>
    </w:div>
    <w:div w:id="1060245335">
      <w:bodyDiv w:val="1"/>
      <w:marLeft w:val="0"/>
      <w:marRight w:val="0"/>
      <w:marTop w:val="0"/>
      <w:marBottom w:val="0"/>
      <w:divBdr>
        <w:top w:val="none" w:sz="0" w:space="0" w:color="auto"/>
        <w:left w:val="none" w:sz="0" w:space="0" w:color="auto"/>
        <w:bottom w:val="none" w:sz="0" w:space="0" w:color="auto"/>
        <w:right w:val="none" w:sz="0" w:space="0" w:color="auto"/>
      </w:divBdr>
      <w:divsChild>
        <w:div w:id="113330663">
          <w:marLeft w:val="374"/>
          <w:marRight w:val="0"/>
          <w:marTop w:val="240"/>
          <w:marBottom w:val="0"/>
          <w:divBdr>
            <w:top w:val="none" w:sz="0" w:space="0" w:color="auto"/>
            <w:left w:val="none" w:sz="0" w:space="0" w:color="auto"/>
            <w:bottom w:val="none" w:sz="0" w:space="0" w:color="auto"/>
            <w:right w:val="none" w:sz="0" w:space="0" w:color="auto"/>
          </w:divBdr>
        </w:div>
        <w:div w:id="783303099">
          <w:marLeft w:val="374"/>
          <w:marRight w:val="0"/>
          <w:marTop w:val="240"/>
          <w:marBottom w:val="0"/>
          <w:divBdr>
            <w:top w:val="none" w:sz="0" w:space="0" w:color="auto"/>
            <w:left w:val="none" w:sz="0" w:space="0" w:color="auto"/>
            <w:bottom w:val="none" w:sz="0" w:space="0" w:color="auto"/>
            <w:right w:val="none" w:sz="0" w:space="0" w:color="auto"/>
          </w:divBdr>
        </w:div>
        <w:div w:id="1088960901">
          <w:marLeft w:val="374"/>
          <w:marRight w:val="0"/>
          <w:marTop w:val="240"/>
          <w:marBottom w:val="0"/>
          <w:divBdr>
            <w:top w:val="none" w:sz="0" w:space="0" w:color="auto"/>
            <w:left w:val="none" w:sz="0" w:space="0" w:color="auto"/>
            <w:bottom w:val="none" w:sz="0" w:space="0" w:color="auto"/>
            <w:right w:val="none" w:sz="0" w:space="0" w:color="auto"/>
          </w:divBdr>
        </w:div>
        <w:div w:id="1585457961">
          <w:marLeft w:val="1440"/>
          <w:marRight w:val="0"/>
          <w:marTop w:val="160"/>
          <w:marBottom w:val="0"/>
          <w:divBdr>
            <w:top w:val="none" w:sz="0" w:space="0" w:color="auto"/>
            <w:left w:val="none" w:sz="0" w:space="0" w:color="auto"/>
            <w:bottom w:val="none" w:sz="0" w:space="0" w:color="auto"/>
            <w:right w:val="none" w:sz="0" w:space="0" w:color="auto"/>
          </w:divBdr>
        </w:div>
        <w:div w:id="1674911502">
          <w:marLeft w:val="907"/>
          <w:marRight w:val="0"/>
          <w:marTop w:val="180"/>
          <w:marBottom w:val="0"/>
          <w:divBdr>
            <w:top w:val="none" w:sz="0" w:space="0" w:color="auto"/>
            <w:left w:val="none" w:sz="0" w:space="0" w:color="auto"/>
            <w:bottom w:val="none" w:sz="0" w:space="0" w:color="auto"/>
            <w:right w:val="none" w:sz="0" w:space="0" w:color="auto"/>
          </w:divBdr>
        </w:div>
        <w:div w:id="1875774135">
          <w:marLeft w:val="907"/>
          <w:marRight w:val="0"/>
          <w:marTop w:val="180"/>
          <w:marBottom w:val="0"/>
          <w:divBdr>
            <w:top w:val="none" w:sz="0" w:space="0" w:color="auto"/>
            <w:left w:val="none" w:sz="0" w:space="0" w:color="auto"/>
            <w:bottom w:val="none" w:sz="0" w:space="0" w:color="auto"/>
            <w:right w:val="none" w:sz="0" w:space="0" w:color="auto"/>
          </w:divBdr>
        </w:div>
      </w:divsChild>
    </w:div>
    <w:div w:id="1328754857">
      <w:bodyDiv w:val="1"/>
      <w:marLeft w:val="0"/>
      <w:marRight w:val="0"/>
      <w:marTop w:val="0"/>
      <w:marBottom w:val="0"/>
      <w:divBdr>
        <w:top w:val="none" w:sz="0" w:space="0" w:color="auto"/>
        <w:left w:val="none" w:sz="0" w:space="0" w:color="auto"/>
        <w:bottom w:val="none" w:sz="0" w:space="0" w:color="auto"/>
        <w:right w:val="none" w:sz="0" w:space="0" w:color="auto"/>
      </w:divBdr>
    </w:div>
    <w:div w:id="1764297729">
      <w:bodyDiv w:val="1"/>
      <w:marLeft w:val="0"/>
      <w:marRight w:val="0"/>
      <w:marTop w:val="0"/>
      <w:marBottom w:val="0"/>
      <w:divBdr>
        <w:top w:val="none" w:sz="0" w:space="0" w:color="auto"/>
        <w:left w:val="none" w:sz="0" w:space="0" w:color="auto"/>
        <w:bottom w:val="none" w:sz="0" w:space="0" w:color="auto"/>
        <w:right w:val="none" w:sz="0" w:space="0" w:color="auto"/>
      </w:divBdr>
    </w:div>
    <w:div w:id="200331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aney@jhancock.com" TargetMode="Externa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2" ma:contentTypeDescription="Create a new document." ma:contentTypeScope="" ma:versionID="c00f43f87363001efbc40a87275c0a37">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844de7207940b2ae2015fd741702f95"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2025-02-27T13:50:09+00:00</_EndDate>
    <StartDate xmlns="http://schemas.microsoft.com/sharepoint/v3">2025-02-27T13:50:09+00:00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5F616954-011B-4276-B6BD-B6A5354B91A3}"/>
</file>

<file path=customXml/itemProps2.xml><?xml version="1.0" encoding="utf-8"?>
<ds:datastoreItem xmlns:ds="http://schemas.openxmlformats.org/officeDocument/2006/customXml" ds:itemID="{EA844FCA-AEEC-4C33-8430-CFBAB8D1DD93}"/>
</file>

<file path=customXml/itemProps3.xml><?xml version="1.0" encoding="utf-8"?>
<ds:datastoreItem xmlns:ds="http://schemas.openxmlformats.org/officeDocument/2006/customXml" ds:itemID="{8D3E132B-CA8B-4A62-8CAD-BC03E551FBFE}"/>
</file>

<file path=docProps/app.xml><?xml version="1.0" encoding="utf-8"?>
<Properties xmlns="http://schemas.openxmlformats.org/officeDocument/2006/extended-properties" xmlns:vt="http://schemas.openxmlformats.org/officeDocument/2006/docPropsVTypes">
  <Template>Normal</Template>
  <TotalTime>243</TotalTime>
  <Pages>4</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Links>
    <vt:vector size="6" baseType="variant">
      <vt:variant>
        <vt:i4>3014687</vt:i4>
      </vt:variant>
      <vt:variant>
        <vt:i4>0</vt:i4>
      </vt:variant>
      <vt:variant>
        <vt:i4>0</vt:i4>
      </vt:variant>
      <vt:variant>
        <vt:i4>5</vt:i4>
      </vt:variant>
      <vt:variant>
        <vt:lpwstr>mailto:adelaney@jhancock.com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 Delaney</dc:creator>
  <cp:keywords/>
  <dc:description/>
  <cp:lastModifiedBy>Ann M Delaney</cp:lastModifiedBy>
  <cp:revision>4</cp:revision>
  <dcterms:created xsi:type="dcterms:W3CDTF">2025-02-27T02:04:00Z</dcterms:created>
  <dcterms:modified xsi:type="dcterms:W3CDTF">2025-02-27T02:06:00Z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44f4b95e,5392da68,39a3c0ee</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y fmtid="{D5CDD505-2E9C-101B-9397-08002B2CF9AE}" pid="5" name="MSIP_Label_3c9aa860-6a65-4942-a19a-0478291725e1_Enabled">
    <vt:lpwstr>true</vt:lpwstr>
  </property>
  <property fmtid="{D5CDD505-2E9C-101B-9397-08002B2CF9AE}" pid="6" name="MSIP_Label_3c9aa860-6a65-4942-a19a-0478291725e1_SetDate">
    <vt:lpwstr>2024-10-04T15:12:07Z</vt:lpwstr>
  </property>
  <property fmtid="{D5CDD505-2E9C-101B-9397-08002B2CF9AE}" pid="7" name="MSIP_Label_3c9aa860-6a65-4942-a19a-0478291725e1_Method">
    <vt:lpwstr>Privileged</vt:lpwstr>
  </property>
  <property fmtid="{D5CDD505-2E9C-101B-9397-08002B2CF9AE}" pid="8" name="MSIP_Label_3c9aa860-6a65-4942-a19a-0478291725e1_Name">
    <vt:lpwstr>CONFIDENTIAL</vt:lpwstr>
  </property>
  <property fmtid="{D5CDD505-2E9C-101B-9397-08002B2CF9AE}" pid="9" name="MSIP_Label_3c9aa860-6a65-4942-a19a-0478291725e1_SiteId">
    <vt:lpwstr>5d3e2773-e07f-4432-a630-1a0f68a28a05</vt:lpwstr>
  </property>
  <property fmtid="{D5CDD505-2E9C-101B-9397-08002B2CF9AE}" pid="10" name="MSIP_Label_3c9aa860-6a65-4942-a19a-0478291725e1_ActionId">
    <vt:lpwstr>90f0f212-fb55-4c8c-ba7c-59ce92dc1298</vt:lpwstr>
  </property>
  <property fmtid="{D5CDD505-2E9C-101B-9397-08002B2CF9AE}" pid="11" name="MSIP_Label_3c9aa860-6a65-4942-a19a-0478291725e1_ContentBits">
    <vt:lpwstr>2</vt:lpwstr>
  </property>
  <property fmtid="{D5CDD505-2E9C-101B-9397-08002B2CF9AE}" pid="12" name="ContentTypeId">
    <vt:lpwstr>0x010100376674D47D81254AAE898D727025BAAD</vt:lpwstr>
  </property>
</Properties>
</file>