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EED5" w14:textId="77EA4BA1" w:rsidR="00B174A5" w:rsidRPr="00B174A5" w:rsidRDefault="00B174A5" w:rsidP="00B174A5">
      <w:pPr>
        <w:spacing w:after="120"/>
        <w:jc w:val="center"/>
        <w:rPr>
          <w:b/>
          <w:bCs/>
          <w:sz w:val="24"/>
          <w:szCs w:val="24"/>
          <w:u w:val="single"/>
        </w:rPr>
      </w:pPr>
      <w:r w:rsidRPr="00B174A5">
        <w:rPr>
          <w:b/>
          <w:bCs/>
          <w:sz w:val="24"/>
          <w:szCs w:val="24"/>
          <w:u w:val="single"/>
        </w:rPr>
        <w:t>Draft FAQs on the Comparable Standards Safe Harbor</w:t>
      </w:r>
    </w:p>
    <w:p w14:paraId="02D89477" w14:textId="39687A2F" w:rsidR="00B174A5" w:rsidRPr="00B174A5" w:rsidRDefault="00B174A5" w:rsidP="00B174A5">
      <w:pPr>
        <w:spacing w:before="240" w:after="120"/>
        <w:rPr>
          <w:b/>
          <w:bCs/>
          <w:sz w:val="24"/>
          <w:szCs w:val="24"/>
        </w:rPr>
      </w:pPr>
      <w:r w:rsidRPr="00B174A5">
        <w:rPr>
          <w:b/>
          <w:bCs/>
          <w:sz w:val="24"/>
          <w:szCs w:val="24"/>
        </w:rPr>
        <w:t>QXX. What types of recommendations or sales does the safe harbor provision (contained in section E of the revised model) apply to?</w:t>
      </w:r>
    </w:p>
    <w:p w14:paraId="0C1E3DA7" w14:textId="23419E4E" w:rsidR="00B174A5" w:rsidRPr="00B174A5" w:rsidRDefault="00B174A5" w:rsidP="00B174A5">
      <w:pPr>
        <w:spacing w:after="120"/>
        <w:rPr>
          <w:b/>
          <w:bCs/>
          <w:sz w:val="24"/>
          <w:szCs w:val="24"/>
        </w:rPr>
      </w:pPr>
      <w:r w:rsidRPr="00B174A5">
        <w:rPr>
          <w:sz w:val="24"/>
          <w:szCs w:val="24"/>
        </w:rPr>
        <w:t>AXX.</w:t>
      </w:r>
      <w:r w:rsidRPr="00B174A5">
        <w:rPr>
          <w:b/>
          <w:bCs/>
          <w:sz w:val="24"/>
          <w:szCs w:val="24"/>
        </w:rPr>
        <w:t xml:space="preserve"> </w:t>
      </w:r>
      <w:r w:rsidRPr="00B174A5">
        <w:rPr>
          <w:sz w:val="24"/>
          <w:szCs w:val="24"/>
        </w:rPr>
        <w:t xml:space="preserve">The safe harbor provision applies to all recommendations and sales of annuities made by financial professionals in compliance with business rules, controls and procedures that satisfy a comparable standard even if such standard would not otherwise apply to the product or recommendation. </w:t>
      </w:r>
    </w:p>
    <w:p w14:paraId="6DEFD42B" w14:textId="184BCF8B" w:rsidR="00B174A5" w:rsidRPr="00B174A5" w:rsidRDefault="00B174A5" w:rsidP="00B174A5">
      <w:pPr>
        <w:spacing w:before="240" w:after="120"/>
        <w:rPr>
          <w:b/>
          <w:bCs/>
          <w:sz w:val="24"/>
          <w:szCs w:val="24"/>
        </w:rPr>
      </w:pPr>
      <w:r w:rsidRPr="00B174A5">
        <w:rPr>
          <w:b/>
          <w:bCs/>
          <w:sz w:val="24"/>
          <w:szCs w:val="24"/>
        </w:rPr>
        <w:t xml:space="preserve">QXX. When would a producer </w:t>
      </w:r>
      <w:proofErr w:type="gramStart"/>
      <w:r w:rsidRPr="00B174A5">
        <w:rPr>
          <w:b/>
          <w:bCs/>
          <w:sz w:val="24"/>
          <w:szCs w:val="24"/>
        </w:rPr>
        <w:t>be considered to be</w:t>
      </w:r>
      <w:proofErr w:type="gramEnd"/>
      <w:r w:rsidRPr="00B174A5">
        <w:rPr>
          <w:b/>
          <w:bCs/>
          <w:sz w:val="24"/>
          <w:szCs w:val="24"/>
        </w:rPr>
        <w:t xml:space="preserve"> acting as a financial professional </w:t>
      </w:r>
      <w:r w:rsidRPr="00B174A5">
        <w:rPr>
          <w:sz w:val="24"/>
          <w:szCs w:val="24"/>
        </w:rPr>
        <w:t>for purposes of the safe harbor provision</w:t>
      </w:r>
      <w:r w:rsidRPr="00B174A5">
        <w:rPr>
          <w:b/>
          <w:bCs/>
          <w:sz w:val="24"/>
          <w:szCs w:val="24"/>
        </w:rPr>
        <w:t xml:space="preserve">? </w:t>
      </w:r>
    </w:p>
    <w:p w14:paraId="5DB4D55A" w14:textId="6C107C25" w:rsidR="00B174A5" w:rsidRPr="00B174A5" w:rsidRDefault="00B174A5" w:rsidP="00B174A5">
      <w:pPr>
        <w:spacing w:after="120"/>
        <w:rPr>
          <w:sz w:val="24"/>
          <w:szCs w:val="24"/>
        </w:rPr>
      </w:pPr>
      <w:r w:rsidRPr="00B174A5">
        <w:rPr>
          <w:sz w:val="24"/>
          <w:szCs w:val="24"/>
        </w:rPr>
        <w:t xml:space="preserve">AXX. A producer would be considered a financial professional for purposes of the safe harbor provision if they are acting as: </w:t>
      </w:r>
    </w:p>
    <w:p w14:paraId="5BE3B23E" w14:textId="77777777" w:rsidR="00B174A5" w:rsidRPr="00B174A5" w:rsidRDefault="00B174A5" w:rsidP="00B174A5">
      <w:pPr>
        <w:pStyle w:val="Default"/>
        <w:numPr>
          <w:ilvl w:val="0"/>
          <w:numId w:val="17"/>
        </w:numPr>
        <w:spacing w:after="120" w:line="276" w:lineRule="auto"/>
        <w:jc w:val="both"/>
        <w:rPr>
          <w:rFonts w:ascii="Calibri" w:eastAsia="Times New Roman" w:hAnsi="Calibri" w:cs="Calibri"/>
          <w:color w:val="auto"/>
        </w:rPr>
      </w:pPr>
      <w:r w:rsidRPr="00B174A5">
        <w:rPr>
          <w:rFonts w:ascii="Calibri" w:eastAsia="Times New Roman" w:hAnsi="Calibri" w:cs="Calibri"/>
          <w:color w:val="auto"/>
        </w:rPr>
        <w:t xml:space="preserve">A broker-dealer registered under federal [or state] securities laws or a registered representative of a broker-dealer; </w:t>
      </w:r>
    </w:p>
    <w:p w14:paraId="4AA00C98" w14:textId="77777777" w:rsidR="00B174A5" w:rsidRPr="00B174A5" w:rsidRDefault="00B174A5" w:rsidP="00B174A5">
      <w:pPr>
        <w:pStyle w:val="Default"/>
        <w:numPr>
          <w:ilvl w:val="0"/>
          <w:numId w:val="17"/>
        </w:numPr>
        <w:spacing w:after="120" w:line="276" w:lineRule="auto"/>
        <w:jc w:val="both"/>
        <w:rPr>
          <w:rFonts w:ascii="Calibri" w:eastAsia="Times New Roman" w:hAnsi="Calibri" w:cs="Calibri"/>
          <w:color w:val="auto"/>
        </w:rPr>
      </w:pPr>
      <w:r w:rsidRPr="00B174A5">
        <w:rPr>
          <w:rFonts w:ascii="Calibri" w:eastAsia="Times New Roman" w:hAnsi="Calibri" w:cs="Calibri"/>
          <w:color w:val="auto"/>
        </w:rPr>
        <w:t xml:space="preserve">An investment adviser registered under federal [or state] securities laws or an investment adviser representative associated with the federal [or state] registered investment adviser; or </w:t>
      </w:r>
    </w:p>
    <w:p w14:paraId="75383C72" w14:textId="77777777" w:rsidR="00B174A5" w:rsidRPr="00B174A5" w:rsidRDefault="00B174A5" w:rsidP="00B174A5">
      <w:pPr>
        <w:numPr>
          <w:ilvl w:val="0"/>
          <w:numId w:val="17"/>
        </w:numPr>
        <w:spacing w:after="120"/>
        <w:rPr>
          <w:rFonts w:ascii="Calibri" w:eastAsia="Times New Roman" w:hAnsi="Calibri" w:cs="Calibri"/>
          <w:sz w:val="24"/>
          <w:szCs w:val="24"/>
        </w:rPr>
      </w:pPr>
      <w:r w:rsidRPr="00B174A5">
        <w:rPr>
          <w:rFonts w:eastAsia="Times New Roman"/>
          <w:sz w:val="24"/>
          <w:szCs w:val="24"/>
        </w:rPr>
        <w:t>A plan fiduciary under Section 3(21) of the Employee Retirement Income Security Act of 1974 (ERISA) or fiduciary under Section 4975(e)(3) of the Internal Revenue Code (IRC) or any amendments or successor statutes thereto.</w:t>
      </w:r>
    </w:p>
    <w:p w14:paraId="3D304152" w14:textId="2D4F7482" w:rsidR="00B174A5" w:rsidRPr="00B174A5" w:rsidRDefault="00B174A5" w:rsidP="00B174A5">
      <w:pPr>
        <w:spacing w:before="240" w:after="120"/>
        <w:rPr>
          <w:b/>
          <w:bCs/>
          <w:sz w:val="24"/>
          <w:szCs w:val="24"/>
        </w:rPr>
      </w:pPr>
      <w:r w:rsidRPr="00B174A5">
        <w:rPr>
          <w:b/>
          <w:bCs/>
          <w:sz w:val="24"/>
          <w:szCs w:val="24"/>
        </w:rPr>
        <w:t>QXX. What comparable standards meet the criteria for the safe harbor?</w:t>
      </w:r>
    </w:p>
    <w:p w14:paraId="5547F577" w14:textId="0A5B53E3" w:rsidR="00B174A5" w:rsidRPr="00B174A5" w:rsidRDefault="00B174A5" w:rsidP="00B174A5">
      <w:pPr>
        <w:spacing w:after="120"/>
        <w:rPr>
          <w:sz w:val="24"/>
          <w:szCs w:val="24"/>
        </w:rPr>
      </w:pPr>
      <w:r w:rsidRPr="00B174A5">
        <w:rPr>
          <w:sz w:val="24"/>
          <w:szCs w:val="24"/>
        </w:rPr>
        <w:t>AXX. The NAIC considers conduct standards adopted by federal regulators under federal securities laws, ERISA, and the IRC to be comparable standards to Model #275. The revised model includes a drafting note indicating states may wish to consider state securities laws as a comparable standard as well. The revised model also makes clear that the safe harbor will apply even if the comparable standard would not otherwise apply to the product or recommendation at issue. For example, a registered representative of a broker-dealer who complies with the requirements of the SEC’s Regulation Best Interest when recommending a fixed or fixed indexed annuity (which are not securities under federal securities laws) would be covered by the safe harbor even though Regulation Best Interest does not directly apply to those products.</w:t>
      </w:r>
    </w:p>
    <w:p w14:paraId="65611F42" w14:textId="646E5F4F" w:rsidR="00B174A5" w:rsidRPr="00B174A5" w:rsidRDefault="00B174A5" w:rsidP="00B174A5">
      <w:pPr>
        <w:spacing w:before="240" w:after="120"/>
        <w:rPr>
          <w:b/>
          <w:bCs/>
          <w:sz w:val="24"/>
          <w:szCs w:val="24"/>
        </w:rPr>
      </w:pPr>
      <w:r w:rsidRPr="00B174A5">
        <w:rPr>
          <w:b/>
          <w:bCs/>
          <w:sz w:val="24"/>
          <w:szCs w:val="24"/>
        </w:rPr>
        <w:t xml:space="preserve">QXX. If a financial professional makes a recommendation or sale of an annuity in full compliance with a comparable standard, does the financial professional also have to satisfy </w:t>
      </w:r>
      <w:proofErr w:type="gramStart"/>
      <w:r w:rsidRPr="00B174A5">
        <w:rPr>
          <w:b/>
          <w:bCs/>
          <w:sz w:val="24"/>
          <w:szCs w:val="24"/>
        </w:rPr>
        <w:t>all of</w:t>
      </w:r>
      <w:proofErr w:type="gramEnd"/>
      <w:r w:rsidRPr="00B174A5">
        <w:rPr>
          <w:b/>
          <w:bCs/>
          <w:sz w:val="24"/>
          <w:szCs w:val="24"/>
        </w:rPr>
        <w:t xml:space="preserve"> the specific requirements of the revised model?</w:t>
      </w:r>
    </w:p>
    <w:p w14:paraId="43FF7CCD" w14:textId="57216E7E" w:rsidR="00B174A5" w:rsidRPr="00B174A5" w:rsidRDefault="00B174A5" w:rsidP="00B174A5">
      <w:pPr>
        <w:spacing w:after="120"/>
        <w:rPr>
          <w:sz w:val="24"/>
          <w:szCs w:val="24"/>
        </w:rPr>
      </w:pPr>
      <w:r w:rsidRPr="00B174A5">
        <w:rPr>
          <w:sz w:val="24"/>
          <w:szCs w:val="24"/>
        </w:rPr>
        <w:t xml:space="preserve">AXX. No, a financial professional who fully satisfies the requirements of a comparable standard is considered to have met their obligations under the revised </w:t>
      </w:r>
      <w:proofErr w:type="gramStart"/>
      <w:r w:rsidRPr="00B174A5">
        <w:rPr>
          <w:sz w:val="24"/>
          <w:szCs w:val="24"/>
        </w:rPr>
        <w:t>model, and</w:t>
      </w:r>
      <w:proofErr w:type="gramEnd"/>
      <w:r w:rsidRPr="00B174A5">
        <w:rPr>
          <w:sz w:val="24"/>
          <w:szCs w:val="24"/>
        </w:rPr>
        <w:t xml:space="preserve"> does not need to also comply </w:t>
      </w:r>
      <w:r w:rsidRPr="00B174A5">
        <w:rPr>
          <w:sz w:val="24"/>
          <w:szCs w:val="24"/>
        </w:rPr>
        <w:lastRenderedPageBreak/>
        <w:t>with any additional obligations imposed by the revised model. However, actual compliance with the applicable comparable standard is required; state insurance departments retain the authority to examine and investigate the conduct of a financial professional who is relying on the safe harbor to ensure compliance with the applicable comparable standard and can take enforcement action against a producer who fails to fully comply with that comparable standard when recommending or selling an annuity.</w:t>
      </w:r>
    </w:p>
    <w:p w14:paraId="765E8482" w14:textId="53B7B328" w:rsidR="00B174A5" w:rsidRPr="00B174A5" w:rsidRDefault="00B174A5" w:rsidP="00B174A5">
      <w:pPr>
        <w:spacing w:before="240" w:after="120"/>
        <w:rPr>
          <w:b/>
          <w:bCs/>
          <w:sz w:val="24"/>
          <w:szCs w:val="24"/>
        </w:rPr>
      </w:pPr>
      <w:r w:rsidRPr="00B174A5">
        <w:rPr>
          <w:b/>
          <w:bCs/>
          <w:sz w:val="24"/>
          <w:szCs w:val="24"/>
        </w:rPr>
        <w:t>QXX. Are there specific conditions an insurer must meet for the safe harbor to apply?</w:t>
      </w:r>
    </w:p>
    <w:p w14:paraId="7C5F9A7F" w14:textId="2551C695" w:rsidR="00B174A5" w:rsidRPr="00B174A5" w:rsidRDefault="00B174A5" w:rsidP="00B174A5">
      <w:pPr>
        <w:spacing w:after="120"/>
        <w:rPr>
          <w:sz w:val="24"/>
          <w:szCs w:val="24"/>
        </w:rPr>
      </w:pPr>
      <w:r w:rsidRPr="00B174A5">
        <w:rPr>
          <w:sz w:val="24"/>
          <w:szCs w:val="24"/>
        </w:rPr>
        <w:t>AXX. Yes, a financial professional will only be able to rely on the safe harbor if the insurer whose product is being recommended or sold:</w:t>
      </w:r>
    </w:p>
    <w:p w14:paraId="58C2CC85" w14:textId="77777777" w:rsidR="00B174A5" w:rsidRPr="00B174A5" w:rsidRDefault="00B174A5" w:rsidP="00B174A5">
      <w:pPr>
        <w:pStyle w:val="Default"/>
        <w:numPr>
          <w:ilvl w:val="0"/>
          <w:numId w:val="18"/>
        </w:numPr>
        <w:spacing w:after="120" w:line="276" w:lineRule="auto"/>
        <w:jc w:val="both"/>
        <w:rPr>
          <w:rFonts w:ascii="Calibri" w:eastAsia="Times New Roman" w:hAnsi="Calibri" w:cs="Calibri"/>
          <w:color w:val="auto"/>
        </w:rPr>
      </w:pPr>
      <w:r w:rsidRPr="00B174A5">
        <w:rPr>
          <w:rFonts w:ascii="Calibri" w:eastAsia="Times New Roman" w:hAnsi="Calibri" w:cs="Calibri"/>
          <w:color w:val="auto"/>
        </w:rPr>
        <w:t xml:space="preserve">Monitors the relevant conduct of the financial professional or the entity responsible for supervising the financial professional; and </w:t>
      </w:r>
    </w:p>
    <w:p w14:paraId="442CFB3C" w14:textId="77777777" w:rsidR="00B174A5" w:rsidRPr="00B174A5" w:rsidRDefault="00B174A5" w:rsidP="00B174A5">
      <w:pPr>
        <w:pStyle w:val="Default"/>
        <w:numPr>
          <w:ilvl w:val="0"/>
          <w:numId w:val="18"/>
        </w:numPr>
        <w:spacing w:after="120" w:line="276" w:lineRule="auto"/>
        <w:jc w:val="both"/>
        <w:rPr>
          <w:rFonts w:ascii="Calibri" w:eastAsia="Times New Roman" w:hAnsi="Calibri" w:cs="Calibri"/>
          <w:color w:val="auto"/>
        </w:rPr>
      </w:pPr>
      <w:r w:rsidRPr="00B174A5">
        <w:rPr>
          <w:rFonts w:ascii="Calibri" w:eastAsia="Times New Roman" w:hAnsi="Calibri" w:cs="Calibri"/>
          <w:color w:val="auto"/>
        </w:rPr>
        <w:t>Provides the entity responsible for supervising the financial professional with information and reports that will assist that entity with its supervision efforts.</w:t>
      </w:r>
    </w:p>
    <w:p w14:paraId="30149E9B" w14:textId="11528116" w:rsidR="00B174A5" w:rsidRPr="00B174A5" w:rsidRDefault="00B174A5" w:rsidP="00B174A5">
      <w:pPr>
        <w:spacing w:before="240" w:after="120"/>
        <w:rPr>
          <w:b/>
          <w:bCs/>
          <w:sz w:val="24"/>
          <w:szCs w:val="24"/>
        </w:rPr>
      </w:pPr>
      <w:r w:rsidRPr="00B174A5">
        <w:rPr>
          <w:b/>
          <w:bCs/>
          <w:sz w:val="24"/>
          <w:szCs w:val="24"/>
        </w:rPr>
        <w:t>QXX. Do insurers have any other obligations under the revised model with respect to producers seeking to rely on the safe harbor?</w:t>
      </w:r>
    </w:p>
    <w:p w14:paraId="2B49C902" w14:textId="1267F249" w:rsidR="00B174A5" w:rsidRPr="00B174A5" w:rsidRDefault="00B174A5" w:rsidP="00B174A5">
      <w:pPr>
        <w:spacing w:after="120"/>
        <w:rPr>
          <w:sz w:val="24"/>
          <w:szCs w:val="24"/>
        </w:rPr>
      </w:pPr>
      <w:r w:rsidRPr="00B174A5">
        <w:rPr>
          <w:sz w:val="24"/>
          <w:szCs w:val="24"/>
        </w:rPr>
        <w:t>AXX. Yes, insurers remain subject to the obligation under Section 6C(1) to “not issue an annuity recommended to a consumer unless there is a reasonable basis to believe the annuity would effectively address the particular consumer’s financial situation, insurance needs and financial objectives based on the consumer’s consumer profile information.” However, insurers may base their analysis on information received from either the financial professional or the entity supervising the financial professional and are not otherwise required to also perform all of the specific supervisory functions outlined in Section 6C(2) as long as the financial professional’s conduct is being supervised (whether by the insurer or by another entity with responsibility for supervision of the financial professional) in accordance with the relevant comparable standard.</w:t>
      </w:r>
    </w:p>
    <w:p w14:paraId="1C6C0D40" w14:textId="77777777" w:rsidR="00B174A5" w:rsidRDefault="00B174A5">
      <w:pPr>
        <w:spacing w:after="120"/>
        <w:ind w:hanging="360"/>
        <w:rPr>
          <w:b/>
          <w:bCs/>
          <w:sz w:val="24"/>
          <w:szCs w:val="24"/>
          <w:u w:val="single"/>
        </w:rPr>
      </w:pPr>
      <w:r>
        <w:rPr>
          <w:b/>
          <w:bCs/>
          <w:sz w:val="24"/>
          <w:szCs w:val="24"/>
          <w:u w:val="single"/>
        </w:rPr>
        <w:br w:type="page"/>
      </w:r>
    </w:p>
    <w:p w14:paraId="5B0D2AFA" w14:textId="27B31652" w:rsidR="00045323" w:rsidRPr="00B269B6" w:rsidRDefault="00045323" w:rsidP="00B269B6">
      <w:pPr>
        <w:spacing w:after="120"/>
        <w:jc w:val="center"/>
        <w:rPr>
          <w:b/>
          <w:bCs/>
          <w:sz w:val="24"/>
          <w:szCs w:val="24"/>
          <w:u w:val="single"/>
        </w:rPr>
      </w:pPr>
      <w:r w:rsidRPr="00B269B6">
        <w:rPr>
          <w:b/>
          <w:bCs/>
          <w:sz w:val="24"/>
          <w:szCs w:val="24"/>
          <w:u w:val="single"/>
        </w:rPr>
        <w:lastRenderedPageBreak/>
        <w:t>Producer Training and Reciprocity Under 2020 Version of NAIC MDL 275</w:t>
      </w:r>
    </w:p>
    <w:p w14:paraId="23369881" w14:textId="52A2F268" w:rsidR="00045323" w:rsidRPr="00B269B6" w:rsidRDefault="00045323" w:rsidP="00B269B6">
      <w:pPr>
        <w:spacing w:after="120"/>
        <w:rPr>
          <w:sz w:val="24"/>
          <w:szCs w:val="24"/>
        </w:rPr>
      </w:pPr>
      <w:r w:rsidRPr="00B269B6">
        <w:rPr>
          <w:sz w:val="24"/>
          <w:szCs w:val="24"/>
        </w:rPr>
        <w:t xml:space="preserve">The </w:t>
      </w:r>
      <w:r w:rsidR="002A61D5">
        <w:rPr>
          <w:sz w:val="24"/>
          <w:szCs w:val="24"/>
        </w:rPr>
        <w:t>National Association of Insurance Commissioners (NAIC)</w:t>
      </w:r>
      <w:r w:rsidRPr="00B269B6">
        <w:rPr>
          <w:sz w:val="24"/>
          <w:szCs w:val="24"/>
        </w:rPr>
        <w:t xml:space="preserve"> </w:t>
      </w:r>
      <w:hyperlink r:id="rId8" w:history="1">
        <w:r w:rsidRPr="002A61D5">
          <w:rPr>
            <w:rStyle w:val="Hyperlink"/>
            <w:sz w:val="24"/>
            <w:szCs w:val="24"/>
          </w:rPr>
          <w:t xml:space="preserve">Suitability in Annuity Transactions Model Regulation </w:t>
        </w:r>
        <w:r w:rsidR="002A61D5" w:rsidRPr="002A61D5">
          <w:rPr>
            <w:rStyle w:val="Hyperlink"/>
            <w:sz w:val="24"/>
            <w:szCs w:val="24"/>
          </w:rPr>
          <w:t>(MDL 275)</w:t>
        </w:r>
      </w:hyperlink>
      <w:r w:rsidR="002A61D5">
        <w:rPr>
          <w:sz w:val="24"/>
          <w:szCs w:val="24"/>
        </w:rPr>
        <w:t xml:space="preserve"> </w:t>
      </w:r>
      <w:r w:rsidRPr="00B269B6">
        <w:rPr>
          <w:sz w:val="24"/>
          <w:szCs w:val="24"/>
        </w:rPr>
        <w:t xml:space="preserve">has, since 2010, required insurance producers who recommend and sell annuities to consumers to complete a one-time, four credit hour training course that covers general annuity principles – including the types and uses of annuities, how annuity contract features affect consumers, and tax implications – as well as information about the requirements of the Model. </w:t>
      </w:r>
    </w:p>
    <w:p w14:paraId="008564FC" w14:textId="64E864C3" w:rsidR="00045323" w:rsidRPr="00B269B6" w:rsidRDefault="00045323" w:rsidP="00B269B6">
      <w:pPr>
        <w:spacing w:after="120"/>
        <w:rPr>
          <w:sz w:val="24"/>
          <w:szCs w:val="24"/>
        </w:rPr>
      </w:pPr>
      <w:r w:rsidRPr="00B269B6">
        <w:rPr>
          <w:sz w:val="24"/>
          <w:szCs w:val="24"/>
        </w:rPr>
        <w:t>The Model also provides that a producer who completes a course that meets the training requirement in one state would not need to re-take the training in other states that impose substantially similar requirements. This is generally referred to as “reciprocity.”</w:t>
      </w:r>
    </w:p>
    <w:p w14:paraId="187FBC0A" w14:textId="45FC6EE7" w:rsidR="00045323" w:rsidRPr="00B269B6" w:rsidRDefault="00045323" w:rsidP="00B269B6">
      <w:pPr>
        <w:spacing w:after="120"/>
        <w:rPr>
          <w:sz w:val="24"/>
          <w:szCs w:val="24"/>
        </w:rPr>
      </w:pPr>
      <w:r w:rsidRPr="00B269B6">
        <w:rPr>
          <w:sz w:val="24"/>
          <w:szCs w:val="24"/>
        </w:rPr>
        <w:t xml:space="preserve">The 2020 amendments to the Model expanded the topics to be covered by the required training to include information about the </w:t>
      </w:r>
      <w:r w:rsidR="00081748" w:rsidRPr="00B269B6">
        <w:rPr>
          <w:sz w:val="24"/>
          <w:szCs w:val="24"/>
        </w:rPr>
        <w:t xml:space="preserve">new best interest </w:t>
      </w:r>
      <w:r w:rsidRPr="00B269B6">
        <w:rPr>
          <w:sz w:val="24"/>
          <w:szCs w:val="24"/>
        </w:rPr>
        <w:t xml:space="preserve">standard of conduct applicable to producers when they recommend and sell annuities. In recognition of the fact that many producers completed the required training before this new requirement was added, the Model allows such producers to remain in compliance by taking a one-time, one credit hour course that covers the applicable standard of conduct. The insurance departments in some states where the revised Model has been adopted or enacted have opted to discontinue this one credit hour option after a set </w:t>
      </w:r>
      <w:proofErr w:type="gramStart"/>
      <w:r w:rsidRPr="00B269B6">
        <w:rPr>
          <w:sz w:val="24"/>
          <w:szCs w:val="24"/>
        </w:rPr>
        <w:t>period of time</w:t>
      </w:r>
      <w:proofErr w:type="gramEnd"/>
      <w:r w:rsidRPr="00B269B6">
        <w:rPr>
          <w:sz w:val="24"/>
          <w:szCs w:val="24"/>
        </w:rPr>
        <w:t>, while the others have not set an end-date for this option</w:t>
      </w:r>
      <w:r w:rsidR="00081748" w:rsidRPr="00B269B6">
        <w:rPr>
          <w:sz w:val="24"/>
          <w:szCs w:val="24"/>
        </w:rPr>
        <w:t>.</w:t>
      </w:r>
    </w:p>
    <w:p w14:paraId="775D90B7" w14:textId="275105D3" w:rsidR="00045323" w:rsidRDefault="00081748" w:rsidP="00B269B6">
      <w:pPr>
        <w:spacing w:after="120"/>
        <w:rPr>
          <w:sz w:val="24"/>
          <w:szCs w:val="24"/>
        </w:rPr>
      </w:pPr>
      <w:r w:rsidRPr="00B269B6">
        <w:rPr>
          <w:sz w:val="24"/>
          <w:szCs w:val="24"/>
        </w:rPr>
        <w:t>The producer training provision has been the source of significant</w:t>
      </w:r>
      <w:r w:rsidR="00045323" w:rsidRPr="00B269B6">
        <w:rPr>
          <w:sz w:val="24"/>
          <w:szCs w:val="24"/>
        </w:rPr>
        <w:t xml:space="preserve"> confusion </w:t>
      </w:r>
      <w:r w:rsidRPr="00B269B6">
        <w:rPr>
          <w:sz w:val="24"/>
          <w:szCs w:val="24"/>
        </w:rPr>
        <w:t xml:space="preserve">for the industry </w:t>
      </w:r>
      <w:r w:rsidR="009C372A" w:rsidRPr="00B269B6">
        <w:rPr>
          <w:sz w:val="24"/>
          <w:szCs w:val="24"/>
        </w:rPr>
        <w:t xml:space="preserve">and the regulators in several states where the revised Model has been enacted or adopted. This confusion is largely attributable to the fact that any individual producer’s actual training obligations will vary based on when and where the producer is licensed, as well as whether and when the producer has completed any or </w:t>
      </w:r>
      <w:proofErr w:type="gramStart"/>
      <w:r w:rsidR="009C372A" w:rsidRPr="00B269B6">
        <w:rPr>
          <w:sz w:val="24"/>
          <w:szCs w:val="24"/>
        </w:rPr>
        <w:t>all of</w:t>
      </w:r>
      <w:proofErr w:type="gramEnd"/>
      <w:r w:rsidR="009C372A" w:rsidRPr="00B269B6">
        <w:rPr>
          <w:sz w:val="24"/>
          <w:szCs w:val="24"/>
        </w:rPr>
        <w:t xml:space="preserve"> the required training. </w:t>
      </w:r>
    </w:p>
    <w:p w14:paraId="091BEBFE" w14:textId="345A569C" w:rsidR="009C372A" w:rsidRPr="00B269B6" w:rsidRDefault="002A61D5" w:rsidP="00B269B6">
      <w:pPr>
        <w:spacing w:after="120"/>
        <w:rPr>
          <w:sz w:val="24"/>
          <w:szCs w:val="24"/>
        </w:rPr>
      </w:pPr>
      <w:r>
        <w:rPr>
          <w:sz w:val="24"/>
          <w:szCs w:val="24"/>
        </w:rPr>
        <w:t xml:space="preserve">The NAIC issued a set of </w:t>
      </w:r>
      <w:hyperlink r:id="rId9" w:history="1">
        <w:r w:rsidR="003120B9">
          <w:rPr>
            <w:rStyle w:val="Hyperlink"/>
            <w:sz w:val="24"/>
            <w:szCs w:val="24"/>
          </w:rPr>
          <w:t>frequently asked questions (FAQs)</w:t>
        </w:r>
      </w:hyperlink>
      <w:r>
        <w:rPr>
          <w:sz w:val="24"/>
          <w:szCs w:val="24"/>
        </w:rPr>
        <w:t xml:space="preserve"> in July 2021 that, among other things, addressed a number of questions related to the producer training requirement. As a supplement to those FAQs and to further </w:t>
      </w:r>
      <w:r w:rsidR="009C372A" w:rsidRPr="00B269B6">
        <w:rPr>
          <w:sz w:val="24"/>
          <w:szCs w:val="24"/>
        </w:rPr>
        <w:t xml:space="preserve">assist the industry and the regulators in navigating this complex situation, a coalition of industry trade organizations developed </w:t>
      </w:r>
      <w:r>
        <w:rPr>
          <w:sz w:val="24"/>
          <w:szCs w:val="24"/>
        </w:rPr>
        <w:t>the following</w:t>
      </w:r>
      <w:r w:rsidR="009C372A" w:rsidRPr="00B269B6">
        <w:rPr>
          <w:sz w:val="24"/>
          <w:szCs w:val="24"/>
        </w:rPr>
        <w:t xml:space="preserve"> chart </w:t>
      </w:r>
      <w:r>
        <w:rPr>
          <w:sz w:val="24"/>
          <w:szCs w:val="24"/>
        </w:rPr>
        <w:t>to</w:t>
      </w:r>
      <w:r w:rsidR="009C372A" w:rsidRPr="00B269B6">
        <w:rPr>
          <w:sz w:val="24"/>
          <w:szCs w:val="24"/>
        </w:rPr>
        <w:t xml:space="preserve"> outline precisely what training would be required under </w:t>
      </w:r>
      <w:proofErr w:type="gramStart"/>
      <w:r w:rsidR="009C372A" w:rsidRPr="00B269B6">
        <w:rPr>
          <w:sz w:val="24"/>
          <w:szCs w:val="24"/>
        </w:rPr>
        <w:t>a number of</w:t>
      </w:r>
      <w:proofErr w:type="gramEnd"/>
      <w:r w:rsidR="009C372A" w:rsidRPr="00B269B6">
        <w:rPr>
          <w:sz w:val="24"/>
          <w:szCs w:val="24"/>
        </w:rPr>
        <w:t xml:space="preserve"> different scenarios. Note that this chart </w:t>
      </w:r>
      <w:r w:rsidR="00B269B6" w:rsidRPr="00B269B6">
        <w:rPr>
          <w:sz w:val="24"/>
          <w:szCs w:val="24"/>
        </w:rPr>
        <w:t xml:space="preserve">does </w:t>
      </w:r>
      <w:r w:rsidR="009C372A" w:rsidRPr="00B269B6">
        <w:rPr>
          <w:sz w:val="24"/>
          <w:szCs w:val="24"/>
        </w:rPr>
        <w:t xml:space="preserve">not include every conceivable scenario, but we believe it covers the most common </w:t>
      </w:r>
      <w:r w:rsidR="00B269B6" w:rsidRPr="00B269B6">
        <w:rPr>
          <w:sz w:val="24"/>
          <w:szCs w:val="24"/>
        </w:rPr>
        <w:t xml:space="preserve">scenarios. </w:t>
      </w:r>
    </w:p>
    <w:p w14:paraId="389EC23C" w14:textId="77777777" w:rsidR="00045323" w:rsidRDefault="00045323" w:rsidP="00081748">
      <w:pPr>
        <w:spacing w:after="120"/>
      </w:pPr>
    </w:p>
    <w:p w14:paraId="4C93B7EA" w14:textId="77777777" w:rsidR="00045323" w:rsidRDefault="00045323" w:rsidP="00A369F9">
      <w:pPr>
        <w:spacing w:before="60" w:after="60"/>
        <w:rPr>
          <w:rFonts w:cstheme="minorHAnsi"/>
          <w:b/>
          <w:bCs/>
        </w:rPr>
        <w:sectPr w:rsidR="00045323" w:rsidSect="002456DA">
          <w:headerReference w:type="default" r:id="rId10"/>
          <w:pgSz w:w="12240" w:h="15840"/>
          <w:pgMar w:top="1440" w:right="1080" w:bottom="1440" w:left="1080" w:header="720" w:footer="720" w:gutter="0"/>
          <w:cols w:space="720"/>
          <w:docGrid w:linePitch="360"/>
        </w:sectPr>
      </w:pPr>
    </w:p>
    <w:tbl>
      <w:tblPr>
        <w:tblW w:w="11160" w:type="dxa"/>
        <w:jc w:val="center"/>
        <w:tblLayout w:type="fixed"/>
        <w:tblCellMar>
          <w:left w:w="0" w:type="dxa"/>
          <w:right w:w="0" w:type="dxa"/>
        </w:tblCellMar>
        <w:tblLook w:val="04A0" w:firstRow="1" w:lastRow="0" w:firstColumn="1" w:lastColumn="0" w:noHBand="0" w:noVBand="1"/>
      </w:tblPr>
      <w:tblGrid>
        <w:gridCol w:w="360"/>
        <w:gridCol w:w="3240"/>
        <w:gridCol w:w="3960"/>
        <w:gridCol w:w="3600"/>
      </w:tblGrid>
      <w:tr w:rsidR="00050F38" w:rsidRPr="00F607B9" w14:paraId="3F21C1E9" w14:textId="77777777" w:rsidTr="00F607B9">
        <w:trPr>
          <w:cantSplit/>
          <w:tblHeader/>
          <w:jc w:val="center"/>
        </w:trPr>
        <w:tc>
          <w:tcPr>
            <w:tcW w:w="360" w:type="dxa"/>
            <w:tcBorders>
              <w:bottom w:val="single" w:sz="12" w:space="0" w:color="auto"/>
              <w:right w:val="single" w:sz="12" w:space="0" w:color="auto"/>
            </w:tcBorders>
            <w:shd w:val="clear" w:color="auto" w:fill="auto"/>
          </w:tcPr>
          <w:p w14:paraId="0662D1BC" w14:textId="77777777" w:rsidR="00050F38" w:rsidRPr="00F607B9" w:rsidRDefault="00050F38" w:rsidP="00A74735">
            <w:pPr>
              <w:spacing w:before="60" w:after="60" w:line="264" w:lineRule="auto"/>
              <w:rPr>
                <w:rFonts w:cstheme="minorHAnsi"/>
                <w:b/>
                <w:bCs/>
                <w:sz w:val="21"/>
                <w:szCs w:val="21"/>
              </w:rPr>
            </w:pPr>
          </w:p>
        </w:tc>
        <w:tc>
          <w:tcPr>
            <w:tcW w:w="3240" w:type="dxa"/>
            <w:tcBorders>
              <w:top w:val="single" w:sz="12" w:space="0" w:color="auto"/>
              <w:left w:val="single" w:sz="12" w:space="0" w:color="auto"/>
              <w:bottom w:val="single" w:sz="12" w:space="0" w:color="auto"/>
              <w:right w:val="single" w:sz="8" w:space="0" w:color="auto"/>
            </w:tcBorders>
            <w:shd w:val="clear" w:color="auto" w:fill="FFC000" w:themeFill="accent4"/>
            <w:tcMar>
              <w:top w:w="0" w:type="dxa"/>
              <w:left w:w="108" w:type="dxa"/>
              <w:bottom w:w="0" w:type="dxa"/>
              <w:right w:w="108" w:type="dxa"/>
            </w:tcMar>
            <w:hideMark/>
          </w:tcPr>
          <w:p w14:paraId="722B7300" w14:textId="67536BFE" w:rsidR="00050F38" w:rsidRPr="00F607B9" w:rsidRDefault="00050F38" w:rsidP="00A74735">
            <w:pPr>
              <w:spacing w:before="60" w:after="60" w:line="264" w:lineRule="auto"/>
              <w:rPr>
                <w:rFonts w:cstheme="minorHAnsi"/>
                <w:b/>
                <w:bCs/>
                <w:sz w:val="21"/>
                <w:szCs w:val="21"/>
              </w:rPr>
            </w:pPr>
            <w:r w:rsidRPr="00F607B9">
              <w:rPr>
                <w:rFonts w:cstheme="minorHAnsi"/>
                <w:b/>
                <w:bCs/>
                <w:sz w:val="21"/>
                <w:szCs w:val="21"/>
              </w:rPr>
              <w:t>Licensing Status</w:t>
            </w:r>
          </w:p>
        </w:tc>
        <w:tc>
          <w:tcPr>
            <w:tcW w:w="3960" w:type="dxa"/>
            <w:tcBorders>
              <w:top w:val="single" w:sz="12" w:space="0" w:color="auto"/>
              <w:left w:val="nil"/>
              <w:bottom w:val="single" w:sz="12" w:space="0" w:color="auto"/>
              <w:right w:val="single" w:sz="8" w:space="0" w:color="auto"/>
            </w:tcBorders>
            <w:shd w:val="clear" w:color="auto" w:fill="FFC000" w:themeFill="accent4"/>
            <w:tcMar>
              <w:top w:w="0" w:type="dxa"/>
              <w:left w:w="108" w:type="dxa"/>
              <w:bottom w:w="0" w:type="dxa"/>
              <w:right w:w="108" w:type="dxa"/>
            </w:tcMar>
            <w:hideMark/>
          </w:tcPr>
          <w:p w14:paraId="07E7BE11" w14:textId="77777777" w:rsidR="00050F38" w:rsidRPr="00F607B9" w:rsidRDefault="00050F38" w:rsidP="00A74735">
            <w:pPr>
              <w:spacing w:before="60" w:after="60" w:line="264" w:lineRule="auto"/>
              <w:rPr>
                <w:rFonts w:cstheme="minorHAnsi"/>
                <w:b/>
                <w:bCs/>
                <w:sz w:val="21"/>
                <w:szCs w:val="21"/>
              </w:rPr>
            </w:pPr>
            <w:r w:rsidRPr="00F607B9">
              <w:rPr>
                <w:rFonts w:cstheme="minorHAnsi"/>
                <w:b/>
                <w:bCs/>
                <w:color w:val="000000"/>
                <w:sz w:val="21"/>
                <w:szCs w:val="21"/>
              </w:rPr>
              <w:t>Training Status</w:t>
            </w:r>
          </w:p>
        </w:tc>
        <w:tc>
          <w:tcPr>
            <w:tcW w:w="3600" w:type="dxa"/>
            <w:tcBorders>
              <w:top w:val="single" w:sz="12" w:space="0" w:color="auto"/>
              <w:left w:val="nil"/>
              <w:bottom w:val="single" w:sz="12" w:space="0" w:color="auto"/>
              <w:right w:val="single" w:sz="12" w:space="0" w:color="auto"/>
            </w:tcBorders>
            <w:shd w:val="clear" w:color="auto" w:fill="FFC000" w:themeFill="accent4"/>
            <w:tcMar>
              <w:top w:w="0" w:type="dxa"/>
              <w:left w:w="108" w:type="dxa"/>
              <w:bottom w:w="0" w:type="dxa"/>
              <w:right w:w="108" w:type="dxa"/>
            </w:tcMar>
            <w:hideMark/>
          </w:tcPr>
          <w:p w14:paraId="6073376A" w14:textId="03191A18" w:rsidR="00050F38" w:rsidRPr="00F607B9" w:rsidRDefault="00050F38" w:rsidP="00A74735">
            <w:pPr>
              <w:spacing w:before="60" w:after="60" w:line="264" w:lineRule="auto"/>
              <w:rPr>
                <w:rFonts w:cstheme="minorHAnsi"/>
                <w:b/>
                <w:bCs/>
                <w:sz w:val="21"/>
                <w:szCs w:val="21"/>
              </w:rPr>
            </w:pPr>
            <w:r w:rsidRPr="00F607B9">
              <w:rPr>
                <w:rFonts w:cstheme="minorHAnsi"/>
                <w:b/>
                <w:bCs/>
                <w:color w:val="000000"/>
                <w:sz w:val="21"/>
                <w:szCs w:val="21"/>
              </w:rPr>
              <w:t>Training Requirement</w:t>
            </w:r>
          </w:p>
        </w:tc>
      </w:tr>
      <w:tr w:rsidR="00050F38" w:rsidRPr="00F607B9" w14:paraId="2E792628" w14:textId="77777777" w:rsidTr="00F607B9">
        <w:trPr>
          <w:cantSplit/>
          <w:trHeight w:val="1134"/>
          <w:jc w:val="center"/>
        </w:trPr>
        <w:tc>
          <w:tcPr>
            <w:tcW w:w="360" w:type="dxa"/>
            <w:tcBorders>
              <w:top w:val="single" w:sz="12" w:space="0" w:color="auto"/>
              <w:left w:val="single" w:sz="12" w:space="0" w:color="auto"/>
              <w:bottom w:val="single" w:sz="12" w:space="0" w:color="auto"/>
              <w:right w:val="single" w:sz="12" w:space="0" w:color="auto"/>
            </w:tcBorders>
            <w:shd w:val="clear" w:color="auto" w:fill="00B0F0"/>
            <w:textDirection w:val="btLr"/>
            <w:vAlign w:val="center"/>
          </w:tcPr>
          <w:p w14:paraId="7A45E9E1" w14:textId="36B596AB" w:rsidR="00050F38" w:rsidRPr="00F607B9" w:rsidRDefault="00050F38" w:rsidP="00A74735">
            <w:pPr>
              <w:pStyle w:val="ListParagraph"/>
              <w:spacing w:after="0" w:line="264" w:lineRule="auto"/>
              <w:ind w:left="360" w:right="113"/>
              <w:contextualSpacing w:val="0"/>
              <w:jc w:val="center"/>
              <w:rPr>
                <w:rFonts w:cstheme="minorHAnsi"/>
                <w:color w:val="000000"/>
                <w:sz w:val="21"/>
                <w:szCs w:val="21"/>
              </w:rPr>
            </w:pPr>
            <w:r w:rsidRPr="00F607B9">
              <w:rPr>
                <w:rFonts w:cstheme="minorHAnsi"/>
                <w:b/>
                <w:bCs/>
                <w:sz w:val="21"/>
                <w:szCs w:val="21"/>
              </w:rPr>
              <w:t>SCENARIO #1</w:t>
            </w:r>
          </w:p>
        </w:tc>
        <w:tc>
          <w:tcPr>
            <w:tcW w:w="3240"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731E95BD" w14:textId="3D022FA5" w:rsidR="00050F38" w:rsidRPr="00F607B9" w:rsidRDefault="00050F38" w:rsidP="00A74735">
            <w:pPr>
              <w:spacing w:before="60" w:after="0" w:line="264" w:lineRule="auto"/>
              <w:rPr>
                <w:rFonts w:cstheme="minorHAnsi"/>
                <w:sz w:val="21"/>
                <w:szCs w:val="21"/>
              </w:rPr>
            </w:pPr>
            <w:r w:rsidRPr="00F607B9">
              <w:rPr>
                <w:rFonts w:cstheme="minorHAnsi"/>
                <w:color w:val="000000"/>
                <w:sz w:val="21"/>
                <w:szCs w:val="21"/>
              </w:rPr>
              <w:t>Producer applies for license in 2020 Model state</w:t>
            </w:r>
            <w:r w:rsidRPr="00F607B9">
              <w:rPr>
                <w:rStyle w:val="FootnoteReference"/>
                <w:rFonts w:cstheme="minorHAnsi"/>
                <w:color w:val="000000"/>
                <w:sz w:val="21"/>
                <w:szCs w:val="21"/>
              </w:rPr>
              <w:footnoteReference w:id="1"/>
            </w:r>
            <w:r w:rsidRPr="00F607B9">
              <w:rPr>
                <w:rFonts w:cstheme="minorHAnsi"/>
                <w:color w:val="000000"/>
                <w:sz w:val="21"/>
                <w:szCs w:val="21"/>
              </w:rPr>
              <w:t xml:space="preserve"> (“</w:t>
            </w:r>
            <w:r w:rsidRPr="00F607B9">
              <w:rPr>
                <w:rFonts w:cstheme="minorHAnsi"/>
                <w:b/>
                <w:bCs/>
                <w:i/>
                <w:iCs/>
                <w:color w:val="000000"/>
                <w:sz w:val="21"/>
                <w:szCs w:val="21"/>
              </w:rPr>
              <w:t>State A</w:t>
            </w:r>
            <w:r w:rsidRPr="00F607B9">
              <w:rPr>
                <w:rFonts w:cstheme="minorHAnsi"/>
                <w:color w:val="000000"/>
                <w:sz w:val="21"/>
                <w:szCs w:val="21"/>
              </w:rPr>
              <w:t>”) on or after effective date</w:t>
            </w:r>
            <w:r w:rsidRPr="00F607B9">
              <w:rPr>
                <w:rStyle w:val="FootnoteReference"/>
                <w:rFonts w:cstheme="minorHAnsi"/>
                <w:color w:val="000000"/>
                <w:sz w:val="21"/>
                <w:szCs w:val="21"/>
              </w:rPr>
              <w:footnoteReference w:id="2"/>
            </w:r>
          </w:p>
          <w:p w14:paraId="7763676C" w14:textId="1B0F7499" w:rsidR="00050F38" w:rsidRPr="00F607B9" w:rsidRDefault="00050F38" w:rsidP="00A74735">
            <w:pPr>
              <w:spacing w:after="0" w:line="264" w:lineRule="auto"/>
              <w:ind w:left="360"/>
              <w:rPr>
                <w:rFonts w:cstheme="minorHAnsi"/>
                <w:b/>
                <w:bCs/>
                <w:sz w:val="21"/>
                <w:szCs w:val="21"/>
                <w:u w:val="single"/>
              </w:rPr>
            </w:pPr>
            <w:r w:rsidRPr="00F607B9">
              <w:rPr>
                <w:rFonts w:cstheme="minorHAnsi"/>
                <w:b/>
                <w:bCs/>
                <w:color w:val="000000"/>
                <w:sz w:val="21"/>
                <w:szCs w:val="21"/>
                <w:u w:val="single"/>
              </w:rPr>
              <w:t>AND</w:t>
            </w:r>
          </w:p>
          <w:p w14:paraId="57978942" w14:textId="706D8E83" w:rsidR="00050F38" w:rsidRPr="00F607B9" w:rsidRDefault="00050F38" w:rsidP="00A74735">
            <w:pPr>
              <w:spacing w:after="60" w:line="264" w:lineRule="auto"/>
              <w:rPr>
                <w:rFonts w:cstheme="minorHAnsi"/>
                <w:color w:val="000000"/>
                <w:sz w:val="21"/>
                <w:szCs w:val="21"/>
              </w:rPr>
            </w:pPr>
            <w:r w:rsidRPr="00F607B9">
              <w:rPr>
                <w:rFonts w:cstheme="minorHAnsi"/>
                <w:color w:val="000000"/>
                <w:sz w:val="21"/>
                <w:szCs w:val="21"/>
              </w:rPr>
              <w:t xml:space="preserve">Producer is </w:t>
            </w:r>
            <w:r w:rsidRPr="00F607B9">
              <w:rPr>
                <w:rFonts w:cstheme="minorHAnsi"/>
                <w:color w:val="000000"/>
                <w:sz w:val="21"/>
                <w:szCs w:val="21"/>
                <w:u w:val="single"/>
              </w:rPr>
              <w:t>NOT</w:t>
            </w:r>
            <w:r w:rsidRPr="00F607B9">
              <w:rPr>
                <w:rFonts w:cstheme="minorHAnsi"/>
                <w:color w:val="000000"/>
                <w:sz w:val="21"/>
                <w:szCs w:val="21"/>
              </w:rPr>
              <w:t xml:space="preserve"> licensed in any other 2020 Model state </w:t>
            </w:r>
            <w:r w:rsidR="00B567D3" w:rsidRPr="00F607B9">
              <w:rPr>
                <w:rFonts w:cstheme="minorHAnsi"/>
                <w:color w:val="000000"/>
                <w:sz w:val="21"/>
                <w:szCs w:val="21"/>
              </w:rPr>
              <w:t>before</w:t>
            </w:r>
            <w:r w:rsidRPr="00F607B9">
              <w:rPr>
                <w:rFonts w:cstheme="minorHAnsi"/>
                <w:color w:val="000000"/>
                <w:sz w:val="21"/>
                <w:szCs w:val="21"/>
              </w:rPr>
              <w:t xml:space="preserve"> effective date</w:t>
            </w:r>
          </w:p>
        </w:tc>
        <w:tc>
          <w:tcPr>
            <w:tcW w:w="3960"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tcPr>
          <w:p w14:paraId="6B7982BD" w14:textId="6B83F242" w:rsidR="00050F38" w:rsidRPr="00F607B9" w:rsidRDefault="00050F38" w:rsidP="00A74735">
            <w:pPr>
              <w:spacing w:before="60" w:after="60" w:line="264" w:lineRule="auto"/>
              <w:rPr>
                <w:rFonts w:cstheme="minorHAnsi"/>
                <w:color w:val="000000"/>
                <w:sz w:val="21"/>
                <w:szCs w:val="21"/>
              </w:rPr>
            </w:pPr>
            <w:r w:rsidRPr="00F607B9">
              <w:rPr>
                <w:rFonts w:cstheme="minorHAnsi"/>
                <w:color w:val="000000"/>
                <w:sz w:val="21"/>
                <w:szCs w:val="21"/>
              </w:rPr>
              <w:t xml:space="preserve">Producer has </w:t>
            </w:r>
            <w:r w:rsidRPr="00F607B9">
              <w:rPr>
                <w:rFonts w:cstheme="minorHAnsi"/>
                <w:color w:val="000000"/>
                <w:sz w:val="21"/>
                <w:szCs w:val="21"/>
                <w:u w:val="single"/>
              </w:rPr>
              <w:t>NOT</w:t>
            </w:r>
            <w:r w:rsidRPr="00F607B9">
              <w:rPr>
                <w:rFonts w:cstheme="minorHAnsi"/>
                <w:color w:val="000000"/>
                <w:sz w:val="21"/>
                <w:szCs w:val="21"/>
              </w:rPr>
              <w:t xml:space="preserve"> completed any version of annuity training course</w:t>
            </w:r>
          </w:p>
        </w:tc>
        <w:tc>
          <w:tcPr>
            <w:tcW w:w="360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2F997DBA" w14:textId="37DB4F17" w:rsidR="00050F38" w:rsidRPr="009C372A" w:rsidRDefault="009C372A" w:rsidP="00A74735">
            <w:pPr>
              <w:spacing w:before="60" w:after="60" w:line="264" w:lineRule="auto"/>
              <w:rPr>
                <w:rFonts w:cstheme="minorHAnsi"/>
                <w:color w:val="FF0000"/>
                <w:sz w:val="21"/>
                <w:szCs w:val="21"/>
              </w:rPr>
            </w:pPr>
            <w:r>
              <w:rPr>
                <w:rFonts w:cstheme="minorHAnsi"/>
                <w:color w:val="FF0000"/>
                <w:sz w:val="21"/>
                <w:szCs w:val="21"/>
              </w:rPr>
              <w:t>P</w:t>
            </w:r>
            <w:r w:rsidR="00050F38" w:rsidRPr="00F607B9">
              <w:rPr>
                <w:rFonts w:cstheme="minorHAnsi"/>
                <w:color w:val="FF0000"/>
                <w:sz w:val="21"/>
                <w:szCs w:val="21"/>
              </w:rPr>
              <w:t xml:space="preserve">roducer must </w:t>
            </w:r>
            <w:r w:rsidR="00872C1C">
              <w:rPr>
                <w:rFonts w:cstheme="minorHAnsi"/>
                <w:color w:val="FF0000"/>
                <w:sz w:val="21"/>
                <w:szCs w:val="21"/>
              </w:rPr>
              <w:t>complete</w:t>
            </w:r>
            <w:r w:rsidR="00872C1C" w:rsidRPr="00F607B9">
              <w:rPr>
                <w:rFonts w:cstheme="minorHAnsi"/>
                <w:color w:val="FF0000"/>
                <w:sz w:val="21"/>
                <w:szCs w:val="21"/>
              </w:rPr>
              <w:t xml:space="preserve"> </w:t>
            </w:r>
            <w:r w:rsidR="00050F38" w:rsidRPr="00F607B9">
              <w:rPr>
                <w:rFonts w:cstheme="minorHAnsi"/>
                <w:color w:val="FF0000"/>
                <w:sz w:val="21"/>
                <w:szCs w:val="21"/>
              </w:rPr>
              <w:t>new 4-credit course</w:t>
            </w:r>
            <w:r w:rsidR="00B567D3" w:rsidRPr="00F607B9">
              <w:rPr>
                <w:rFonts w:cstheme="minorHAnsi"/>
                <w:color w:val="FF0000"/>
                <w:sz w:val="21"/>
                <w:szCs w:val="21"/>
              </w:rPr>
              <w:t xml:space="preserve"> in </w:t>
            </w:r>
            <w:r w:rsidR="00B567D3" w:rsidRPr="00F607B9">
              <w:rPr>
                <w:rFonts w:cstheme="minorHAnsi"/>
                <w:b/>
                <w:bCs/>
                <w:i/>
                <w:iCs/>
                <w:color w:val="FF0000"/>
                <w:sz w:val="21"/>
                <w:szCs w:val="21"/>
              </w:rPr>
              <w:t>State A</w:t>
            </w:r>
            <w:r>
              <w:rPr>
                <w:rFonts w:cstheme="minorHAnsi"/>
                <w:color w:val="FF0000"/>
                <w:sz w:val="21"/>
                <w:szCs w:val="21"/>
              </w:rPr>
              <w:t xml:space="preserve"> before selling annuities in </w:t>
            </w:r>
            <w:r w:rsidRPr="009C372A">
              <w:rPr>
                <w:rFonts w:cstheme="minorHAnsi"/>
                <w:b/>
                <w:bCs/>
                <w:i/>
                <w:iCs/>
                <w:color w:val="FF0000"/>
                <w:sz w:val="21"/>
                <w:szCs w:val="21"/>
              </w:rPr>
              <w:t>State A</w:t>
            </w:r>
          </w:p>
        </w:tc>
      </w:tr>
      <w:tr w:rsidR="00050F38" w:rsidRPr="00F607B9" w14:paraId="1FBB0D76" w14:textId="77777777" w:rsidTr="00F607B9">
        <w:trPr>
          <w:cantSplit/>
          <w:jc w:val="center"/>
        </w:trPr>
        <w:tc>
          <w:tcPr>
            <w:tcW w:w="360" w:type="dxa"/>
            <w:vMerge w:val="restart"/>
            <w:tcBorders>
              <w:top w:val="single" w:sz="8" w:space="0" w:color="auto"/>
              <w:left w:val="single" w:sz="12" w:space="0" w:color="auto"/>
              <w:bottom w:val="single" w:sz="12" w:space="0" w:color="auto"/>
              <w:right w:val="single" w:sz="12" w:space="0" w:color="auto"/>
            </w:tcBorders>
            <w:shd w:val="clear" w:color="auto" w:fill="00B0F0"/>
            <w:textDirection w:val="btLr"/>
            <w:vAlign w:val="center"/>
          </w:tcPr>
          <w:p w14:paraId="0ED99D91" w14:textId="5832386E" w:rsidR="00050F38" w:rsidRPr="00F607B9" w:rsidRDefault="00050F38" w:rsidP="00A74735">
            <w:pPr>
              <w:pStyle w:val="ListParagraph"/>
              <w:spacing w:after="0" w:line="264" w:lineRule="auto"/>
              <w:ind w:left="360" w:right="113"/>
              <w:contextualSpacing w:val="0"/>
              <w:jc w:val="center"/>
              <w:rPr>
                <w:rFonts w:cstheme="minorHAnsi"/>
                <w:color w:val="000000"/>
                <w:sz w:val="21"/>
                <w:szCs w:val="21"/>
              </w:rPr>
            </w:pPr>
            <w:r w:rsidRPr="00F607B9">
              <w:rPr>
                <w:rFonts w:cstheme="minorHAnsi"/>
                <w:b/>
                <w:bCs/>
                <w:sz w:val="21"/>
                <w:szCs w:val="21"/>
              </w:rPr>
              <w:t>SCENARIO #2</w:t>
            </w:r>
          </w:p>
        </w:tc>
        <w:tc>
          <w:tcPr>
            <w:tcW w:w="3240" w:type="dxa"/>
            <w:vMerge w:val="restart"/>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1E7672C5" w14:textId="30C4AC9D" w:rsidR="00050F38" w:rsidRPr="00F607B9" w:rsidRDefault="00050F38" w:rsidP="00A74735">
            <w:pPr>
              <w:spacing w:before="60" w:after="0" w:line="264" w:lineRule="auto"/>
              <w:rPr>
                <w:rFonts w:cstheme="minorHAnsi"/>
                <w:sz w:val="21"/>
                <w:szCs w:val="21"/>
              </w:rPr>
            </w:pPr>
            <w:r w:rsidRPr="00F607B9">
              <w:rPr>
                <w:rFonts w:cstheme="minorHAnsi"/>
                <w:color w:val="000000"/>
                <w:sz w:val="21"/>
                <w:szCs w:val="21"/>
              </w:rPr>
              <w:t xml:space="preserve">Producer applies for a license in </w:t>
            </w:r>
            <w:r w:rsidR="005319D8" w:rsidRPr="00F607B9">
              <w:rPr>
                <w:rFonts w:cstheme="minorHAnsi"/>
                <w:color w:val="000000"/>
                <w:sz w:val="21"/>
                <w:szCs w:val="21"/>
              </w:rPr>
              <w:t>2020 Model state (“</w:t>
            </w:r>
            <w:r w:rsidR="005319D8" w:rsidRPr="00F607B9">
              <w:rPr>
                <w:rFonts w:cstheme="minorHAnsi"/>
                <w:b/>
                <w:bCs/>
                <w:i/>
                <w:iCs/>
                <w:color w:val="000000"/>
                <w:sz w:val="21"/>
                <w:szCs w:val="21"/>
              </w:rPr>
              <w:t xml:space="preserve">State </w:t>
            </w:r>
            <w:r w:rsidR="005319D8">
              <w:rPr>
                <w:rFonts w:cstheme="minorHAnsi"/>
                <w:b/>
                <w:bCs/>
                <w:i/>
                <w:iCs/>
                <w:color w:val="000000"/>
                <w:sz w:val="21"/>
                <w:szCs w:val="21"/>
              </w:rPr>
              <w:t>B</w:t>
            </w:r>
            <w:r w:rsidR="005319D8" w:rsidRPr="00F607B9">
              <w:rPr>
                <w:rFonts w:cstheme="minorHAnsi"/>
                <w:color w:val="000000"/>
                <w:sz w:val="21"/>
                <w:szCs w:val="21"/>
              </w:rPr>
              <w:t xml:space="preserve">”) </w:t>
            </w:r>
            <w:r w:rsidRPr="00F607B9">
              <w:rPr>
                <w:rFonts w:cstheme="minorHAnsi"/>
                <w:color w:val="000000"/>
                <w:sz w:val="21"/>
                <w:szCs w:val="21"/>
              </w:rPr>
              <w:t>on or after effective date</w:t>
            </w:r>
          </w:p>
          <w:p w14:paraId="411DBB95" w14:textId="77777777" w:rsidR="00050F38" w:rsidRPr="00F607B9" w:rsidRDefault="00050F38" w:rsidP="00A74735">
            <w:pPr>
              <w:spacing w:after="0" w:line="264" w:lineRule="auto"/>
              <w:ind w:left="360"/>
              <w:rPr>
                <w:rFonts w:cstheme="minorHAnsi"/>
                <w:b/>
                <w:bCs/>
                <w:sz w:val="21"/>
                <w:szCs w:val="21"/>
                <w:u w:val="single"/>
              </w:rPr>
            </w:pPr>
            <w:r w:rsidRPr="00F607B9">
              <w:rPr>
                <w:rFonts w:cstheme="minorHAnsi"/>
                <w:b/>
                <w:bCs/>
                <w:color w:val="000000"/>
                <w:sz w:val="21"/>
                <w:szCs w:val="21"/>
                <w:u w:val="single"/>
              </w:rPr>
              <w:t>AND</w:t>
            </w:r>
          </w:p>
          <w:p w14:paraId="073034BA" w14:textId="2DEFBBDA" w:rsidR="00050F38" w:rsidRPr="00F607B9" w:rsidRDefault="00050F38" w:rsidP="00A74735">
            <w:pPr>
              <w:spacing w:after="60" w:line="264" w:lineRule="auto"/>
              <w:rPr>
                <w:rFonts w:cstheme="minorHAnsi"/>
                <w:sz w:val="21"/>
                <w:szCs w:val="21"/>
                <w:u w:val="single"/>
              </w:rPr>
            </w:pPr>
            <w:r w:rsidRPr="00F607B9">
              <w:rPr>
                <w:rFonts w:cstheme="minorHAnsi"/>
                <w:color w:val="000000"/>
                <w:sz w:val="21"/>
                <w:szCs w:val="21"/>
              </w:rPr>
              <w:t>Producer is licensed in any other 2020 Model state (“</w:t>
            </w:r>
            <w:r w:rsidRPr="00F607B9">
              <w:rPr>
                <w:rFonts w:cstheme="minorHAnsi"/>
                <w:b/>
                <w:bCs/>
                <w:i/>
                <w:iCs/>
                <w:color w:val="000000"/>
                <w:sz w:val="21"/>
                <w:szCs w:val="21"/>
              </w:rPr>
              <w:t xml:space="preserve">State </w:t>
            </w:r>
            <w:r w:rsidR="005319D8">
              <w:rPr>
                <w:rFonts w:cstheme="minorHAnsi"/>
                <w:b/>
                <w:bCs/>
                <w:i/>
                <w:iCs/>
                <w:color w:val="000000"/>
                <w:sz w:val="21"/>
                <w:szCs w:val="21"/>
              </w:rPr>
              <w:t>C</w:t>
            </w:r>
            <w:r w:rsidRPr="00F607B9">
              <w:rPr>
                <w:rFonts w:cstheme="minorHAnsi"/>
                <w:color w:val="000000"/>
                <w:sz w:val="21"/>
                <w:szCs w:val="21"/>
              </w:rPr>
              <w:t xml:space="preserve">”) </w:t>
            </w:r>
            <w:r w:rsidR="00B567D3" w:rsidRPr="00F607B9">
              <w:rPr>
                <w:rFonts w:cstheme="minorHAnsi"/>
                <w:color w:val="000000"/>
                <w:sz w:val="21"/>
                <w:szCs w:val="21"/>
              </w:rPr>
              <w:t xml:space="preserve">before </w:t>
            </w:r>
            <w:r w:rsidRPr="00F607B9">
              <w:rPr>
                <w:rFonts w:cstheme="minorHAnsi"/>
                <w:color w:val="000000"/>
                <w:sz w:val="21"/>
                <w:szCs w:val="21"/>
              </w:rPr>
              <w:t>effective date</w:t>
            </w:r>
          </w:p>
        </w:tc>
        <w:tc>
          <w:tcPr>
            <w:tcW w:w="3960" w:type="dxa"/>
            <w:gridSpan w:val="2"/>
            <w:tcBorders>
              <w:top w:val="single" w:sz="12" w:space="0" w:color="auto"/>
              <w:left w:val="nil"/>
              <w:bottom w:val="single" w:sz="8" w:space="0" w:color="auto"/>
              <w:right w:val="single" w:sz="12" w:space="0" w:color="auto"/>
            </w:tcBorders>
            <w:shd w:val="clear" w:color="auto" w:fill="92D050"/>
            <w:tcMar>
              <w:top w:w="0" w:type="dxa"/>
              <w:left w:w="108" w:type="dxa"/>
              <w:bottom w:w="0" w:type="dxa"/>
              <w:right w:w="108" w:type="dxa"/>
            </w:tcMar>
          </w:tcPr>
          <w:p w14:paraId="084D7CD8" w14:textId="3D30D1C5" w:rsidR="00050F38" w:rsidRPr="00F607B9" w:rsidRDefault="00050F38" w:rsidP="00A74735">
            <w:pPr>
              <w:spacing w:before="60" w:after="60" w:line="264" w:lineRule="auto"/>
              <w:rPr>
                <w:rFonts w:cstheme="minorHAnsi"/>
                <w:color w:val="000000"/>
                <w:sz w:val="21"/>
                <w:szCs w:val="21"/>
              </w:rPr>
            </w:pPr>
            <w:r w:rsidRPr="00F607B9">
              <w:rPr>
                <w:rFonts w:cstheme="minorHAnsi"/>
                <w:b/>
                <w:bCs/>
                <w:sz w:val="21"/>
                <w:szCs w:val="21"/>
                <w:u w:val="single"/>
              </w:rPr>
              <w:t>SCENARIO #2-A</w:t>
            </w:r>
          </w:p>
        </w:tc>
      </w:tr>
      <w:tr w:rsidR="00050F38" w:rsidRPr="00F607B9" w14:paraId="6C7F548C"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08ADB955" w14:textId="77777777" w:rsidR="00050F38" w:rsidRPr="00F607B9" w:rsidRDefault="00050F38" w:rsidP="00A74735">
            <w:pPr>
              <w:pStyle w:val="ListParagraph"/>
              <w:spacing w:before="60" w:after="60" w:line="264" w:lineRule="auto"/>
              <w:ind w:left="360"/>
              <w:contextualSpacing w:val="0"/>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7E8752E9" w14:textId="4D7E7DD2" w:rsidR="00050F38" w:rsidRPr="00F607B9" w:rsidRDefault="00050F38" w:rsidP="00A74735">
            <w:pPr>
              <w:pStyle w:val="ListParagraph"/>
              <w:numPr>
                <w:ilvl w:val="0"/>
                <w:numId w:val="14"/>
              </w:numPr>
              <w:spacing w:before="60" w:after="60" w:line="264" w:lineRule="auto"/>
              <w:contextualSpacing w:val="0"/>
              <w:rPr>
                <w:rFonts w:cstheme="minorHAnsi"/>
                <w:color w:val="000000"/>
                <w:sz w:val="21"/>
                <w:szCs w:val="21"/>
              </w:rPr>
            </w:pP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84C03D" w14:textId="35071380" w:rsidR="00050F38" w:rsidRPr="00F607B9" w:rsidRDefault="00050F38" w:rsidP="00A74735">
            <w:pPr>
              <w:spacing w:before="60" w:after="60" w:line="264" w:lineRule="auto"/>
              <w:rPr>
                <w:rFonts w:cstheme="minorHAnsi"/>
                <w:color w:val="000000"/>
                <w:sz w:val="21"/>
                <w:szCs w:val="21"/>
              </w:rPr>
            </w:pPr>
            <w:r w:rsidRPr="00F607B9">
              <w:rPr>
                <w:rFonts w:cstheme="minorHAnsi"/>
                <w:color w:val="000000"/>
                <w:sz w:val="21"/>
                <w:szCs w:val="21"/>
              </w:rPr>
              <w:t xml:space="preserve">Producer has </w:t>
            </w:r>
            <w:r w:rsidRPr="00F607B9">
              <w:rPr>
                <w:rFonts w:cstheme="minorHAnsi"/>
                <w:color w:val="000000"/>
                <w:sz w:val="21"/>
                <w:szCs w:val="21"/>
                <w:u w:val="single"/>
              </w:rPr>
              <w:t>NOT</w:t>
            </w:r>
            <w:r w:rsidRPr="00F607B9">
              <w:rPr>
                <w:rFonts w:cstheme="minorHAnsi"/>
                <w:color w:val="000000"/>
                <w:sz w:val="21"/>
                <w:szCs w:val="21"/>
              </w:rPr>
              <w:t xml:space="preserve"> completed any version of annuity training course</w:t>
            </w:r>
          </w:p>
        </w:tc>
        <w:tc>
          <w:tcPr>
            <w:tcW w:w="3600"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44437F81" w14:textId="4DA64AD4" w:rsidR="00050F38" w:rsidRPr="00F607B9" w:rsidRDefault="009C372A" w:rsidP="00A74735">
            <w:pPr>
              <w:spacing w:before="60" w:after="60" w:line="264" w:lineRule="auto"/>
              <w:rPr>
                <w:rFonts w:cstheme="minorHAnsi"/>
                <w:color w:val="FF0000"/>
                <w:sz w:val="21"/>
                <w:szCs w:val="21"/>
              </w:rPr>
            </w:pPr>
            <w:r>
              <w:rPr>
                <w:rFonts w:cstheme="minorHAnsi"/>
                <w:color w:val="FF0000"/>
                <w:sz w:val="21"/>
                <w:szCs w:val="21"/>
              </w:rPr>
              <w:t>P</w:t>
            </w:r>
            <w:r w:rsidRPr="00F607B9">
              <w:rPr>
                <w:rFonts w:cstheme="minorHAnsi"/>
                <w:color w:val="FF0000"/>
                <w:sz w:val="21"/>
                <w:szCs w:val="21"/>
              </w:rPr>
              <w:t xml:space="preserve">roducer must </w:t>
            </w:r>
            <w:r w:rsidR="00872C1C">
              <w:rPr>
                <w:rFonts w:cstheme="minorHAnsi"/>
                <w:color w:val="FF0000"/>
                <w:sz w:val="21"/>
                <w:szCs w:val="21"/>
              </w:rPr>
              <w:t>complete</w:t>
            </w:r>
            <w:r w:rsidR="00872C1C" w:rsidRPr="00F607B9">
              <w:rPr>
                <w:rFonts w:cstheme="minorHAnsi"/>
                <w:color w:val="FF0000"/>
                <w:sz w:val="21"/>
                <w:szCs w:val="21"/>
              </w:rPr>
              <w:t xml:space="preserve"> </w:t>
            </w:r>
            <w:r w:rsidRPr="00F607B9">
              <w:rPr>
                <w:rFonts w:cstheme="minorHAnsi"/>
                <w:color w:val="FF0000"/>
                <w:sz w:val="21"/>
                <w:szCs w:val="21"/>
              </w:rPr>
              <w:t xml:space="preserve">new 4-credit course in </w:t>
            </w:r>
            <w:r w:rsidRPr="00F607B9">
              <w:rPr>
                <w:rFonts w:cstheme="minorHAnsi"/>
                <w:b/>
                <w:bCs/>
                <w:i/>
                <w:iCs/>
                <w:color w:val="FF0000"/>
                <w:sz w:val="21"/>
                <w:szCs w:val="21"/>
              </w:rPr>
              <w:t xml:space="preserve">State </w:t>
            </w:r>
            <w:r w:rsidR="005319D8">
              <w:rPr>
                <w:rFonts w:cstheme="minorHAnsi"/>
                <w:b/>
                <w:bCs/>
                <w:i/>
                <w:iCs/>
                <w:color w:val="FF0000"/>
                <w:sz w:val="21"/>
                <w:szCs w:val="21"/>
              </w:rPr>
              <w:t xml:space="preserve">B </w:t>
            </w:r>
            <w:r>
              <w:rPr>
                <w:rFonts w:cstheme="minorHAnsi"/>
                <w:color w:val="FF0000"/>
                <w:sz w:val="21"/>
                <w:szCs w:val="21"/>
              </w:rPr>
              <w:t xml:space="preserve">before selling annuities in </w:t>
            </w:r>
            <w:r w:rsidRPr="009C372A">
              <w:rPr>
                <w:rFonts w:cstheme="minorHAnsi"/>
                <w:b/>
                <w:bCs/>
                <w:i/>
                <w:iCs/>
                <w:color w:val="FF0000"/>
                <w:sz w:val="21"/>
                <w:szCs w:val="21"/>
              </w:rPr>
              <w:t xml:space="preserve">State </w:t>
            </w:r>
            <w:r w:rsidR="005319D8">
              <w:rPr>
                <w:rFonts w:cstheme="minorHAnsi"/>
                <w:b/>
                <w:bCs/>
                <w:i/>
                <w:iCs/>
                <w:color w:val="FF0000"/>
                <w:sz w:val="21"/>
                <w:szCs w:val="21"/>
              </w:rPr>
              <w:t>B</w:t>
            </w:r>
          </w:p>
        </w:tc>
      </w:tr>
      <w:tr w:rsidR="00050F38" w:rsidRPr="00F607B9" w14:paraId="37B4DABF"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5568E968" w14:textId="77777777" w:rsidR="00050F38" w:rsidRPr="00F607B9" w:rsidRDefault="00050F38" w:rsidP="00A74735">
            <w:pPr>
              <w:pStyle w:val="ListParagraph"/>
              <w:spacing w:before="60" w:after="60" w:line="264" w:lineRule="auto"/>
              <w:ind w:left="360"/>
              <w:contextualSpacing w:val="0"/>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0361E51F" w14:textId="0BABB5C4" w:rsidR="00050F38" w:rsidRPr="00F607B9" w:rsidRDefault="00050F38" w:rsidP="00A74735">
            <w:pPr>
              <w:pStyle w:val="ListParagraph"/>
              <w:numPr>
                <w:ilvl w:val="0"/>
                <w:numId w:val="14"/>
              </w:numPr>
              <w:spacing w:before="60" w:after="60" w:line="264" w:lineRule="auto"/>
              <w:contextualSpacing w:val="0"/>
              <w:rPr>
                <w:rFonts w:cstheme="minorHAnsi"/>
                <w:color w:val="000000"/>
                <w:sz w:val="21"/>
                <w:szCs w:val="21"/>
              </w:rPr>
            </w:pPr>
          </w:p>
        </w:tc>
        <w:tc>
          <w:tcPr>
            <w:tcW w:w="3960" w:type="dxa"/>
            <w:gridSpan w:val="2"/>
            <w:tcBorders>
              <w:top w:val="single" w:sz="8" w:space="0" w:color="auto"/>
              <w:left w:val="nil"/>
              <w:bottom w:val="single" w:sz="8" w:space="0" w:color="auto"/>
              <w:right w:val="single" w:sz="12" w:space="0" w:color="auto"/>
            </w:tcBorders>
            <w:shd w:val="clear" w:color="auto" w:fill="92D050"/>
            <w:tcMar>
              <w:top w:w="0" w:type="dxa"/>
              <w:left w:w="108" w:type="dxa"/>
              <w:bottom w:w="0" w:type="dxa"/>
              <w:right w:w="108" w:type="dxa"/>
            </w:tcMar>
          </w:tcPr>
          <w:p w14:paraId="49D62777" w14:textId="76AD1AD1" w:rsidR="00050F38" w:rsidRPr="00F607B9" w:rsidRDefault="00050F38" w:rsidP="00A74735">
            <w:pPr>
              <w:spacing w:before="60" w:after="60" w:line="264" w:lineRule="auto"/>
              <w:rPr>
                <w:rFonts w:cstheme="minorHAnsi"/>
                <w:color w:val="000000"/>
                <w:sz w:val="21"/>
                <w:szCs w:val="21"/>
              </w:rPr>
            </w:pPr>
            <w:r w:rsidRPr="00F607B9">
              <w:rPr>
                <w:rFonts w:cstheme="minorHAnsi"/>
                <w:b/>
                <w:bCs/>
                <w:sz w:val="21"/>
                <w:szCs w:val="21"/>
                <w:u w:val="single"/>
              </w:rPr>
              <w:t>SCENARIO #2</w:t>
            </w:r>
            <w:r w:rsidRPr="00F607B9">
              <w:rPr>
                <w:rFonts w:cstheme="minorHAnsi"/>
                <w:b/>
                <w:bCs/>
                <w:sz w:val="21"/>
                <w:szCs w:val="21"/>
                <w:u w:val="single"/>
                <w:shd w:val="clear" w:color="auto" w:fill="92D050"/>
              </w:rPr>
              <w:t>-B</w:t>
            </w:r>
          </w:p>
        </w:tc>
      </w:tr>
      <w:tr w:rsidR="00050F38" w:rsidRPr="00F607B9" w14:paraId="6EC2CB55"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0A002AC9" w14:textId="77777777" w:rsidR="00050F38" w:rsidRPr="00F607B9" w:rsidRDefault="00050F38" w:rsidP="00A74735">
            <w:pPr>
              <w:spacing w:before="60" w:after="60" w:line="264" w:lineRule="auto"/>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4619948E" w14:textId="34CF2661" w:rsidR="00050F38" w:rsidRPr="00F607B9" w:rsidRDefault="00050F38" w:rsidP="00A74735">
            <w:pPr>
              <w:spacing w:before="60" w:after="60" w:line="264" w:lineRule="auto"/>
              <w:rPr>
                <w:rFonts w:cstheme="minorHAnsi"/>
                <w:color w:val="000000"/>
                <w:sz w:val="21"/>
                <w:szCs w:val="21"/>
              </w:rPr>
            </w:pP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572AE6" w14:textId="0DC3CF51" w:rsidR="00050F38" w:rsidRPr="00F607B9" w:rsidRDefault="00050F38" w:rsidP="00A74735">
            <w:pPr>
              <w:spacing w:before="60" w:after="0" w:line="264" w:lineRule="auto"/>
              <w:rPr>
                <w:rFonts w:cstheme="minorHAnsi"/>
                <w:color w:val="000000"/>
                <w:sz w:val="21"/>
                <w:szCs w:val="21"/>
              </w:rPr>
            </w:pPr>
            <w:r w:rsidRPr="00F607B9">
              <w:rPr>
                <w:rFonts w:cstheme="minorHAnsi"/>
                <w:color w:val="000000"/>
                <w:sz w:val="21"/>
                <w:szCs w:val="21"/>
              </w:rPr>
              <w:t>Producer has completed old 4-credit course</w:t>
            </w:r>
            <w:r w:rsidRPr="00F607B9">
              <w:rPr>
                <w:rStyle w:val="FootnoteReference"/>
                <w:rFonts w:cstheme="minorHAnsi"/>
                <w:color w:val="000000"/>
                <w:sz w:val="21"/>
                <w:szCs w:val="21"/>
              </w:rPr>
              <w:footnoteReference w:id="3"/>
            </w:r>
            <w:r w:rsidRPr="00F607B9">
              <w:rPr>
                <w:rFonts w:cstheme="minorHAnsi"/>
                <w:color w:val="000000"/>
                <w:sz w:val="21"/>
                <w:szCs w:val="21"/>
              </w:rPr>
              <w:t xml:space="preserve"> in </w:t>
            </w:r>
            <w:r w:rsidRPr="00F607B9">
              <w:rPr>
                <w:rFonts w:cstheme="minorHAnsi"/>
                <w:b/>
                <w:bCs/>
                <w:i/>
                <w:iCs/>
                <w:color w:val="000000"/>
                <w:sz w:val="21"/>
                <w:szCs w:val="21"/>
              </w:rPr>
              <w:t xml:space="preserve">State </w:t>
            </w:r>
            <w:r w:rsidR="005319D8">
              <w:rPr>
                <w:rFonts w:cstheme="minorHAnsi"/>
                <w:b/>
                <w:bCs/>
                <w:i/>
                <w:iCs/>
                <w:color w:val="000000"/>
                <w:sz w:val="21"/>
                <w:szCs w:val="21"/>
              </w:rPr>
              <w:t>C</w:t>
            </w:r>
            <w:r w:rsidRPr="00F607B9">
              <w:rPr>
                <w:rFonts w:cstheme="minorHAnsi"/>
                <w:color w:val="000000"/>
                <w:sz w:val="21"/>
                <w:szCs w:val="21"/>
              </w:rPr>
              <w:t xml:space="preserve"> </w:t>
            </w:r>
            <w:r w:rsidR="00B567D3" w:rsidRPr="00F607B9">
              <w:rPr>
                <w:rFonts w:cstheme="minorHAnsi"/>
                <w:color w:val="000000"/>
                <w:sz w:val="21"/>
                <w:szCs w:val="21"/>
              </w:rPr>
              <w:t>before</w:t>
            </w:r>
            <w:r w:rsidRPr="00F607B9">
              <w:rPr>
                <w:rFonts w:cstheme="minorHAnsi"/>
                <w:color w:val="000000"/>
                <w:sz w:val="21"/>
                <w:szCs w:val="21"/>
              </w:rPr>
              <w:t xml:space="preserve"> effective date</w:t>
            </w:r>
          </w:p>
          <w:p w14:paraId="60159604" w14:textId="77777777" w:rsidR="00050F38" w:rsidRPr="00F607B9" w:rsidRDefault="00050F38" w:rsidP="00A74735">
            <w:pPr>
              <w:spacing w:after="0" w:line="264" w:lineRule="auto"/>
              <w:ind w:left="360"/>
              <w:rPr>
                <w:rFonts w:cstheme="minorHAnsi"/>
                <w:b/>
                <w:bCs/>
                <w:sz w:val="21"/>
                <w:szCs w:val="21"/>
                <w:u w:val="single"/>
              </w:rPr>
            </w:pPr>
            <w:r w:rsidRPr="00F607B9">
              <w:rPr>
                <w:rFonts w:cstheme="minorHAnsi"/>
                <w:b/>
                <w:bCs/>
                <w:sz w:val="21"/>
                <w:szCs w:val="21"/>
                <w:u w:val="single"/>
              </w:rPr>
              <w:t>AND</w:t>
            </w:r>
          </w:p>
          <w:p w14:paraId="5E64EE6A" w14:textId="7519171A" w:rsidR="00050F38" w:rsidRPr="00F607B9" w:rsidRDefault="00050F38" w:rsidP="00A74735">
            <w:pPr>
              <w:spacing w:after="60" w:line="264" w:lineRule="auto"/>
              <w:rPr>
                <w:rFonts w:cstheme="minorHAnsi"/>
                <w:color w:val="000000"/>
                <w:sz w:val="21"/>
                <w:szCs w:val="21"/>
              </w:rPr>
            </w:pPr>
            <w:r w:rsidRPr="00F607B9">
              <w:rPr>
                <w:rFonts w:cstheme="minorHAnsi"/>
                <w:color w:val="000000"/>
                <w:sz w:val="21"/>
                <w:szCs w:val="21"/>
              </w:rPr>
              <w:t xml:space="preserve">Producer has </w:t>
            </w:r>
            <w:r w:rsidRPr="00F607B9">
              <w:rPr>
                <w:rFonts w:cstheme="minorHAnsi"/>
                <w:color w:val="000000"/>
                <w:sz w:val="21"/>
                <w:szCs w:val="21"/>
                <w:u w:val="single"/>
              </w:rPr>
              <w:t>NOT</w:t>
            </w:r>
            <w:r w:rsidRPr="00F607B9">
              <w:rPr>
                <w:rFonts w:cstheme="minorHAnsi"/>
                <w:color w:val="000000"/>
                <w:sz w:val="21"/>
                <w:szCs w:val="21"/>
              </w:rPr>
              <w:t xml:space="preserve"> completed new 4-credit course</w:t>
            </w:r>
            <w:r w:rsidRPr="00F607B9">
              <w:rPr>
                <w:rStyle w:val="FootnoteReference"/>
                <w:rFonts w:cstheme="minorHAnsi"/>
                <w:color w:val="000000"/>
                <w:sz w:val="21"/>
                <w:szCs w:val="21"/>
              </w:rPr>
              <w:footnoteReference w:id="4"/>
            </w:r>
            <w:r w:rsidRPr="00F607B9">
              <w:rPr>
                <w:rFonts w:cstheme="minorHAnsi"/>
                <w:color w:val="000000"/>
                <w:sz w:val="21"/>
                <w:szCs w:val="21"/>
              </w:rPr>
              <w:t xml:space="preserve"> </w:t>
            </w:r>
            <w:r w:rsidRPr="00F607B9">
              <w:rPr>
                <w:rFonts w:cstheme="minorHAnsi"/>
                <w:color w:val="000000"/>
                <w:sz w:val="21"/>
                <w:szCs w:val="21"/>
                <w:u w:val="single"/>
              </w:rPr>
              <w:t>OR</w:t>
            </w:r>
            <w:r w:rsidRPr="00F607B9">
              <w:rPr>
                <w:rFonts w:cstheme="minorHAnsi"/>
                <w:color w:val="000000"/>
                <w:sz w:val="21"/>
                <w:szCs w:val="21"/>
              </w:rPr>
              <w:t xml:space="preserve"> new 1-credit course</w:t>
            </w:r>
            <w:r w:rsidR="00F607B9">
              <w:rPr>
                <w:rStyle w:val="FootnoteReference"/>
                <w:rFonts w:cstheme="minorHAnsi"/>
                <w:color w:val="000000"/>
                <w:sz w:val="21"/>
                <w:szCs w:val="21"/>
              </w:rPr>
              <w:footnoteReference w:id="5"/>
            </w:r>
            <w:r w:rsidRPr="00F607B9">
              <w:rPr>
                <w:rFonts w:cstheme="minorHAnsi"/>
                <w:color w:val="000000"/>
                <w:sz w:val="21"/>
                <w:szCs w:val="21"/>
              </w:rPr>
              <w:t xml:space="preserve"> in </w:t>
            </w:r>
            <w:r w:rsidRPr="00F607B9">
              <w:rPr>
                <w:rFonts w:cstheme="minorHAnsi"/>
                <w:b/>
                <w:bCs/>
                <w:i/>
                <w:iCs/>
                <w:color w:val="000000"/>
                <w:sz w:val="21"/>
                <w:szCs w:val="21"/>
              </w:rPr>
              <w:t xml:space="preserve">State </w:t>
            </w:r>
            <w:r w:rsidR="005319D8">
              <w:rPr>
                <w:rFonts w:cstheme="minorHAnsi"/>
                <w:b/>
                <w:bCs/>
                <w:i/>
                <w:iCs/>
                <w:color w:val="000000"/>
                <w:sz w:val="21"/>
                <w:szCs w:val="21"/>
              </w:rPr>
              <w:t>C</w:t>
            </w:r>
            <w:r w:rsidR="00872C1C">
              <w:rPr>
                <w:rFonts w:cstheme="minorHAnsi"/>
                <w:b/>
                <w:bCs/>
                <w:i/>
                <w:iCs/>
                <w:color w:val="000000"/>
                <w:sz w:val="21"/>
                <w:szCs w:val="21"/>
              </w:rPr>
              <w:t xml:space="preserve"> </w:t>
            </w:r>
            <w:r w:rsidR="00872C1C" w:rsidRPr="00872C1C">
              <w:rPr>
                <w:rFonts w:cstheme="minorHAnsi"/>
                <w:color w:val="000000"/>
                <w:sz w:val="21"/>
                <w:szCs w:val="21"/>
              </w:rPr>
              <w:t xml:space="preserve">(if not discontinued </w:t>
            </w:r>
            <w:r w:rsidR="00872C1C">
              <w:rPr>
                <w:rFonts w:cstheme="minorHAnsi"/>
                <w:color w:val="000000"/>
                <w:sz w:val="21"/>
                <w:szCs w:val="21"/>
              </w:rPr>
              <w:t>prior to completion</w:t>
            </w:r>
            <w:r w:rsidR="00872C1C" w:rsidRPr="00872C1C">
              <w:rPr>
                <w:rFonts w:cstheme="minorHAnsi"/>
                <w:color w:val="000000"/>
                <w:sz w:val="21"/>
                <w:szCs w:val="21"/>
              </w:rPr>
              <w:t>)</w:t>
            </w:r>
            <w:r w:rsidR="002A61D5" w:rsidRPr="00F607B9">
              <w:rPr>
                <w:rFonts w:cstheme="minorHAnsi"/>
                <w:color w:val="000000"/>
                <w:sz w:val="21"/>
                <w:szCs w:val="21"/>
              </w:rPr>
              <w:t xml:space="preserve"> before effective date</w:t>
            </w:r>
          </w:p>
        </w:tc>
        <w:tc>
          <w:tcPr>
            <w:tcW w:w="3600"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39925259" w14:textId="1F88C1F3" w:rsidR="00050F38" w:rsidRPr="00F607B9" w:rsidRDefault="00050F38" w:rsidP="00A74735">
            <w:pPr>
              <w:spacing w:before="60" w:after="0" w:line="264" w:lineRule="auto"/>
              <w:rPr>
                <w:rFonts w:cstheme="minorHAnsi"/>
                <w:color w:val="FF0000"/>
                <w:sz w:val="21"/>
                <w:szCs w:val="21"/>
              </w:rPr>
            </w:pPr>
            <w:r w:rsidRPr="00F607B9">
              <w:rPr>
                <w:rFonts w:cstheme="minorHAnsi"/>
                <w:color w:val="FF0000"/>
                <w:sz w:val="21"/>
                <w:szCs w:val="21"/>
              </w:rPr>
              <w:t>Within six months after effective date,</w:t>
            </w:r>
            <w:r w:rsidR="00A74735">
              <w:rPr>
                <w:rStyle w:val="FootnoteReference"/>
                <w:rFonts w:cstheme="minorHAnsi"/>
                <w:color w:val="FF0000"/>
                <w:sz w:val="21"/>
                <w:szCs w:val="21"/>
              </w:rPr>
              <w:footnoteReference w:id="6"/>
            </w:r>
            <w:r w:rsidRPr="00F607B9">
              <w:rPr>
                <w:rFonts w:cstheme="minorHAnsi"/>
                <w:color w:val="FF0000"/>
                <w:sz w:val="21"/>
                <w:szCs w:val="21"/>
              </w:rPr>
              <w:t xml:space="preserve"> producer must </w:t>
            </w:r>
            <w:r w:rsidR="00872C1C">
              <w:rPr>
                <w:rFonts w:cstheme="minorHAnsi"/>
                <w:color w:val="FF0000"/>
                <w:sz w:val="21"/>
                <w:szCs w:val="21"/>
              </w:rPr>
              <w:t>complete</w:t>
            </w:r>
            <w:r w:rsidRPr="00F607B9">
              <w:rPr>
                <w:rFonts w:cstheme="minorHAnsi"/>
                <w:color w:val="FF0000"/>
                <w:sz w:val="21"/>
                <w:szCs w:val="21"/>
              </w:rPr>
              <w:t xml:space="preserve"> </w:t>
            </w:r>
            <w:r w:rsidR="002A61D5">
              <w:rPr>
                <w:rFonts w:cstheme="minorHAnsi"/>
                <w:color w:val="FF0000"/>
                <w:sz w:val="21"/>
                <w:szCs w:val="21"/>
                <w:u w:val="single"/>
              </w:rPr>
              <w:t>one of the following</w:t>
            </w:r>
            <w:r w:rsidR="002A61D5" w:rsidRPr="002A61D5">
              <w:rPr>
                <w:rFonts w:cstheme="minorHAnsi"/>
                <w:color w:val="FF0000"/>
                <w:sz w:val="21"/>
                <w:szCs w:val="21"/>
              </w:rPr>
              <w:t xml:space="preserve"> in </w:t>
            </w:r>
            <w:r w:rsidR="002A61D5" w:rsidRPr="002A61D5">
              <w:rPr>
                <w:rFonts w:cstheme="minorHAnsi"/>
                <w:b/>
                <w:bCs/>
                <w:i/>
                <w:iCs/>
                <w:color w:val="FF0000"/>
                <w:sz w:val="21"/>
                <w:szCs w:val="21"/>
              </w:rPr>
              <w:t xml:space="preserve">State </w:t>
            </w:r>
            <w:r w:rsidR="005319D8">
              <w:rPr>
                <w:rFonts w:cstheme="minorHAnsi"/>
                <w:b/>
                <w:bCs/>
                <w:i/>
                <w:iCs/>
                <w:color w:val="FF0000"/>
                <w:sz w:val="21"/>
                <w:szCs w:val="21"/>
              </w:rPr>
              <w:t>B</w:t>
            </w:r>
            <w:r w:rsidR="002A61D5" w:rsidRPr="00F607B9">
              <w:rPr>
                <w:rFonts w:cstheme="minorHAnsi"/>
                <w:color w:val="FF0000"/>
                <w:sz w:val="21"/>
                <w:szCs w:val="21"/>
              </w:rPr>
              <w:t xml:space="preserve"> or any other 2020 Model state where licensed</w:t>
            </w:r>
            <w:r w:rsidR="002A61D5">
              <w:rPr>
                <w:rFonts w:cstheme="minorHAnsi"/>
                <w:color w:val="FF0000"/>
                <w:sz w:val="21"/>
                <w:szCs w:val="21"/>
              </w:rPr>
              <w:t>:</w:t>
            </w:r>
          </w:p>
          <w:p w14:paraId="3D6DFBAC" w14:textId="33BA2691" w:rsidR="00050F38" w:rsidRPr="00F607B9" w:rsidRDefault="00050F38" w:rsidP="00A74735">
            <w:pPr>
              <w:pStyle w:val="ListParagraph"/>
              <w:numPr>
                <w:ilvl w:val="0"/>
                <w:numId w:val="9"/>
              </w:numPr>
              <w:spacing w:after="0" w:line="264" w:lineRule="auto"/>
              <w:ind w:left="360"/>
              <w:contextualSpacing w:val="0"/>
              <w:rPr>
                <w:rFonts w:cstheme="minorHAnsi"/>
                <w:color w:val="FF0000"/>
                <w:sz w:val="21"/>
                <w:szCs w:val="21"/>
              </w:rPr>
            </w:pPr>
            <w:r w:rsidRPr="00F607B9">
              <w:rPr>
                <w:rFonts w:cstheme="minorHAnsi"/>
                <w:color w:val="FF0000"/>
                <w:sz w:val="21"/>
                <w:szCs w:val="21"/>
              </w:rPr>
              <w:t>new 4-credit course</w:t>
            </w:r>
          </w:p>
          <w:p w14:paraId="3F5CB912" w14:textId="77777777" w:rsidR="00050F38" w:rsidRPr="00F607B9" w:rsidRDefault="00050F38" w:rsidP="00A74735">
            <w:pPr>
              <w:spacing w:after="0" w:line="264" w:lineRule="auto"/>
              <w:ind w:left="360"/>
              <w:rPr>
                <w:rFonts w:cstheme="minorHAnsi"/>
                <w:b/>
                <w:bCs/>
                <w:color w:val="FF0000"/>
                <w:sz w:val="21"/>
                <w:szCs w:val="21"/>
                <w:u w:val="single"/>
              </w:rPr>
            </w:pPr>
            <w:r w:rsidRPr="00F607B9">
              <w:rPr>
                <w:rFonts w:cstheme="minorHAnsi"/>
                <w:b/>
                <w:bCs/>
                <w:color w:val="FF0000"/>
                <w:sz w:val="21"/>
                <w:szCs w:val="21"/>
                <w:u w:val="single"/>
              </w:rPr>
              <w:t>OR</w:t>
            </w:r>
          </w:p>
          <w:p w14:paraId="611B48C0" w14:textId="1B886C3B" w:rsidR="00B567D3" w:rsidRPr="002A61D5" w:rsidRDefault="00050F38" w:rsidP="00A74735">
            <w:pPr>
              <w:pStyle w:val="ListParagraph"/>
              <w:numPr>
                <w:ilvl w:val="0"/>
                <w:numId w:val="9"/>
              </w:numPr>
              <w:spacing w:after="60" w:line="264" w:lineRule="auto"/>
              <w:ind w:left="360"/>
              <w:contextualSpacing w:val="0"/>
              <w:rPr>
                <w:rFonts w:cstheme="minorHAnsi"/>
                <w:color w:val="FF0000"/>
                <w:sz w:val="21"/>
                <w:szCs w:val="21"/>
              </w:rPr>
            </w:pPr>
            <w:r w:rsidRPr="00F607B9">
              <w:rPr>
                <w:rFonts w:cstheme="minorHAnsi"/>
                <w:color w:val="FF0000"/>
                <w:sz w:val="21"/>
                <w:szCs w:val="21"/>
              </w:rPr>
              <w:t>new 1-credit course</w:t>
            </w:r>
            <w:r w:rsidR="002A61D5">
              <w:rPr>
                <w:rFonts w:cstheme="minorHAnsi"/>
                <w:color w:val="FF0000"/>
                <w:sz w:val="21"/>
                <w:szCs w:val="21"/>
              </w:rPr>
              <w:t xml:space="preserve"> (if not discontinued in state where taken)</w:t>
            </w:r>
          </w:p>
        </w:tc>
      </w:tr>
      <w:tr w:rsidR="00050F38" w:rsidRPr="00F607B9" w14:paraId="263096CB"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27081AC3" w14:textId="77777777" w:rsidR="00050F38" w:rsidRPr="00F607B9" w:rsidRDefault="00050F38" w:rsidP="00A74735">
            <w:pPr>
              <w:pStyle w:val="ListParagraph"/>
              <w:spacing w:before="60" w:after="60" w:line="264" w:lineRule="auto"/>
              <w:ind w:left="360"/>
              <w:contextualSpacing w:val="0"/>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4612DDF2" w14:textId="437628CD" w:rsidR="00050F38" w:rsidRPr="00F607B9" w:rsidRDefault="00050F38" w:rsidP="00A74735">
            <w:pPr>
              <w:pStyle w:val="ListParagraph"/>
              <w:numPr>
                <w:ilvl w:val="0"/>
                <w:numId w:val="13"/>
              </w:numPr>
              <w:spacing w:before="60" w:after="60" w:line="264" w:lineRule="auto"/>
              <w:ind w:left="360"/>
              <w:contextualSpacing w:val="0"/>
              <w:rPr>
                <w:rFonts w:cstheme="minorHAnsi"/>
                <w:color w:val="000000"/>
                <w:sz w:val="21"/>
                <w:szCs w:val="21"/>
              </w:rPr>
            </w:pPr>
          </w:p>
        </w:tc>
        <w:tc>
          <w:tcPr>
            <w:tcW w:w="3960" w:type="dxa"/>
            <w:gridSpan w:val="2"/>
            <w:tcBorders>
              <w:top w:val="single" w:sz="8" w:space="0" w:color="auto"/>
              <w:left w:val="nil"/>
              <w:bottom w:val="single" w:sz="8" w:space="0" w:color="auto"/>
              <w:right w:val="single" w:sz="12" w:space="0" w:color="auto"/>
            </w:tcBorders>
            <w:shd w:val="clear" w:color="auto" w:fill="92D050"/>
            <w:tcMar>
              <w:top w:w="0" w:type="dxa"/>
              <w:left w:w="108" w:type="dxa"/>
              <w:bottom w:w="0" w:type="dxa"/>
              <w:right w:w="108" w:type="dxa"/>
            </w:tcMar>
          </w:tcPr>
          <w:p w14:paraId="1CFCB821" w14:textId="0223B527" w:rsidR="00050F38" w:rsidRPr="00F607B9" w:rsidRDefault="00050F38" w:rsidP="00A74735">
            <w:pPr>
              <w:spacing w:before="60" w:after="60" w:line="264" w:lineRule="auto"/>
              <w:rPr>
                <w:rFonts w:cstheme="minorHAnsi"/>
                <w:sz w:val="21"/>
                <w:szCs w:val="21"/>
              </w:rPr>
            </w:pPr>
            <w:r w:rsidRPr="00F607B9">
              <w:rPr>
                <w:rFonts w:cstheme="minorHAnsi"/>
                <w:b/>
                <w:bCs/>
                <w:sz w:val="21"/>
                <w:szCs w:val="21"/>
                <w:u w:val="single"/>
              </w:rPr>
              <w:t>SCENARIO #2-C</w:t>
            </w:r>
          </w:p>
        </w:tc>
      </w:tr>
      <w:tr w:rsidR="00050F38" w:rsidRPr="00F607B9" w14:paraId="57D4812D"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3DF4C108" w14:textId="77777777" w:rsidR="00050F38" w:rsidRPr="00F607B9" w:rsidRDefault="00050F38" w:rsidP="00A74735">
            <w:pPr>
              <w:spacing w:before="60" w:after="60" w:line="264" w:lineRule="auto"/>
              <w:ind w:left="360"/>
              <w:rPr>
                <w:rFonts w:cstheme="minorHAnsi"/>
                <w:color w:val="000000"/>
                <w:sz w:val="21"/>
                <w:szCs w:val="21"/>
              </w:rPr>
            </w:pPr>
          </w:p>
        </w:tc>
        <w:tc>
          <w:tcPr>
            <w:tcW w:w="3240" w:type="dxa"/>
            <w:vMerge/>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2321F893" w14:textId="7CF77FF4" w:rsidR="00050F38" w:rsidRPr="00F607B9" w:rsidRDefault="00050F38" w:rsidP="00A74735">
            <w:pPr>
              <w:pStyle w:val="ListParagraph"/>
              <w:numPr>
                <w:ilvl w:val="0"/>
                <w:numId w:val="13"/>
              </w:numPr>
              <w:spacing w:before="60" w:after="60" w:line="264" w:lineRule="auto"/>
              <w:ind w:left="360"/>
              <w:contextualSpacing w:val="0"/>
              <w:rPr>
                <w:rFonts w:cstheme="minorHAnsi"/>
                <w:color w:val="000000"/>
                <w:sz w:val="21"/>
                <w:szCs w:val="21"/>
              </w:rPr>
            </w:pPr>
          </w:p>
        </w:tc>
        <w:tc>
          <w:tcPr>
            <w:tcW w:w="3960"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tcPr>
          <w:p w14:paraId="2638A6DA" w14:textId="12EDEC1B" w:rsidR="00050F38" w:rsidRPr="00F607B9" w:rsidRDefault="00B567D3" w:rsidP="00A74735">
            <w:pPr>
              <w:spacing w:before="60" w:after="0" w:line="264" w:lineRule="auto"/>
              <w:rPr>
                <w:rFonts w:cstheme="minorHAnsi"/>
                <w:sz w:val="21"/>
                <w:szCs w:val="21"/>
              </w:rPr>
            </w:pPr>
            <w:r w:rsidRPr="00F607B9">
              <w:rPr>
                <w:rFonts w:cstheme="minorHAnsi"/>
                <w:color w:val="000000"/>
                <w:sz w:val="21"/>
                <w:szCs w:val="21"/>
              </w:rPr>
              <w:t>Before</w:t>
            </w:r>
            <w:r w:rsidR="00050F38" w:rsidRPr="00F607B9">
              <w:rPr>
                <w:rFonts w:cstheme="minorHAnsi"/>
                <w:color w:val="000000"/>
                <w:sz w:val="21"/>
                <w:szCs w:val="21"/>
              </w:rPr>
              <w:t xml:space="preserve"> effective date, Producer has completed either: </w:t>
            </w:r>
          </w:p>
          <w:p w14:paraId="6665B429" w14:textId="4DD7C46B" w:rsidR="00050F38" w:rsidRPr="00F607B9" w:rsidRDefault="00050F38" w:rsidP="00A74735">
            <w:pPr>
              <w:pStyle w:val="ListParagraph"/>
              <w:numPr>
                <w:ilvl w:val="0"/>
                <w:numId w:val="7"/>
              </w:numPr>
              <w:spacing w:after="0" w:line="264" w:lineRule="auto"/>
              <w:ind w:left="360"/>
              <w:contextualSpacing w:val="0"/>
              <w:rPr>
                <w:rFonts w:cstheme="minorHAnsi"/>
                <w:sz w:val="21"/>
                <w:szCs w:val="21"/>
              </w:rPr>
            </w:pPr>
            <w:r w:rsidRPr="00F607B9">
              <w:rPr>
                <w:rFonts w:cstheme="minorHAnsi"/>
                <w:color w:val="000000"/>
                <w:sz w:val="21"/>
                <w:szCs w:val="21"/>
              </w:rPr>
              <w:t xml:space="preserve">new 4-credit course in </w:t>
            </w:r>
            <w:r w:rsidRPr="00F607B9">
              <w:rPr>
                <w:rFonts w:cstheme="minorHAnsi"/>
                <w:b/>
                <w:bCs/>
                <w:i/>
                <w:iCs/>
                <w:color w:val="000000"/>
                <w:sz w:val="21"/>
                <w:szCs w:val="21"/>
              </w:rPr>
              <w:t xml:space="preserve">State </w:t>
            </w:r>
            <w:r w:rsidR="005319D8">
              <w:rPr>
                <w:rFonts w:cstheme="minorHAnsi"/>
                <w:b/>
                <w:bCs/>
                <w:i/>
                <w:iCs/>
                <w:color w:val="000000"/>
                <w:sz w:val="21"/>
                <w:szCs w:val="21"/>
              </w:rPr>
              <w:t>C</w:t>
            </w:r>
          </w:p>
          <w:p w14:paraId="66BD8739" w14:textId="77777777" w:rsidR="00050F38" w:rsidRPr="00F607B9" w:rsidRDefault="00050F38" w:rsidP="00A74735">
            <w:pPr>
              <w:pStyle w:val="ListParagraph"/>
              <w:spacing w:after="0" w:line="264" w:lineRule="auto"/>
              <w:ind w:left="360"/>
              <w:contextualSpacing w:val="0"/>
              <w:rPr>
                <w:rFonts w:cstheme="minorHAnsi"/>
                <w:b/>
                <w:bCs/>
                <w:sz w:val="21"/>
                <w:szCs w:val="21"/>
                <w:u w:val="single"/>
              </w:rPr>
            </w:pPr>
            <w:r w:rsidRPr="00F607B9">
              <w:rPr>
                <w:rFonts w:cstheme="minorHAnsi"/>
                <w:b/>
                <w:bCs/>
                <w:color w:val="000000"/>
                <w:sz w:val="21"/>
                <w:szCs w:val="21"/>
                <w:u w:val="single"/>
              </w:rPr>
              <w:t>OR</w:t>
            </w:r>
          </w:p>
          <w:p w14:paraId="6949D68C" w14:textId="662F2031" w:rsidR="00050F38" w:rsidRPr="00F607B9" w:rsidRDefault="00050F38" w:rsidP="00A74735">
            <w:pPr>
              <w:pStyle w:val="ListParagraph"/>
              <w:numPr>
                <w:ilvl w:val="0"/>
                <w:numId w:val="7"/>
              </w:numPr>
              <w:spacing w:after="60" w:line="264" w:lineRule="auto"/>
              <w:ind w:left="360"/>
              <w:contextualSpacing w:val="0"/>
              <w:rPr>
                <w:rFonts w:cstheme="minorHAnsi"/>
                <w:color w:val="000000"/>
                <w:sz w:val="21"/>
                <w:szCs w:val="21"/>
              </w:rPr>
            </w:pPr>
            <w:r w:rsidRPr="00F607B9">
              <w:rPr>
                <w:rFonts w:cstheme="minorHAnsi"/>
                <w:color w:val="000000"/>
                <w:sz w:val="21"/>
                <w:szCs w:val="21"/>
              </w:rPr>
              <w:t xml:space="preserve">old 4-credit course </w:t>
            </w:r>
            <w:r w:rsidRPr="00F607B9">
              <w:rPr>
                <w:rFonts w:cstheme="minorHAnsi"/>
                <w:b/>
                <w:bCs/>
                <w:color w:val="000000"/>
                <w:sz w:val="21"/>
                <w:szCs w:val="21"/>
                <w:u w:val="single"/>
              </w:rPr>
              <w:t>AND</w:t>
            </w:r>
            <w:r w:rsidRPr="00F607B9">
              <w:rPr>
                <w:rFonts w:cstheme="minorHAnsi"/>
                <w:color w:val="000000"/>
                <w:sz w:val="21"/>
                <w:szCs w:val="21"/>
              </w:rPr>
              <w:t xml:space="preserve"> new 1-credit course in </w:t>
            </w:r>
            <w:r w:rsidRPr="00F607B9">
              <w:rPr>
                <w:rFonts w:cstheme="minorHAnsi"/>
                <w:b/>
                <w:bCs/>
                <w:i/>
                <w:iCs/>
                <w:color w:val="000000"/>
                <w:sz w:val="21"/>
                <w:szCs w:val="21"/>
              </w:rPr>
              <w:t xml:space="preserve">State </w:t>
            </w:r>
            <w:r w:rsidR="005319D8">
              <w:rPr>
                <w:rFonts w:cstheme="minorHAnsi"/>
                <w:b/>
                <w:bCs/>
                <w:i/>
                <w:iCs/>
                <w:color w:val="000000"/>
                <w:sz w:val="21"/>
                <w:szCs w:val="21"/>
              </w:rPr>
              <w:t>C</w:t>
            </w:r>
          </w:p>
        </w:tc>
        <w:tc>
          <w:tcPr>
            <w:tcW w:w="3600" w:type="dxa"/>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50B8AD13" w14:textId="70A34F3C" w:rsidR="00050F38" w:rsidRPr="00F607B9" w:rsidRDefault="00050F38" w:rsidP="00A74735">
            <w:pPr>
              <w:spacing w:before="60" w:after="60" w:line="264" w:lineRule="auto"/>
              <w:rPr>
                <w:rFonts w:cstheme="minorHAnsi"/>
                <w:color w:val="FF0000"/>
                <w:sz w:val="21"/>
                <w:szCs w:val="21"/>
              </w:rPr>
            </w:pPr>
            <w:r w:rsidRPr="00F607B9">
              <w:rPr>
                <w:rFonts w:cstheme="minorHAnsi"/>
                <w:color w:val="FF0000"/>
                <w:sz w:val="21"/>
                <w:szCs w:val="21"/>
              </w:rPr>
              <w:t>NONE (covered by reciprocity)</w:t>
            </w:r>
          </w:p>
        </w:tc>
      </w:tr>
      <w:tr w:rsidR="00050F38" w:rsidRPr="00F607B9" w14:paraId="636941D8" w14:textId="77777777" w:rsidTr="00F607B9">
        <w:trPr>
          <w:cantSplit/>
          <w:jc w:val="center"/>
        </w:trPr>
        <w:tc>
          <w:tcPr>
            <w:tcW w:w="360" w:type="dxa"/>
            <w:vMerge w:val="restart"/>
            <w:tcBorders>
              <w:top w:val="single" w:sz="8" w:space="0" w:color="auto"/>
              <w:left w:val="single" w:sz="12" w:space="0" w:color="auto"/>
              <w:bottom w:val="single" w:sz="12" w:space="0" w:color="auto"/>
              <w:right w:val="single" w:sz="12" w:space="0" w:color="auto"/>
            </w:tcBorders>
            <w:shd w:val="clear" w:color="auto" w:fill="00B0F0"/>
            <w:textDirection w:val="btLr"/>
          </w:tcPr>
          <w:p w14:paraId="625D2AED" w14:textId="35840DC7" w:rsidR="00050F38" w:rsidRPr="00F607B9" w:rsidRDefault="00050F38" w:rsidP="00A74735">
            <w:pPr>
              <w:keepNext/>
              <w:keepLines/>
              <w:spacing w:after="0" w:line="264" w:lineRule="auto"/>
              <w:ind w:left="113" w:right="113"/>
              <w:jc w:val="center"/>
              <w:rPr>
                <w:rFonts w:cstheme="minorHAnsi"/>
                <w:color w:val="000000"/>
                <w:sz w:val="21"/>
                <w:szCs w:val="21"/>
              </w:rPr>
            </w:pPr>
            <w:r w:rsidRPr="00F607B9">
              <w:rPr>
                <w:rFonts w:cstheme="minorHAnsi"/>
                <w:b/>
                <w:bCs/>
                <w:sz w:val="21"/>
                <w:szCs w:val="21"/>
              </w:rPr>
              <w:t>SCENARIO #3</w:t>
            </w:r>
          </w:p>
        </w:tc>
        <w:tc>
          <w:tcPr>
            <w:tcW w:w="3240" w:type="dxa"/>
            <w:vMerge w:val="restart"/>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01DA6D6F" w14:textId="5F14DEEF" w:rsidR="00050F38" w:rsidRPr="00F607B9" w:rsidRDefault="00050F38" w:rsidP="00A74735">
            <w:pPr>
              <w:keepNext/>
              <w:keepLines/>
              <w:spacing w:before="60" w:after="0" w:line="264" w:lineRule="auto"/>
              <w:rPr>
                <w:rFonts w:cstheme="minorHAnsi"/>
                <w:sz w:val="21"/>
                <w:szCs w:val="21"/>
              </w:rPr>
            </w:pPr>
            <w:r w:rsidRPr="00F607B9">
              <w:rPr>
                <w:rFonts w:cstheme="minorHAnsi"/>
                <w:color w:val="000000"/>
                <w:sz w:val="21"/>
                <w:szCs w:val="21"/>
              </w:rPr>
              <w:t xml:space="preserve">Producer is licensed to sell annuities in </w:t>
            </w:r>
            <w:r w:rsidR="005319D8" w:rsidRPr="00F607B9">
              <w:rPr>
                <w:rFonts w:cstheme="minorHAnsi"/>
                <w:color w:val="000000"/>
                <w:sz w:val="21"/>
                <w:szCs w:val="21"/>
              </w:rPr>
              <w:t>2020 Model state (“</w:t>
            </w:r>
            <w:r w:rsidR="005319D8" w:rsidRPr="00F607B9">
              <w:rPr>
                <w:rFonts w:cstheme="minorHAnsi"/>
                <w:b/>
                <w:bCs/>
                <w:i/>
                <w:iCs/>
                <w:color w:val="000000"/>
                <w:sz w:val="21"/>
                <w:szCs w:val="21"/>
              </w:rPr>
              <w:t xml:space="preserve">State </w:t>
            </w:r>
            <w:r w:rsidR="005319D8">
              <w:rPr>
                <w:rFonts w:cstheme="minorHAnsi"/>
                <w:b/>
                <w:bCs/>
                <w:i/>
                <w:iCs/>
                <w:color w:val="000000"/>
                <w:sz w:val="21"/>
                <w:szCs w:val="21"/>
              </w:rPr>
              <w:t>D</w:t>
            </w:r>
            <w:r w:rsidR="005319D8" w:rsidRPr="00F607B9">
              <w:rPr>
                <w:rFonts w:cstheme="minorHAnsi"/>
                <w:color w:val="000000"/>
                <w:sz w:val="21"/>
                <w:szCs w:val="21"/>
              </w:rPr>
              <w:t xml:space="preserve">”) </w:t>
            </w:r>
            <w:r w:rsidR="00B567D3" w:rsidRPr="00F607B9">
              <w:rPr>
                <w:rFonts w:cstheme="minorHAnsi"/>
                <w:color w:val="000000"/>
                <w:sz w:val="21"/>
                <w:szCs w:val="21"/>
              </w:rPr>
              <w:t>before</w:t>
            </w:r>
            <w:r w:rsidRPr="00F607B9">
              <w:rPr>
                <w:rFonts w:cstheme="minorHAnsi"/>
                <w:color w:val="000000"/>
                <w:sz w:val="21"/>
                <w:szCs w:val="21"/>
              </w:rPr>
              <w:t xml:space="preserve"> effective date</w:t>
            </w:r>
          </w:p>
          <w:p w14:paraId="33A4ED4D" w14:textId="77777777" w:rsidR="00050F38" w:rsidRPr="00F607B9" w:rsidRDefault="00050F38" w:rsidP="00A74735">
            <w:pPr>
              <w:keepNext/>
              <w:keepLines/>
              <w:spacing w:after="0" w:line="264" w:lineRule="auto"/>
              <w:ind w:left="360"/>
              <w:rPr>
                <w:rFonts w:cstheme="minorHAnsi"/>
                <w:b/>
                <w:bCs/>
                <w:sz w:val="21"/>
                <w:szCs w:val="21"/>
                <w:u w:val="single"/>
              </w:rPr>
            </w:pPr>
            <w:r w:rsidRPr="00F607B9">
              <w:rPr>
                <w:rFonts w:cstheme="minorHAnsi"/>
                <w:b/>
                <w:bCs/>
                <w:color w:val="000000"/>
                <w:sz w:val="21"/>
                <w:szCs w:val="21"/>
                <w:u w:val="single"/>
              </w:rPr>
              <w:t>AND</w:t>
            </w:r>
          </w:p>
          <w:p w14:paraId="593082BB" w14:textId="01B98C52" w:rsidR="00050F38" w:rsidRPr="00F607B9" w:rsidRDefault="00050F38" w:rsidP="00A74735">
            <w:pPr>
              <w:keepNext/>
              <w:keepLines/>
              <w:spacing w:after="60" w:line="264" w:lineRule="auto"/>
              <w:rPr>
                <w:rFonts w:cstheme="minorHAnsi"/>
                <w:sz w:val="21"/>
                <w:szCs w:val="21"/>
                <w:u w:val="single"/>
              </w:rPr>
            </w:pPr>
            <w:r w:rsidRPr="00F607B9">
              <w:rPr>
                <w:rFonts w:cstheme="minorHAnsi"/>
                <w:color w:val="000000"/>
                <w:sz w:val="21"/>
                <w:szCs w:val="21"/>
              </w:rPr>
              <w:t xml:space="preserve">Producer is </w:t>
            </w:r>
            <w:r w:rsidRPr="00F607B9">
              <w:rPr>
                <w:rFonts w:cstheme="minorHAnsi"/>
                <w:color w:val="000000"/>
                <w:sz w:val="21"/>
                <w:szCs w:val="21"/>
                <w:u w:val="single"/>
              </w:rPr>
              <w:t>NOT</w:t>
            </w:r>
            <w:r w:rsidRPr="00F607B9">
              <w:rPr>
                <w:rFonts w:cstheme="minorHAnsi"/>
                <w:color w:val="000000"/>
                <w:sz w:val="21"/>
                <w:szCs w:val="21"/>
              </w:rPr>
              <w:t xml:space="preserve"> licensed to sell annuities in any other 2020 Model state </w:t>
            </w:r>
            <w:r w:rsidR="00B567D3" w:rsidRPr="00F607B9">
              <w:rPr>
                <w:rFonts w:cstheme="minorHAnsi"/>
                <w:color w:val="000000"/>
                <w:sz w:val="21"/>
                <w:szCs w:val="21"/>
              </w:rPr>
              <w:t>before</w:t>
            </w:r>
            <w:r w:rsidRPr="00F607B9">
              <w:rPr>
                <w:rFonts w:cstheme="minorHAnsi"/>
                <w:color w:val="000000"/>
                <w:sz w:val="21"/>
                <w:szCs w:val="21"/>
              </w:rPr>
              <w:t xml:space="preserve"> effective date</w:t>
            </w:r>
          </w:p>
        </w:tc>
        <w:tc>
          <w:tcPr>
            <w:tcW w:w="3960" w:type="dxa"/>
            <w:gridSpan w:val="2"/>
            <w:tcBorders>
              <w:top w:val="single" w:sz="12" w:space="0" w:color="auto"/>
              <w:left w:val="nil"/>
              <w:bottom w:val="single" w:sz="8" w:space="0" w:color="auto"/>
              <w:right w:val="single" w:sz="12" w:space="0" w:color="auto"/>
            </w:tcBorders>
            <w:shd w:val="clear" w:color="auto" w:fill="92D050"/>
            <w:tcMar>
              <w:top w:w="0" w:type="dxa"/>
              <w:left w:w="108" w:type="dxa"/>
              <w:bottom w:w="0" w:type="dxa"/>
              <w:right w:w="108" w:type="dxa"/>
            </w:tcMar>
          </w:tcPr>
          <w:p w14:paraId="35143606" w14:textId="2FB2EF1C" w:rsidR="00050F38" w:rsidRPr="00F607B9" w:rsidRDefault="00050F38" w:rsidP="00A74735">
            <w:pPr>
              <w:keepNext/>
              <w:keepLines/>
              <w:spacing w:before="60" w:after="60" w:line="264" w:lineRule="auto"/>
              <w:rPr>
                <w:rFonts w:cstheme="minorHAnsi"/>
                <w:color w:val="000000"/>
                <w:sz w:val="21"/>
                <w:szCs w:val="21"/>
              </w:rPr>
            </w:pPr>
            <w:r w:rsidRPr="00F607B9">
              <w:rPr>
                <w:rFonts w:cstheme="minorHAnsi"/>
                <w:b/>
                <w:bCs/>
                <w:sz w:val="21"/>
                <w:szCs w:val="21"/>
                <w:u w:val="single"/>
              </w:rPr>
              <w:t>SCENARIO #3-A</w:t>
            </w:r>
          </w:p>
        </w:tc>
      </w:tr>
      <w:tr w:rsidR="00050F38" w:rsidRPr="00F607B9" w14:paraId="2D11C10A"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075316D7" w14:textId="77777777" w:rsidR="00050F38" w:rsidRPr="00F607B9" w:rsidRDefault="00050F38" w:rsidP="00A74735">
            <w:pPr>
              <w:keepNext/>
              <w:keepLines/>
              <w:spacing w:before="60" w:after="60" w:line="264" w:lineRule="auto"/>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580FE81D" w14:textId="2B44BEA9" w:rsidR="00050F38" w:rsidRPr="00F607B9" w:rsidRDefault="00050F38" w:rsidP="00A74735">
            <w:pPr>
              <w:pStyle w:val="ListParagraph"/>
              <w:keepNext/>
              <w:keepLines/>
              <w:numPr>
                <w:ilvl w:val="0"/>
                <w:numId w:val="15"/>
              </w:numPr>
              <w:spacing w:before="60" w:after="60" w:line="264" w:lineRule="auto"/>
              <w:contextualSpacing w:val="0"/>
              <w:rPr>
                <w:rFonts w:cstheme="minorHAnsi"/>
                <w:color w:val="000000"/>
                <w:sz w:val="21"/>
                <w:szCs w:val="21"/>
              </w:rPr>
            </w:pPr>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88E8" w14:textId="4648C3FC" w:rsidR="00050F38" w:rsidRPr="00F607B9" w:rsidRDefault="00050F38" w:rsidP="00A74735">
            <w:pPr>
              <w:keepNext/>
              <w:keepLines/>
              <w:spacing w:before="60" w:after="60" w:line="264" w:lineRule="auto"/>
              <w:rPr>
                <w:rFonts w:cstheme="minorHAnsi"/>
                <w:color w:val="000000"/>
                <w:sz w:val="21"/>
                <w:szCs w:val="21"/>
              </w:rPr>
            </w:pPr>
            <w:r w:rsidRPr="00F607B9">
              <w:rPr>
                <w:rFonts w:cstheme="minorHAnsi"/>
                <w:color w:val="000000"/>
                <w:sz w:val="21"/>
                <w:szCs w:val="21"/>
              </w:rPr>
              <w:t xml:space="preserve">Producer has </w:t>
            </w:r>
            <w:r w:rsidRPr="00F607B9">
              <w:rPr>
                <w:rFonts w:cstheme="minorHAnsi"/>
                <w:color w:val="000000"/>
                <w:sz w:val="21"/>
                <w:szCs w:val="21"/>
                <w:u w:val="single"/>
              </w:rPr>
              <w:t>NOT</w:t>
            </w:r>
            <w:r w:rsidRPr="00F607B9">
              <w:rPr>
                <w:rFonts w:cstheme="minorHAnsi"/>
                <w:color w:val="000000"/>
                <w:sz w:val="21"/>
                <w:szCs w:val="21"/>
              </w:rPr>
              <w:t xml:space="preserve"> completed any version of annuity training course</w:t>
            </w:r>
          </w:p>
        </w:tc>
        <w:tc>
          <w:tcPr>
            <w:tcW w:w="3600" w:type="dxa"/>
            <w:tcBorders>
              <w:top w:val="single" w:sz="8"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7AB92D74" w14:textId="209B50C0" w:rsidR="00050F38" w:rsidRPr="00F607B9" w:rsidRDefault="009C372A" w:rsidP="00A74735">
            <w:pPr>
              <w:keepNext/>
              <w:keepLines/>
              <w:spacing w:before="60" w:after="60" w:line="264" w:lineRule="auto"/>
              <w:rPr>
                <w:rFonts w:cstheme="minorHAnsi"/>
                <w:color w:val="FF0000"/>
                <w:sz w:val="21"/>
                <w:szCs w:val="21"/>
              </w:rPr>
            </w:pPr>
            <w:r>
              <w:rPr>
                <w:rFonts w:cstheme="minorHAnsi"/>
                <w:color w:val="FF0000"/>
                <w:sz w:val="21"/>
                <w:szCs w:val="21"/>
              </w:rPr>
              <w:t>P</w:t>
            </w:r>
            <w:r w:rsidRPr="00F607B9">
              <w:rPr>
                <w:rFonts w:cstheme="minorHAnsi"/>
                <w:color w:val="FF0000"/>
                <w:sz w:val="21"/>
                <w:szCs w:val="21"/>
              </w:rPr>
              <w:t xml:space="preserve">roducer must </w:t>
            </w:r>
            <w:r w:rsidR="00872C1C">
              <w:rPr>
                <w:rFonts w:cstheme="minorHAnsi"/>
                <w:color w:val="FF0000"/>
                <w:sz w:val="21"/>
                <w:szCs w:val="21"/>
              </w:rPr>
              <w:t>complete</w:t>
            </w:r>
            <w:r w:rsidR="00872C1C" w:rsidRPr="00F607B9">
              <w:rPr>
                <w:rFonts w:cstheme="minorHAnsi"/>
                <w:color w:val="FF0000"/>
                <w:sz w:val="21"/>
                <w:szCs w:val="21"/>
              </w:rPr>
              <w:t xml:space="preserve"> </w:t>
            </w:r>
            <w:r w:rsidRPr="00F607B9">
              <w:rPr>
                <w:rFonts w:cstheme="minorHAnsi"/>
                <w:color w:val="FF0000"/>
                <w:sz w:val="21"/>
                <w:szCs w:val="21"/>
              </w:rPr>
              <w:t xml:space="preserve">new 4-credit course in </w:t>
            </w:r>
            <w:r w:rsidRPr="00F607B9">
              <w:rPr>
                <w:rFonts w:cstheme="minorHAnsi"/>
                <w:b/>
                <w:bCs/>
                <w:i/>
                <w:iCs/>
                <w:color w:val="FF0000"/>
                <w:sz w:val="21"/>
                <w:szCs w:val="21"/>
              </w:rPr>
              <w:t xml:space="preserve">State </w:t>
            </w:r>
            <w:r w:rsidR="005319D8">
              <w:rPr>
                <w:rFonts w:cstheme="minorHAnsi"/>
                <w:b/>
                <w:bCs/>
                <w:i/>
                <w:iCs/>
                <w:color w:val="FF0000"/>
                <w:sz w:val="21"/>
                <w:szCs w:val="21"/>
              </w:rPr>
              <w:t>D</w:t>
            </w:r>
            <w:r>
              <w:rPr>
                <w:rFonts w:cstheme="minorHAnsi"/>
                <w:color w:val="FF0000"/>
                <w:sz w:val="21"/>
                <w:szCs w:val="21"/>
              </w:rPr>
              <w:t xml:space="preserve"> before selling annuities in </w:t>
            </w:r>
            <w:r w:rsidRPr="009C372A">
              <w:rPr>
                <w:rFonts w:cstheme="minorHAnsi"/>
                <w:b/>
                <w:bCs/>
                <w:i/>
                <w:iCs/>
                <w:color w:val="FF0000"/>
                <w:sz w:val="21"/>
                <w:szCs w:val="21"/>
              </w:rPr>
              <w:t xml:space="preserve">State </w:t>
            </w:r>
            <w:r w:rsidR="005319D8">
              <w:rPr>
                <w:rFonts w:cstheme="minorHAnsi"/>
                <w:b/>
                <w:bCs/>
                <w:i/>
                <w:iCs/>
                <w:color w:val="FF0000"/>
                <w:sz w:val="21"/>
                <w:szCs w:val="21"/>
              </w:rPr>
              <w:t>D</w:t>
            </w:r>
          </w:p>
        </w:tc>
      </w:tr>
      <w:tr w:rsidR="00050F38" w:rsidRPr="00F607B9" w14:paraId="0458DDA0"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26804E6C" w14:textId="77777777" w:rsidR="00050F38" w:rsidRPr="00F607B9" w:rsidRDefault="00050F38" w:rsidP="00A74735">
            <w:pPr>
              <w:keepNext/>
              <w:keepLines/>
              <w:spacing w:before="60" w:after="60" w:line="264" w:lineRule="auto"/>
              <w:rPr>
                <w:rFonts w:cstheme="minorHAnsi"/>
                <w:color w:val="000000"/>
                <w:sz w:val="21"/>
                <w:szCs w:val="21"/>
              </w:rPr>
            </w:pPr>
          </w:p>
        </w:tc>
        <w:tc>
          <w:tcPr>
            <w:tcW w:w="3240" w:type="dxa"/>
            <w:vMerge/>
            <w:tcBorders>
              <w:top w:val="single" w:sz="8"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tcPr>
          <w:p w14:paraId="1D2766E4" w14:textId="199FE77C" w:rsidR="00050F38" w:rsidRPr="00F607B9" w:rsidRDefault="00050F38" w:rsidP="00A74735">
            <w:pPr>
              <w:pStyle w:val="ListParagraph"/>
              <w:keepNext/>
              <w:keepLines/>
              <w:numPr>
                <w:ilvl w:val="0"/>
                <w:numId w:val="15"/>
              </w:numPr>
              <w:spacing w:before="60" w:after="60" w:line="264" w:lineRule="auto"/>
              <w:contextualSpacing w:val="0"/>
              <w:rPr>
                <w:rFonts w:cstheme="minorHAnsi"/>
                <w:color w:val="000000"/>
                <w:sz w:val="21"/>
                <w:szCs w:val="21"/>
              </w:rPr>
            </w:pPr>
          </w:p>
        </w:tc>
        <w:tc>
          <w:tcPr>
            <w:tcW w:w="3960" w:type="dxa"/>
            <w:gridSpan w:val="2"/>
            <w:tcBorders>
              <w:top w:val="single" w:sz="8" w:space="0" w:color="auto"/>
              <w:left w:val="nil"/>
              <w:bottom w:val="single" w:sz="8" w:space="0" w:color="auto"/>
              <w:right w:val="single" w:sz="12" w:space="0" w:color="auto"/>
            </w:tcBorders>
            <w:shd w:val="clear" w:color="auto" w:fill="92D050"/>
            <w:tcMar>
              <w:top w:w="0" w:type="dxa"/>
              <w:left w:w="108" w:type="dxa"/>
              <w:bottom w:w="0" w:type="dxa"/>
              <w:right w:w="108" w:type="dxa"/>
            </w:tcMar>
          </w:tcPr>
          <w:p w14:paraId="0BA2EC88" w14:textId="52347E98" w:rsidR="00050F38" w:rsidRPr="00F607B9" w:rsidRDefault="00050F38" w:rsidP="00A74735">
            <w:pPr>
              <w:keepNext/>
              <w:keepLines/>
              <w:spacing w:before="60" w:after="60" w:line="264" w:lineRule="auto"/>
              <w:rPr>
                <w:rFonts w:cstheme="minorHAnsi"/>
                <w:color w:val="000000"/>
                <w:sz w:val="21"/>
                <w:szCs w:val="21"/>
              </w:rPr>
            </w:pPr>
            <w:r w:rsidRPr="00F607B9">
              <w:rPr>
                <w:rFonts w:cstheme="minorHAnsi"/>
                <w:b/>
                <w:bCs/>
                <w:sz w:val="21"/>
                <w:szCs w:val="21"/>
                <w:u w:val="single"/>
              </w:rPr>
              <w:t>SCENARIO #3</w:t>
            </w:r>
            <w:r w:rsidRPr="00F607B9">
              <w:rPr>
                <w:rFonts w:cstheme="minorHAnsi"/>
                <w:b/>
                <w:bCs/>
                <w:sz w:val="21"/>
                <w:szCs w:val="21"/>
                <w:u w:val="single"/>
                <w:shd w:val="clear" w:color="auto" w:fill="92D050"/>
              </w:rPr>
              <w:t>-B</w:t>
            </w:r>
          </w:p>
        </w:tc>
      </w:tr>
      <w:tr w:rsidR="00050F38" w:rsidRPr="00F607B9" w14:paraId="4EAE4BD9" w14:textId="77777777" w:rsidTr="00F607B9">
        <w:trPr>
          <w:cantSplit/>
          <w:jc w:val="center"/>
        </w:trPr>
        <w:tc>
          <w:tcPr>
            <w:tcW w:w="360" w:type="dxa"/>
            <w:vMerge/>
            <w:tcBorders>
              <w:top w:val="single" w:sz="8" w:space="0" w:color="auto"/>
              <w:left w:val="single" w:sz="12" w:space="0" w:color="auto"/>
              <w:bottom w:val="single" w:sz="12" w:space="0" w:color="auto"/>
              <w:right w:val="single" w:sz="12" w:space="0" w:color="auto"/>
            </w:tcBorders>
            <w:shd w:val="clear" w:color="auto" w:fill="00B0F0"/>
          </w:tcPr>
          <w:p w14:paraId="6A3F6DD5" w14:textId="77777777" w:rsidR="00050F38" w:rsidRPr="00F607B9" w:rsidRDefault="00050F38" w:rsidP="00A74735">
            <w:pPr>
              <w:keepNext/>
              <w:keepLines/>
              <w:spacing w:before="60" w:after="60" w:line="264" w:lineRule="auto"/>
              <w:rPr>
                <w:rFonts w:cstheme="minorHAnsi"/>
                <w:color w:val="000000"/>
                <w:sz w:val="21"/>
                <w:szCs w:val="21"/>
              </w:rPr>
            </w:pPr>
          </w:p>
        </w:tc>
        <w:tc>
          <w:tcPr>
            <w:tcW w:w="3240" w:type="dxa"/>
            <w:vMerge/>
            <w:tcBorders>
              <w:top w:val="single" w:sz="8"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14:paraId="603AE9C9" w14:textId="234D5EED" w:rsidR="00050F38" w:rsidRPr="00F607B9" w:rsidRDefault="00050F38" w:rsidP="00A74735">
            <w:pPr>
              <w:keepNext/>
              <w:keepLines/>
              <w:spacing w:before="60" w:after="60" w:line="264" w:lineRule="auto"/>
              <w:rPr>
                <w:rFonts w:cstheme="minorHAnsi"/>
                <w:color w:val="000000"/>
                <w:sz w:val="21"/>
                <w:szCs w:val="21"/>
              </w:rPr>
            </w:pPr>
          </w:p>
        </w:tc>
        <w:tc>
          <w:tcPr>
            <w:tcW w:w="3960"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tcPr>
          <w:p w14:paraId="0CF0C9F0" w14:textId="40B33CFC" w:rsidR="00050F38" w:rsidRPr="00F607B9" w:rsidRDefault="00050F38" w:rsidP="00A74735">
            <w:pPr>
              <w:keepNext/>
              <w:keepLines/>
              <w:spacing w:before="60" w:after="60" w:line="264" w:lineRule="auto"/>
              <w:rPr>
                <w:rFonts w:cstheme="minorHAnsi"/>
                <w:color w:val="000000"/>
                <w:sz w:val="21"/>
                <w:szCs w:val="21"/>
              </w:rPr>
            </w:pPr>
            <w:r w:rsidRPr="00F607B9">
              <w:rPr>
                <w:rFonts w:cstheme="minorHAnsi"/>
                <w:color w:val="000000"/>
                <w:sz w:val="21"/>
                <w:szCs w:val="21"/>
              </w:rPr>
              <w:t xml:space="preserve">Producer has completed old 4-credit course in </w:t>
            </w:r>
            <w:r w:rsidRPr="00F607B9">
              <w:rPr>
                <w:rFonts w:cstheme="minorHAnsi"/>
                <w:b/>
                <w:bCs/>
                <w:i/>
                <w:iCs/>
                <w:color w:val="000000"/>
                <w:sz w:val="21"/>
                <w:szCs w:val="21"/>
              </w:rPr>
              <w:t xml:space="preserve">State </w:t>
            </w:r>
            <w:r w:rsidR="005319D8">
              <w:rPr>
                <w:rFonts w:cstheme="minorHAnsi"/>
                <w:b/>
                <w:bCs/>
                <w:i/>
                <w:iCs/>
                <w:color w:val="000000"/>
                <w:sz w:val="21"/>
                <w:szCs w:val="21"/>
              </w:rPr>
              <w:t>D</w:t>
            </w:r>
            <w:r w:rsidRPr="00F607B9">
              <w:rPr>
                <w:rFonts w:cstheme="minorHAnsi"/>
                <w:color w:val="000000"/>
                <w:sz w:val="21"/>
                <w:szCs w:val="21"/>
              </w:rPr>
              <w:t xml:space="preserve"> prior to effective date</w:t>
            </w:r>
          </w:p>
        </w:tc>
        <w:tc>
          <w:tcPr>
            <w:tcW w:w="3600" w:type="dxa"/>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0C7FBC54" w14:textId="14804352" w:rsidR="00050F38" w:rsidRPr="00F607B9" w:rsidRDefault="00050F38" w:rsidP="00A74735">
            <w:pPr>
              <w:keepNext/>
              <w:keepLines/>
              <w:spacing w:before="60" w:after="0" w:line="264" w:lineRule="auto"/>
              <w:rPr>
                <w:rFonts w:cstheme="minorHAnsi"/>
                <w:color w:val="FF0000"/>
                <w:sz w:val="21"/>
                <w:szCs w:val="21"/>
              </w:rPr>
            </w:pPr>
            <w:r w:rsidRPr="00F607B9">
              <w:rPr>
                <w:rFonts w:cstheme="minorHAnsi"/>
                <w:color w:val="FF0000"/>
                <w:sz w:val="21"/>
                <w:szCs w:val="21"/>
              </w:rPr>
              <w:t>Within six months after effective date,</w:t>
            </w:r>
            <w:r w:rsidR="00A74735">
              <w:rPr>
                <w:rFonts w:cstheme="minorHAnsi"/>
                <w:color w:val="FF0000"/>
                <w:sz w:val="21"/>
                <w:szCs w:val="21"/>
                <w:vertAlign w:val="superscript"/>
              </w:rPr>
              <w:t>6</w:t>
            </w:r>
            <w:r w:rsidRPr="00F607B9">
              <w:rPr>
                <w:rFonts w:cstheme="minorHAnsi"/>
                <w:color w:val="FF0000"/>
                <w:sz w:val="21"/>
                <w:szCs w:val="21"/>
              </w:rPr>
              <w:t xml:space="preserve"> producer must </w:t>
            </w:r>
            <w:r w:rsidR="00872C1C">
              <w:rPr>
                <w:rFonts w:cstheme="minorHAnsi"/>
                <w:color w:val="FF0000"/>
                <w:sz w:val="21"/>
                <w:szCs w:val="21"/>
              </w:rPr>
              <w:t>complete</w:t>
            </w:r>
            <w:r w:rsidR="00872C1C" w:rsidRPr="00F607B9">
              <w:rPr>
                <w:rFonts w:cstheme="minorHAnsi"/>
                <w:color w:val="FF0000"/>
                <w:sz w:val="21"/>
                <w:szCs w:val="21"/>
              </w:rPr>
              <w:t xml:space="preserve"> </w:t>
            </w:r>
            <w:r w:rsidR="002A61D5">
              <w:rPr>
                <w:rFonts w:cstheme="minorHAnsi"/>
                <w:color w:val="FF0000"/>
                <w:sz w:val="21"/>
                <w:szCs w:val="21"/>
                <w:u w:val="single"/>
              </w:rPr>
              <w:t>one of the following</w:t>
            </w:r>
            <w:r w:rsidR="002A61D5" w:rsidRPr="002A61D5">
              <w:rPr>
                <w:rFonts w:cstheme="minorHAnsi"/>
                <w:color w:val="FF0000"/>
                <w:sz w:val="21"/>
                <w:szCs w:val="21"/>
              </w:rPr>
              <w:t xml:space="preserve"> in </w:t>
            </w:r>
            <w:r w:rsidR="002A61D5" w:rsidRPr="002A61D5">
              <w:rPr>
                <w:rFonts w:cstheme="minorHAnsi"/>
                <w:b/>
                <w:bCs/>
                <w:i/>
                <w:iCs/>
                <w:color w:val="FF0000"/>
                <w:sz w:val="21"/>
                <w:szCs w:val="21"/>
              </w:rPr>
              <w:t xml:space="preserve">State </w:t>
            </w:r>
            <w:r w:rsidR="005319D8">
              <w:rPr>
                <w:rFonts w:cstheme="minorHAnsi"/>
                <w:b/>
                <w:bCs/>
                <w:i/>
                <w:iCs/>
                <w:color w:val="FF0000"/>
                <w:sz w:val="21"/>
                <w:szCs w:val="21"/>
              </w:rPr>
              <w:t>D</w:t>
            </w:r>
            <w:r w:rsidRPr="00F607B9">
              <w:rPr>
                <w:rFonts w:cstheme="minorHAnsi"/>
                <w:color w:val="FF0000"/>
                <w:sz w:val="21"/>
                <w:szCs w:val="21"/>
              </w:rPr>
              <w:t xml:space="preserve">: </w:t>
            </w:r>
          </w:p>
          <w:p w14:paraId="1B68A893" w14:textId="3564B7CB" w:rsidR="00050F38" w:rsidRPr="00F607B9" w:rsidRDefault="00050F38" w:rsidP="00A74735">
            <w:pPr>
              <w:pStyle w:val="ListParagraph"/>
              <w:keepNext/>
              <w:keepLines/>
              <w:numPr>
                <w:ilvl w:val="0"/>
                <w:numId w:val="16"/>
              </w:numPr>
              <w:spacing w:after="0" w:line="264" w:lineRule="auto"/>
              <w:contextualSpacing w:val="0"/>
              <w:rPr>
                <w:rFonts w:cstheme="minorHAnsi"/>
                <w:color w:val="FF0000"/>
                <w:sz w:val="21"/>
                <w:szCs w:val="21"/>
              </w:rPr>
            </w:pPr>
            <w:r w:rsidRPr="00F607B9">
              <w:rPr>
                <w:rFonts w:cstheme="minorHAnsi"/>
                <w:color w:val="FF0000"/>
                <w:sz w:val="21"/>
                <w:szCs w:val="21"/>
              </w:rPr>
              <w:t xml:space="preserve">new 4-credit course </w:t>
            </w:r>
          </w:p>
          <w:p w14:paraId="1917E2E0" w14:textId="77777777" w:rsidR="00050F38" w:rsidRPr="00F607B9" w:rsidRDefault="00050F38" w:rsidP="00A74735">
            <w:pPr>
              <w:keepNext/>
              <w:keepLines/>
              <w:spacing w:after="0" w:line="264" w:lineRule="auto"/>
              <w:ind w:left="360"/>
              <w:rPr>
                <w:rFonts w:cstheme="minorHAnsi"/>
                <w:b/>
                <w:bCs/>
                <w:color w:val="FF0000"/>
                <w:sz w:val="21"/>
                <w:szCs w:val="21"/>
                <w:u w:val="single"/>
              </w:rPr>
            </w:pPr>
            <w:r w:rsidRPr="00F607B9">
              <w:rPr>
                <w:rFonts w:cstheme="minorHAnsi"/>
                <w:b/>
                <w:bCs/>
                <w:color w:val="FF0000"/>
                <w:sz w:val="21"/>
                <w:szCs w:val="21"/>
                <w:u w:val="single"/>
              </w:rPr>
              <w:t>OR</w:t>
            </w:r>
          </w:p>
          <w:p w14:paraId="44676C30" w14:textId="75FE3E20" w:rsidR="00F607B9" w:rsidRPr="002A61D5" w:rsidRDefault="00050F38" w:rsidP="00A74735">
            <w:pPr>
              <w:pStyle w:val="ListParagraph"/>
              <w:keepNext/>
              <w:keepLines/>
              <w:numPr>
                <w:ilvl w:val="0"/>
                <w:numId w:val="16"/>
              </w:numPr>
              <w:spacing w:after="60" w:line="264" w:lineRule="auto"/>
              <w:contextualSpacing w:val="0"/>
              <w:rPr>
                <w:rFonts w:cstheme="minorHAnsi"/>
                <w:color w:val="FF0000"/>
                <w:sz w:val="21"/>
                <w:szCs w:val="21"/>
              </w:rPr>
            </w:pPr>
            <w:r w:rsidRPr="00F607B9">
              <w:rPr>
                <w:rFonts w:cstheme="minorHAnsi"/>
                <w:color w:val="FF0000"/>
                <w:sz w:val="21"/>
                <w:szCs w:val="21"/>
              </w:rPr>
              <w:t>new 1-credit course</w:t>
            </w:r>
          </w:p>
        </w:tc>
      </w:tr>
    </w:tbl>
    <w:p w14:paraId="28B62B47" w14:textId="77777777" w:rsidR="00DC5DFC" w:rsidRPr="00B567D3" w:rsidRDefault="004C3E36" w:rsidP="00B567D3">
      <w:pPr>
        <w:spacing w:after="0"/>
        <w:rPr>
          <w:sz w:val="2"/>
          <w:szCs w:val="2"/>
        </w:rPr>
      </w:pPr>
    </w:p>
    <w:sectPr w:rsidR="00DC5DFC" w:rsidRPr="00B567D3" w:rsidSect="009A4F4D">
      <w:headerReference w:type="default" r:id="rId11"/>
      <w:pgSz w:w="12240" w:h="15840"/>
      <w:pgMar w:top="432"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35C7" w14:textId="77777777" w:rsidR="004C3E36" w:rsidRDefault="004C3E36" w:rsidP="00474DBB">
      <w:pPr>
        <w:spacing w:after="0" w:line="240" w:lineRule="auto"/>
      </w:pPr>
      <w:r>
        <w:separator/>
      </w:r>
    </w:p>
  </w:endnote>
  <w:endnote w:type="continuationSeparator" w:id="0">
    <w:p w14:paraId="47CA31C0" w14:textId="77777777" w:rsidR="004C3E36" w:rsidRDefault="004C3E36" w:rsidP="0047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18B2" w14:textId="77777777" w:rsidR="004C3E36" w:rsidRDefault="004C3E36" w:rsidP="00474DBB">
      <w:pPr>
        <w:spacing w:after="0" w:line="240" w:lineRule="auto"/>
      </w:pPr>
      <w:r>
        <w:separator/>
      </w:r>
    </w:p>
  </w:footnote>
  <w:footnote w:type="continuationSeparator" w:id="0">
    <w:p w14:paraId="79D207CE" w14:textId="77777777" w:rsidR="004C3E36" w:rsidRDefault="004C3E36" w:rsidP="00474DBB">
      <w:pPr>
        <w:spacing w:after="0" w:line="240" w:lineRule="auto"/>
      </w:pPr>
      <w:r>
        <w:continuationSeparator/>
      </w:r>
    </w:p>
  </w:footnote>
  <w:footnote w:id="1">
    <w:p w14:paraId="381F2959" w14:textId="77777777" w:rsidR="00050F38" w:rsidRPr="00A74735" w:rsidRDefault="00050F38" w:rsidP="00540A75">
      <w:pPr>
        <w:pStyle w:val="FootnoteText"/>
        <w:rPr>
          <w:sz w:val="18"/>
          <w:szCs w:val="18"/>
        </w:rPr>
      </w:pPr>
      <w:r w:rsidRPr="00A74735">
        <w:rPr>
          <w:rStyle w:val="FootnoteReference"/>
          <w:sz w:val="18"/>
          <w:szCs w:val="18"/>
        </w:rPr>
        <w:footnoteRef/>
      </w:r>
      <w:r w:rsidRPr="00A74735">
        <w:rPr>
          <w:sz w:val="18"/>
          <w:szCs w:val="18"/>
        </w:rPr>
        <w:t xml:space="preserve"> “2020 Model State” means a state in which the 2020 version of MDL 275 has been enacted by legislation or adopted by regulation.</w:t>
      </w:r>
    </w:p>
  </w:footnote>
  <w:footnote w:id="2">
    <w:p w14:paraId="3E68BFA0" w14:textId="5565ACCF" w:rsidR="00050F38" w:rsidRPr="00A74735" w:rsidRDefault="00050F38" w:rsidP="00540A75">
      <w:pPr>
        <w:pStyle w:val="FootnoteText"/>
        <w:rPr>
          <w:sz w:val="18"/>
          <w:szCs w:val="18"/>
        </w:rPr>
      </w:pPr>
      <w:r w:rsidRPr="00A74735">
        <w:rPr>
          <w:rStyle w:val="FootnoteReference"/>
          <w:sz w:val="18"/>
          <w:szCs w:val="18"/>
        </w:rPr>
        <w:footnoteRef/>
      </w:r>
      <w:r w:rsidRPr="00A74735">
        <w:rPr>
          <w:sz w:val="18"/>
          <w:szCs w:val="18"/>
        </w:rPr>
        <w:t xml:space="preserve"> “Effective date” means</w:t>
      </w:r>
      <w:r w:rsidR="005319D8" w:rsidRPr="00A74735">
        <w:rPr>
          <w:sz w:val="18"/>
          <w:szCs w:val="18"/>
        </w:rPr>
        <w:t>, for each 2020 Model State,</w:t>
      </w:r>
      <w:r w:rsidRPr="00A74735">
        <w:rPr>
          <w:sz w:val="18"/>
          <w:szCs w:val="18"/>
        </w:rPr>
        <w:t xml:space="preserve"> the date on which the 2020 version of MDL 275 takes effect.</w:t>
      </w:r>
    </w:p>
  </w:footnote>
  <w:footnote w:id="3">
    <w:p w14:paraId="1A551456" w14:textId="77777777" w:rsidR="00050F38" w:rsidRPr="00A74735" w:rsidRDefault="00050F38" w:rsidP="00851054">
      <w:pPr>
        <w:pStyle w:val="FootnoteText"/>
        <w:rPr>
          <w:sz w:val="18"/>
          <w:szCs w:val="18"/>
        </w:rPr>
      </w:pPr>
      <w:r w:rsidRPr="00A74735">
        <w:rPr>
          <w:rStyle w:val="FootnoteReference"/>
          <w:sz w:val="18"/>
          <w:szCs w:val="18"/>
        </w:rPr>
        <w:footnoteRef/>
      </w:r>
      <w:r w:rsidRPr="00A74735">
        <w:rPr>
          <w:sz w:val="18"/>
          <w:szCs w:val="18"/>
        </w:rPr>
        <w:t xml:space="preserve"> “O</w:t>
      </w:r>
      <w:r w:rsidRPr="00A74735">
        <w:rPr>
          <w:rFonts w:cstheme="minorHAnsi"/>
          <w:color w:val="000000"/>
          <w:sz w:val="18"/>
          <w:szCs w:val="18"/>
        </w:rPr>
        <w:t>ld 4-credit course” means a course that met the requirements of the 2010 version of MDL 275.</w:t>
      </w:r>
    </w:p>
  </w:footnote>
  <w:footnote w:id="4">
    <w:p w14:paraId="1AFB2088" w14:textId="77777777" w:rsidR="00050F38" w:rsidRPr="00A74735" w:rsidRDefault="00050F38" w:rsidP="00851054">
      <w:pPr>
        <w:pStyle w:val="FootnoteText"/>
        <w:rPr>
          <w:sz w:val="18"/>
          <w:szCs w:val="18"/>
        </w:rPr>
      </w:pPr>
      <w:r w:rsidRPr="00A74735">
        <w:rPr>
          <w:rStyle w:val="FootnoteReference"/>
          <w:sz w:val="18"/>
          <w:szCs w:val="18"/>
        </w:rPr>
        <w:footnoteRef/>
      </w:r>
      <w:r w:rsidRPr="00A74735">
        <w:rPr>
          <w:sz w:val="18"/>
          <w:szCs w:val="18"/>
        </w:rPr>
        <w:t xml:space="preserve"> “New</w:t>
      </w:r>
      <w:r w:rsidRPr="00A74735">
        <w:rPr>
          <w:rFonts w:cstheme="minorHAnsi"/>
          <w:color w:val="000000"/>
          <w:sz w:val="18"/>
          <w:szCs w:val="18"/>
        </w:rPr>
        <w:t xml:space="preserve"> 4-credit course” means a course that meets the requirements of the 2020 version of MDL 275.</w:t>
      </w:r>
    </w:p>
  </w:footnote>
  <w:footnote w:id="5">
    <w:p w14:paraId="0D7750BD" w14:textId="6072B8AE" w:rsidR="00F607B9" w:rsidRPr="00A74735" w:rsidRDefault="00F607B9">
      <w:pPr>
        <w:pStyle w:val="FootnoteText"/>
        <w:rPr>
          <w:sz w:val="18"/>
          <w:szCs w:val="18"/>
        </w:rPr>
      </w:pPr>
      <w:r w:rsidRPr="00A74735">
        <w:rPr>
          <w:rStyle w:val="FootnoteReference"/>
          <w:sz w:val="18"/>
          <w:szCs w:val="18"/>
        </w:rPr>
        <w:footnoteRef/>
      </w:r>
      <w:r w:rsidRPr="00A74735">
        <w:rPr>
          <w:sz w:val="18"/>
          <w:szCs w:val="18"/>
        </w:rPr>
        <w:t xml:space="preserve"> “New 1-credit course” means a course that meets the requirements for the 1-credit option in the 2020 version of MDL 275.</w:t>
      </w:r>
    </w:p>
  </w:footnote>
  <w:footnote w:id="6">
    <w:p w14:paraId="5C853E6C" w14:textId="645F34E6" w:rsidR="00A74735" w:rsidRPr="00A74735" w:rsidRDefault="00A74735">
      <w:pPr>
        <w:pStyle w:val="FootnoteText"/>
        <w:rPr>
          <w:sz w:val="18"/>
          <w:szCs w:val="18"/>
        </w:rPr>
      </w:pPr>
      <w:r w:rsidRPr="00A74735">
        <w:rPr>
          <w:rStyle w:val="FootnoteReference"/>
          <w:sz w:val="18"/>
          <w:szCs w:val="18"/>
        </w:rPr>
        <w:footnoteRef/>
      </w:r>
      <w:r w:rsidRPr="00A74735">
        <w:rPr>
          <w:sz w:val="18"/>
          <w:szCs w:val="18"/>
        </w:rPr>
        <w:t xml:space="preserve"> At least one 2020 Model State adopted the 2020 version of MDL 275 without the six month grace period for existing producers. In such states, the specified training must be completed by all producers seeking to recommend or sell annuities after the effective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3175" w14:textId="3BD0C594" w:rsidR="00817054" w:rsidRPr="00817054" w:rsidRDefault="00647F68" w:rsidP="00647F68">
    <w:pPr>
      <w:pStyle w:val="Header"/>
      <w:jc w:val="center"/>
      <w:rPr>
        <w:b/>
        <w:bCs/>
        <w:color w:val="000000" w:themeColor="text1"/>
        <w:sz w:val="24"/>
        <w:szCs w:val="24"/>
      </w:rPr>
    </w:pPr>
    <w:r w:rsidRPr="00817054">
      <w:rPr>
        <w:b/>
        <w:bCs/>
        <w:color w:val="000000" w:themeColor="text1"/>
        <w:sz w:val="24"/>
        <w:szCs w:val="24"/>
      </w:rPr>
      <w:t>Joint Trades</w:t>
    </w:r>
    <w:r w:rsidR="00817054" w:rsidRPr="00817054">
      <w:rPr>
        <w:b/>
        <w:bCs/>
        <w:color w:val="000000" w:themeColor="text1"/>
        <w:sz w:val="24"/>
        <w:szCs w:val="24"/>
      </w:rPr>
      <w:t xml:space="preserve"> Comments</w:t>
    </w:r>
  </w:p>
  <w:p w14:paraId="7850A17D" w14:textId="5AD8FF84" w:rsidR="009A4F4D" w:rsidRDefault="009A4F4D" w:rsidP="00817054">
    <w:pPr>
      <w:pStyle w:val="Header"/>
      <w:jc w:val="right"/>
      <w:rPr>
        <w:b/>
        <w:bCs/>
        <w:color w:val="FF0000"/>
      </w:rPr>
    </w:pPr>
    <w:r w:rsidRPr="009A4F4D">
      <w:rPr>
        <w:b/>
        <w:bCs/>
        <w:color w:val="FF0000"/>
      </w:rPr>
      <w:t xml:space="preserve">DRAFT </w:t>
    </w:r>
    <w:r w:rsidR="000F39A1">
      <w:rPr>
        <w:b/>
        <w:bCs/>
        <w:color w:val="FF0000"/>
      </w:rPr>
      <w:t>1-26-2022</w:t>
    </w:r>
  </w:p>
  <w:p w14:paraId="51CF4D55" w14:textId="77777777" w:rsidR="00817054" w:rsidRDefault="00817054" w:rsidP="008170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0A7" w14:textId="77777777" w:rsidR="009A4F4D" w:rsidRDefault="009A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EC5"/>
    <w:multiLevelType w:val="hybridMultilevel"/>
    <w:tmpl w:val="A0A8DC52"/>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4C64"/>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F480A"/>
    <w:multiLevelType w:val="hybridMultilevel"/>
    <w:tmpl w:val="D312DC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D33193"/>
    <w:multiLevelType w:val="hybridMultilevel"/>
    <w:tmpl w:val="A0A8DC52"/>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20B7"/>
    <w:multiLevelType w:val="hybridMultilevel"/>
    <w:tmpl w:val="EB2E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13FB6"/>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84EF1"/>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66188"/>
    <w:multiLevelType w:val="hybridMultilevel"/>
    <w:tmpl w:val="A0A8DC52"/>
    <w:lvl w:ilvl="0" w:tplc="BE122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2B5FB9"/>
    <w:multiLevelType w:val="hybridMultilevel"/>
    <w:tmpl w:val="E8D4994A"/>
    <w:lvl w:ilvl="0" w:tplc="BE122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2A5603"/>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730E3"/>
    <w:multiLevelType w:val="hybridMultilevel"/>
    <w:tmpl w:val="A0A8DC52"/>
    <w:lvl w:ilvl="0" w:tplc="BE122D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995C88"/>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F1082"/>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4430E"/>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C77CF"/>
    <w:multiLevelType w:val="hybridMultilevel"/>
    <w:tmpl w:val="8C46EFA2"/>
    <w:lvl w:ilvl="0" w:tplc="19C057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6032FA"/>
    <w:multiLevelType w:val="hybridMultilevel"/>
    <w:tmpl w:val="D312DC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FB4D72"/>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C48A0"/>
    <w:multiLevelType w:val="hybridMultilevel"/>
    <w:tmpl w:val="E8D4994A"/>
    <w:lvl w:ilvl="0" w:tplc="BE12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7"/>
  </w:num>
  <w:num w:numId="5">
    <w:abstractNumId w:val="5"/>
  </w:num>
  <w:num w:numId="6">
    <w:abstractNumId w:val="4"/>
  </w:num>
  <w:num w:numId="7">
    <w:abstractNumId w:val="6"/>
  </w:num>
  <w:num w:numId="8">
    <w:abstractNumId w:val="1"/>
  </w:num>
  <w:num w:numId="9">
    <w:abstractNumId w:val="16"/>
  </w:num>
  <w:num w:numId="10">
    <w:abstractNumId w:val="11"/>
  </w:num>
  <w:num w:numId="11">
    <w:abstractNumId w:val="13"/>
  </w:num>
  <w:num w:numId="12">
    <w:abstractNumId w:val="3"/>
  </w:num>
  <w:num w:numId="13">
    <w:abstractNumId w:val="0"/>
  </w:num>
  <w:num w:numId="14">
    <w:abstractNumId w:val="7"/>
  </w:num>
  <w:num w:numId="15">
    <w:abstractNumId w:val="10"/>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23"/>
    <w:rsid w:val="00031D80"/>
    <w:rsid w:val="00045323"/>
    <w:rsid w:val="00050F38"/>
    <w:rsid w:val="00071C5F"/>
    <w:rsid w:val="00081748"/>
    <w:rsid w:val="000F39A1"/>
    <w:rsid w:val="00120D78"/>
    <w:rsid w:val="0022159C"/>
    <w:rsid w:val="002456DA"/>
    <w:rsid w:val="002715BC"/>
    <w:rsid w:val="002A61D5"/>
    <w:rsid w:val="002B5411"/>
    <w:rsid w:val="003120B9"/>
    <w:rsid w:val="003A125B"/>
    <w:rsid w:val="0042633B"/>
    <w:rsid w:val="00474DBB"/>
    <w:rsid w:val="004C3E36"/>
    <w:rsid w:val="005319D8"/>
    <w:rsid w:val="00540A75"/>
    <w:rsid w:val="00584966"/>
    <w:rsid w:val="00627273"/>
    <w:rsid w:val="00630C8A"/>
    <w:rsid w:val="00647F68"/>
    <w:rsid w:val="00682409"/>
    <w:rsid w:val="006F10B9"/>
    <w:rsid w:val="00741765"/>
    <w:rsid w:val="00817054"/>
    <w:rsid w:val="00851054"/>
    <w:rsid w:val="00872C1C"/>
    <w:rsid w:val="008D753A"/>
    <w:rsid w:val="00940486"/>
    <w:rsid w:val="009A4F4D"/>
    <w:rsid w:val="009C372A"/>
    <w:rsid w:val="00A74735"/>
    <w:rsid w:val="00A92C72"/>
    <w:rsid w:val="00B174A5"/>
    <w:rsid w:val="00B269B6"/>
    <w:rsid w:val="00B567D3"/>
    <w:rsid w:val="00CA11C9"/>
    <w:rsid w:val="00DE1916"/>
    <w:rsid w:val="00DF58F5"/>
    <w:rsid w:val="00EE69D5"/>
    <w:rsid w:val="00F607B9"/>
    <w:rsid w:val="00F9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C2E9"/>
  <w15:chartTrackingRefBased/>
  <w15:docId w15:val="{AE3A6C06-2763-4F6F-ACA6-01942311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23"/>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23"/>
    <w:pPr>
      <w:ind w:left="720"/>
      <w:contextualSpacing/>
    </w:pPr>
  </w:style>
  <w:style w:type="paragraph" w:styleId="Header">
    <w:name w:val="header"/>
    <w:basedOn w:val="Normal"/>
    <w:link w:val="HeaderChar"/>
    <w:uiPriority w:val="99"/>
    <w:unhideWhenUsed/>
    <w:rsid w:val="0047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BB"/>
  </w:style>
  <w:style w:type="paragraph" w:styleId="Footer">
    <w:name w:val="footer"/>
    <w:basedOn w:val="Normal"/>
    <w:link w:val="FooterChar"/>
    <w:uiPriority w:val="99"/>
    <w:unhideWhenUsed/>
    <w:rsid w:val="0047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B"/>
  </w:style>
  <w:style w:type="paragraph" w:styleId="FootnoteText">
    <w:name w:val="footnote text"/>
    <w:basedOn w:val="Normal"/>
    <w:link w:val="FootnoteTextChar"/>
    <w:uiPriority w:val="99"/>
    <w:semiHidden/>
    <w:unhideWhenUsed/>
    <w:rsid w:val="00474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DBB"/>
    <w:rPr>
      <w:sz w:val="20"/>
      <w:szCs w:val="20"/>
    </w:rPr>
  </w:style>
  <w:style w:type="character" w:styleId="FootnoteReference">
    <w:name w:val="footnote reference"/>
    <w:basedOn w:val="DefaultParagraphFont"/>
    <w:uiPriority w:val="99"/>
    <w:semiHidden/>
    <w:unhideWhenUsed/>
    <w:rsid w:val="00474DBB"/>
    <w:rPr>
      <w:vertAlign w:val="superscript"/>
    </w:rPr>
  </w:style>
  <w:style w:type="character" w:styleId="Hyperlink">
    <w:name w:val="Hyperlink"/>
    <w:basedOn w:val="DefaultParagraphFont"/>
    <w:uiPriority w:val="99"/>
    <w:unhideWhenUsed/>
    <w:rsid w:val="002A61D5"/>
    <w:rPr>
      <w:color w:val="0563C1" w:themeColor="hyperlink"/>
      <w:u w:val="single"/>
    </w:rPr>
  </w:style>
  <w:style w:type="character" w:styleId="UnresolvedMention">
    <w:name w:val="Unresolved Mention"/>
    <w:basedOn w:val="DefaultParagraphFont"/>
    <w:uiPriority w:val="99"/>
    <w:semiHidden/>
    <w:unhideWhenUsed/>
    <w:rsid w:val="002A61D5"/>
    <w:rPr>
      <w:color w:val="605E5C"/>
      <w:shd w:val="clear" w:color="auto" w:fill="E1DFDD"/>
    </w:rPr>
  </w:style>
  <w:style w:type="paragraph" w:customStyle="1" w:styleId="Default">
    <w:name w:val="Default"/>
    <w:basedOn w:val="Normal"/>
    <w:rsid w:val="00B174A5"/>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org/store/free/MDL-27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nt.naic.org/sites/default/files/inline-files/Draft%20FAQ-6%20Draft%20Clean_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BC15-E384-4B1A-96AD-3355E390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Berkowitz</dc:creator>
  <cp:keywords/>
  <dc:description/>
  <cp:lastModifiedBy>Matthews, Jolie H.</cp:lastModifiedBy>
  <cp:revision>4</cp:revision>
  <dcterms:created xsi:type="dcterms:W3CDTF">2022-04-11T14:51:00Z</dcterms:created>
  <dcterms:modified xsi:type="dcterms:W3CDTF">2022-04-11T15:24:00Z</dcterms:modified>
</cp:coreProperties>
</file>