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6B14" w14:textId="77777777" w:rsidR="003D3AE0" w:rsidRPr="006520F0" w:rsidRDefault="00D707B2" w:rsidP="003D3AE0">
      <w:pPr>
        <w:contextualSpacing/>
        <w:rPr>
          <w:rFonts w:ascii="Times New Roman" w:hAnsi="Times New Roman" w:cs="Times New Roman"/>
          <w:sz w:val="20"/>
          <w:szCs w:val="20"/>
        </w:rPr>
      </w:pPr>
      <w:r w:rsidRPr="00501078">
        <w:rPr>
          <w:rFonts w:ascii="Times New Roman" w:hAnsi="Times New Roman" w:cs="Times New Roman"/>
          <w:b/>
          <w:bCs/>
          <w:sz w:val="20"/>
          <w:szCs w:val="20"/>
        </w:rPr>
        <w:t>TO:</w:t>
      </w:r>
      <w:r w:rsidRPr="006520F0">
        <w:rPr>
          <w:rFonts w:ascii="Times New Roman" w:hAnsi="Times New Roman" w:cs="Times New Roman"/>
          <w:b/>
          <w:i/>
          <w:sz w:val="20"/>
          <w:szCs w:val="20"/>
        </w:rPr>
        <w:tab/>
      </w:r>
      <w:r w:rsidR="003D3AE0">
        <w:rPr>
          <w:rFonts w:ascii="Times New Roman" w:hAnsi="Times New Roman" w:cs="Times New Roman"/>
          <w:sz w:val="20"/>
          <w:szCs w:val="20"/>
        </w:rPr>
        <w:t>Rachel Hemphill</w:t>
      </w:r>
      <w:r w:rsidR="003D3AE0" w:rsidRPr="006520F0">
        <w:rPr>
          <w:rFonts w:ascii="Times New Roman" w:hAnsi="Times New Roman" w:cs="Times New Roman"/>
          <w:sz w:val="20"/>
          <w:szCs w:val="20"/>
        </w:rPr>
        <w:t xml:space="preserve"> (TX), Chair, Life Actuarial (A) Task Force,</w:t>
      </w:r>
    </w:p>
    <w:p w14:paraId="1017BAE1" w14:textId="77777777" w:rsidR="003D3AE0" w:rsidRDefault="003D3AE0" w:rsidP="003D3AE0">
      <w:pPr>
        <w:contextualSpacing/>
        <w:rPr>
          <w:rFonts w:ascii="Times New Roman" w:hAnsi="Times New Roman" w:cs="Times New Roman"/>
          <w:sz w:val="20"/>
          <w:szCs w:val="20"/>
        </w:rPr>
      </w:pPr>
      <w:r w:rsidRPr="006520F0">
        <w:rPr>
          <w:rFonts w:ascii="Times New Roman" w:hAnsi="Times New Roman" w:cs="Times New Roman"/>
          <w:sz w:val="20"/>
          <w:szCs w:val="20"/>
        </w:rPr>
        <w:tab/>
        <w:t>Craig Chupp (VA), Vice Chair, Life Actuarial (A) Task Force</w:t>
      </w:r>
    </w:p>
    <w:p w14:paraId="1E58BE32" w14:textId="796910B1" w:rsidR="00D707B2" w:rsidRPr="006520F0" w:rsidRDefault="00D707B2" w:rsidP="003D3AE0">
      <w:pPr>
        <w:spacing w:after="0"/>
        <w:ind w:left="720" w:hanging="720"/>
        <w:rPr>
          <w:rFonts w:ascii="Times New Roman" w:hAnsi="Times New Roman" w:cs="Times New Roman"/>
          <w:sz w:val="20"/>
          <w:szCs w:val="20"/>
        </w:rPr>
      </w:pPr>
    </w:p>
    <w:p w14:paraId="0BB434BE" w14:textId="05553006" w:rsidR="00D707B2" w:rsidRDefault="00D707B2" w:rsidP="003D3AE0">
      <w:pPr>
        <w:contextualSpacing/>
        <w:rPr>
          <w:rFonts w:ascii="Times New Roman" w:hAnsi="Times New Roman" w:cs="Times New Roman"/>
          <w:sz w:val="20"/>
          <w:szCs w:val="20"/>
        </w:rPr>
      </w:pPr>
      <w:r w:rsidRPr="00501078">
        <w:rPr>
          <w:rFonts w:ascii="Times New Roman" w:hAnsi="Times New Roman" w:cs="Times New Roman"/>
          <w:b/>
          <w:iCs/>
          <w:sz w:val="20"/>
          <w:szCs w:val="20"/>
        </w:rPr>
        <w:t>FROM:</w:t>
      </w:r>
      <w:r w:rsidRPr="006520F0">
        <w:rPr>
          <w:rFonts w:ascii="Times New Roman" w:hAnsi="Times New Roman" w:cs="Times New Roman"/>
          <w:b/>
          <w:i/>
          <w:sz w:val="20"/>
          <w:szCs w:val="20"/>
        </w:rPr>
        <w:tab/>
      </w:r>
      <w:r w:rsidR="003D3AE0">
        <w:rPr>
          <w:rFonts w:ascii="Times New Roman" w:hAnsi="Times New Roman" w:cs="Times New Roman"/>
          <w:sz w:val="20"/>
          <w:szCs w:val="20"/>
        </w:rPr>
        <w:t>Fred Andersen (MN), Chair, Experience Reporting (A) Subgroup</w:t>
      </w:r>
    </w:p>
    <w:p w14:paraId="123399EC" w14:textId="418BF206" w:rsidR="003E5AC7" w:rsidRDefault="003E5AC7" w:rsidP="003D3AE0">
      <w:pPr>
        <w:contextualSpacing/>
        <w:rPr>
          <w:rFonts w:ascii="Times New Roman" w:hAnsi="Times New Roman" w:cs="Times New Roman"/>
          <w:sz w:val="20"/>
          <w:szCs w:val="20"/>
        </w:rPr>
      </w:pPr>
      <w:r>
        <w:rPr>
          <w:rFonts w:ascii="Times New Roman" w:hAnsi="Times New Roman" w:cs="Times New Roman"/>
          <w:sz w:val="20"/>
          <w:szCs w:val="20"/>
        </w:rPr>
        <w:tab/>
        <w:t>Seong-min Eom (NJ)</w:t>
      </w:r>
      <w:r w:rsidR="00296C1D">
        <w:rPr>
          <w:rFonts w:ascii="Times New Roman" w:hAnsi="Times New Roman" w:cs="Times New Roman"/>
          <w:sz w:val="20"/>
          <w:szCs w:val="20"/>
        </w:rPr>
        <w:t xml:space="preserve">, Chair, </w:t>
      </w:r>
      <w:r w:rsidR="00E71593">
        <w:rPr>
          <w:rFonts w:ascii="Times New Roman" w:hAnsi="Times New Roman" w:cs="Times New Roman"/>
          <w:sz w:val="20"/>
          <w:szCs w:val="20"/>
        </w:rPr>
        <w:t>Group Annuity Experience Reporting Drafting Group</w:t>
      </w:r>
    </w:p>
    <w:p w14:paraId="1B5820E9" w14:textId="77777777" w:rsidR="00D707B2" w:rsidRPr="006520F0" w:rsidRDefault="00D707B2" w:rsidP="00D707B2">
      <w:pPr>
        <w:contextualSpacing/>
        <w:rPr>
          <w:rFonts w:ascii="Times New Roman" w:hAnsi="Times New Roman" w:cs="Times New Roman"/>
          <w:sz w:val="20"/>
          <w:szCs w:val="20"/>
        </w:rPr>
      </w:pPr>
    </w:p>
    <w:p w14:paraId="1EF353DA" w14:textId="77777777" w:rsidR="00D707B2" w:rsidRPr="006520F0" w:rsidRDefault="00D707B2" w:rsidP="00D707B2">
      <w:pPr>
        <w:ind w:left="720" w:hanging="720"/>
        <w:rPr>
          <w:rFonts w:ascii="Times New Roman" w:hAnsi="Times New Roman" w:cs="Times New Roman"/>
          <w:sz w:val="20"/>
          <w:szCs w:val="20"/>
        </w:rPr>
      </w:pPr>
      <w:r w:rsidRPr="00501078">
        <w:rPr>
          <w:rFonts w:ascii="Times New Roman" w:hAnsi="Times New Roman" w:cs="Times New Roman"/>
          <w:b/>
          <w:bCs/>
          <w:sz w:val="20"/>
          <w:szCs w:val="20"/>
        </w:rPr>
        <w:t>DATE:</w:t>
      </w:r>
      <w:r w:rsidRPr="006520F0">
        <w:rPr>
          <w:rFonts w:ascii="Times New Roman" w:hAnsi="Times New Roman" w:cs="Times New Roman"/>
          <w:sz w:val="20"/>
          <w:szCs w:val="20"/>
        </w:rPr>
        <w:tab/>
      </w:r>
      <w:r>
        <w:rPr>
          <w:rFonts w:ascii="Times New Roman" w:hAnsi="Times New Roman" w:cs="Times New Roman"/>
          <w:sz w:val="20"/>
          <w:szCs w:val="20"/>
        </w:rPr>
        <w:t>March 23</w:t>
      </w:r>
      <w:r w:rsidRPr="006520F0">
        <w:rPr>
          <w:rFonts w:ascii="Times New Roman" w:hAnsi="Times New Roman" w:cs="Times New Roman"/>
          <w:sz w:val="20"/>
          <w:szCs w:val="20"/>
        </w:rPr>
        <w:t>, 202</w:t>
      </w:r>
      <w:r>
        <w:rPr>
          <w:rFonts w:ascii="Times New Roman" w:hAnsi="Times New Roman" w:cs="Times New Roman"/>
          <w:sz w:val="20"/>
          <w:szCs w:val="20"/>
        </w:rPr>
        <w:t>6</w:t>
      </w:r>
    </w:p>
    <w:p w14:paraId="77E4976D" w14:textId="77777777" w:rsidR="00D707B2" w:rsidRPr="006520F0" w:rsidRDefault="00D707B2" w:rsidP="00D707B2">
      <w:pPr>
        <w:ind w:left="720" w:hanging="720"/>
        <w:contextualSpacing/>
        <w:rPr>
          <w:rFonts w:ascii="Times New Roman" w:hAnsi="Times New Roman" w:cs="Times New Roman"/>
          <w:sz w:val="20"/>
          <w:szCs w:val="20"/>
        </w:rPr>
      </w:pPr>
      <w:r w:rsidRPr="00501078">
        <w:rPr>
          <w:rFonts w:ascii="Times New Roman" w:hAnsi="Times New Roman" w:cs="Times New Roman"/>
          <w:b/>
          <w:bCs/>
          <w:sz w:val="20"/>
          <w:szCs w:val="20"/>
        </w:rPr>
        <w:t>RE:</w:t>
      </w:r>
      <w:r w:rsidRPr="006520F0">
        <w:rPr>
          <w:rFonts w:ascii="Times New Roman" w:hAnsi="Times New Roman" w:cs="Times New Roman"/>
          <w:sz w:val="20"/>
          <w:szCs w:val="20"/>
        </w:rPr>
        <w:tab/>
        <w:t>Financial Regulation Standards – As of March 202</w:t>
      </w:r>
      <w:r>
        <w:rPr>
          <w:rFonts w:ascii="Times New Roman" w:hAnsi="Times New Roman" w:cs="Times New Roman"/>
          <w:sz w:val="20"/>
          <w:szCs w:val="20"/>
        </w:rPr>
        <w:t>6</w:t>
      </w:r>
      <w:r w:rsidRPr="006520F0">
        <w:rPr>
          <w:rFonts w:ascii="Times New Roman" w:hAnsi="Times New Roman" w:cs="Times New Roman"/>
          <w:sz w:val="20"/>
          <w:szCs w:val="20"/>
        </w:rPr>
        <w:t xml:space="preserve"> </w:t>
      </w:r>
      <w:r w:rsidRPr="006520F0">
        <w:rPr>
          <w:rFonts w:ascii="Times New Roman" w:hAnsi="Times New Roman" w:cs="Times New Roman"/>
          <w:i/>
          <w:sz w:val="20"/>
          <w:szCs w:val="20"/>
        </w:rPr>
        <w:t>Valuation Manual</w:t>
      </w:r>
    </w:p>
    <w:p w14:paraId="4D8AEBEF" w14:textId="77777777" w:rsidR="00D707B2" w:rsidRPr="00D707B2" w:rsidRDefault="00D707B2" w:rsidP="00D707B2">
      <w:pPr>
        <w:spacing w:after="0"/>
        <w:rPr>
          <w:rFonts w:ascii="Calibri" w:hAnsi="Calibri" w:cs="Calibri"/>
          <w:b/>
          <w:bCs/>
          <w:sz w:val="22"/>
          <w:szCs w:val="22"/>
        </w:rPr>
      </w:pPr>
    </w:p>
    <w:p w14:paraId="312E6A7A" w14:textId="6020FE6B" w:rsidR="007256FF" w:rsidRDefault="000B2A5F"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Background</w:t>
      </w:r>
    </w:p>
    <w:p w14:paraId="789A8743" w14:textId="77777777" w:rsidR="00D15E1E" w:rsidRPr="00D15E1E" w:rsidRDefault="00D15E1E" w:rsidP="00D15E1E">
      <w:pPr>
        <w:spacing w:after="0"/>
        <w:ind w:left="360"/>
        <w:rPr>
          <w:rFonts w:ascii="Calibri" w:hAnsi="Calibri" w:cs="Calibri"/>
          <w:b/>
          <w:bCs/>
          <w:sz w:val="22"/>
          <w:szCs w:val="22"/>
        </w:rPr>
      </w:pPr>
    </w:p>
    <w:p w14:paraId="4E92F968" w14:textId="47167635" w:rsidR="000B2A5F" w:rsidRDefault="000B2A5F" w:rsidP="00D15E1E">
      <w:pPr>
        <w:spacing w:after="0"/>
        <w:ind w:left="360"/>
        <w:rPr>
          <w:rFonts w:ascii="Calibri" w:hAnsi="Calibri" w:cs="Calibri"/>
          <w:sz w:val="22"/>
          <w:szCs w:val="22"/>
        </w:rPr>
      </w:pPr>
      <w:r w:rsidRPr="000316DE">
        <w:rPr>
          <w:rFonts w:ascii="Calibri" w:hAnsi="Calibri" w:cs="Calibri"/>
          <w:sz w:val="22"/>
          <w:szCs w:val="22"/>
        </w:rPr>
        <w:t xml:space="preserve">NAIC </w:t>
      </w:r>
      <w:r w:rsidR="000954F2">
        <w:rPr>
          <w:rFonts w:ascii="Calibri" w:hAnsi="Calibri" w:cs="Calibri"/>
          <w:sz w:val="22"/>
          <w:szCs w:val="22"/>
        </w:rPr>
        <w:t>s</w:t>
      </w:r>
      <w:r w:rsidRPr="000316DE">
        <w:rPr>
          <w:rFonts w:ascii="Calibri" w:hAnsi="Calibri" w:cs="Calibri"/>
          <w:sz w:val="22"/>
          <w:szCs w:val="22"/>
        </w:rPr>
        <w:t xml:space="preserve">taff submitted </w:t>
      </w:r>
      <w:r w:rsidR="001577CF">
        <w:rPr>
          <w:rFonts w:ascii="Calibri" w:hAnsi="Calibri" w:cs="Calibri"/>
          <w:sz w:val="22"/>
          <w:szCs w:val="22"/>
        </w:rPr>
        <w:t>an initial draft of amendment proposal form (</w:t>
      </w:r>
      <w:r w:rsidRPr="000316DE">
        <w:rPr>
          <w:rFonts w:ascii="Calibri" w:hAnsi="Calibri" w:cs="Calibri"/>
          <w:sz w:val="22"/>
          <w:szCs w:val="22"/>
        </w:rPr>
        <w:t>APF</w:t>
      </w:r>
      <w:r w:rsidR="001577CF">
        <w:rPr>
          <w:rFonts w:ascii="Calibri" w:hAnsi="Calibri" w:cs="Calibri"/>
          <w:sz w:val="22"/>
          <w:szCs w:val="22"/>
        </w:rPr>
        <w:t>)</w:t>
      </w:r>
      <w:r w:rsidRPr="000316DE">
        <w:rPr>
          <w:rFonts w:ascii="Calibri" w:hAnsi="Calibri" w:cs="Calibri"/>
          <w:sz w:val="22"/>
          <w:szCs w:val="22"/>
        </w:rPr>
        <w:t xml:space="preserve"> 2024-12 in August 2024.  The Experience Reporting (A) Subgroup directed the formation of a drafting group to review the APF </w:t>
      </w:r>
      <w:r w:rsidR="00C257AA" w:rsidRPr="000316DE">
        <w:rPr>
          <w:rFonts w:ascii="Calibri" w:hAnsi="Calibri" w:cs="Calibri"/>
          <w:sz w:val="22"/>
          <w:szCs w:val="22"/>
        </w:rPr>
        <w:t>a</w:t>
      </w:r>
      <w:r w:rsidRPr="000316DE">
        <w:rPr>
          <w:rFonts w:ascii="Calibri" w:hAnsi="Calibri" w:cs="Calibri"/>
          <w:sz w:val="22"/>
          <w:szCs w:val="22"/>
        </w:rPr>
        <w:t>nd make refinements.  Drafting group participants included Seo</w:t>
      </w:r>
      <w:r w:rsidR="00A303BA">
        <w:rPr>
          <w:rFonts w:ascii="Calibri" w:hAnsi="Calibri" w:cs="Calibri"/>
          <w:sz w:val="22"/>
          <w:szCs w:val="22"/>
        </w:rPr>
        <w:t>ng</w:t>
      </w:r>
      <w:r w:rsidRPr="000316DE">
        <w:rPr>
          <w:rFonts w:ascii="Calibri" w:hAnsi="Calibri" w:cs="Calibri"/>
          <w:sz w:val="22"/>
          <w:szCs w:val="22"/>
        </w:rPr>
        <w:t>-min Eom who chaired the group, NAIC staff</w:t>
      </w:r>
      <w:r w:rsidR="00EB31D2">
        <w:rPr>
          <w:rFonts w:ascii="Calibri" w:hAnsi="Calibri" w:cs="Calibri"/>
          <w:sz w:val="22"/>
          <w:szCs w:val="22"/>
        </w:rPr>
        <w:t>,</w:t>
      </w:r>
      <w:r w:rsidRPr="000316DE">
        <w:rPr>
          <w:rFonts w:ascii="Calibri" w:hAnsi="Calibri" w:cs="Calibri"/>
          <w:sz w:val="22"/>
          <w:szCs w:val="22"/>
        </w:rPr>
        <w:t xml:space="preserve"> SOA staff, </w:t>
      </w:r>
      <w:r w:rsidR="00A303BA">
        <w:rPr>
          <w:rFonts w:ascii="Calibri" w:hAnsi="Calibri" w:cs="Calibri"/>
          <w:sz w:val="22"/>
          <w:szCs w:val="22"/>
        </w:rPr>
        <w:t xml:space="preserve">the </w:t>
      </w:r>
      <w:r w:rsidRPr="000316DE">
        <w:rPr>
          <w:rFonts w:ascii="Calibri" w:hAnsi="Calibri" w:cs="Calibri"/>
          <w:sz w:val="22"/>
          <w:szCs w:val="22"/>
        </w:rPr>
        <w:t xml:space="preserve">Chair of </w:t>
      </w:r>
      <w:r w:rsidR="0092097A">
        <w:rPr>
          <w:rFonts w:ascii="Calibri" w:hAnsi="Calibri" w:cs="Calibri"/>
          <w:sz w:val="22"/>
          <w:szCs w:val="22"/>
        </w:rPr>
        <w:t>Society of Actuaries (</w:t>
      </w:r>
      <w:r w:rsidRPr="000316DE">
        <w:rPr>
          <w:rFonts w:ascii="Calibri" w:hAnsi="Calibri" w:cs="Calibri"/>
          <w:sz w:val="22"/>
          <w:szCs w:val="22"/>
        </w:rPr>
        <w:t>SOA</w:t>
      </w:r>
      <w:r w:rsidR="0092097A">
        <w:rPr>
          <w:rFonts w:ascii="Calibri" w:hAnsi="Calibri" w:cs="Calibri"/>
          <w:sz w:val="22"/>
          <w:szCs w:val="22"/>
        </w:rPr>
        <w:t>)</w:t>
      </w:r>
      <w:r w:rsidRPr="000316DE">
        <w:rPr>
          <w:rFonts w:ascii="Calibri" w:hAnsi="Calibri" w:cs="Calibri"/>
          <w:sz w:val="22"/>
          <w:szCs w:val="22"/>
        </w:rPr>
        <w:t xml:space="preserve"> Group Annuity Experience Committee, </w:t>
      </w:r>
      <w:r w:rsidR="00A303BA">
        <w:rPr>
          <w:rFonts w:ascii="Calibri" w:hAnsi="Calibri" w:cs="Calibri"/>
          <w:sz w:val="22"/>
          <w:szCs w:val="22"/>
        </w:rPr>
        <w:t xml:space="preserve">the </w:t>
      </w:r>
      <w:r w:rsidR="0092097A">
        <w:rPr>
          <w:rFonts w:ascii="Calibri" w:hAnsi="Calibri" w:cs="Calibri"/>
          <w:sz w:val="22"/>
          <w:szCs w:val="22"/>
        </w:rPr>
        <w:t xml:space="preserve">American </w:t>
      </w:r>
      <w:r w:rsidRPr="000316DE">
        <w:rPr>
          <w:rFonts w:ascii="Calibri" w:hAnsi="Calibri" w:cs="Calibri"/>
          <w:sz w:val="22"/>
          <w:szCs w:val="22"/>
        </w:rPr>
        <w:t xml:space="preserve">Academy of Actuaries, </w:t>
      </w:r>
      <w:r w:rsidR="00A303BA">
        <w:rPr>
          <w:rFonts w:ascii="Calibri" w:hAnsi="Calibri" w:cs="Calibri"/>
          <w:sz w:val="22"/>
          <w:szCs w:val="22"/>
        </w:rPr>
        <w:t xml:space="preserve">representatives of the </w:t>
      </w:r>
      <w:r w:rsidR="0092097A">
        <w:rPr>
          <w:rFonts w:ascii="Calibri" w:hAnsi="Calibri" w:cs="Calibri"/>
          <w:sz w:val="22"/>
          <w:szCs w:val="22"/>
        </w:rPr>
        <w:t>American Council of Life Insurers (</w:t>
      </w:r>
      <w:r w:rsidRPr="000316DE">
        <w:rPr>
          <w:rFonts w:ascii="Calibri" w:hAnsi="Calibri" w:cs="Calibri"/>
          <w:sz w:val="22"/>
          <w:szCs w:val="22"/>
        </w:rPr>
        <w:t>ACLI</w:t>
      </w:r>
      <w:r w:rsidR="0092097A">
        <w:rPr>
          <w:rFonts w:ascii="Calibri" w:hAnsi="Calibri" w:cs="Calibri"/>
          <w:sz w:val="22"/>
          <w:szCs w:val="22"/>
        </w:rPr>
        <w:t>)</w:t>
      </w:r>
      <w:r w:rsidRPr="000316DE">
        <w:rPr>
          <w:rFonts w:ascii="Calibri" w:hAnsi="Calibri" w:cs="Calibri"/>
          <w:sz w:val="22"/>
          <w:szCs w:val="22"/>
        </w:rPr>
        <w:t xml:space="preserve">, and individual companies.  Several </w:t>
      </w:r>
      <w:r w:rsidR="00F93C97">
        <w:rPr>
          <w:rFonts w:ascii="Calibri" w:hAnsi="Calibri" w:cs="Calibri"/>
          <w:sz w:val="22"/>
          <w:szCs w:val="22"/>
        </w:rPr>
        <w:t>draft iterations</w:t>
      </w:r>
      <w:r w:rsidRPr="000316DE">
        <w:rPr>
          <w:rFonts w:ascii="Calibri" w:hAnsi="Calibri" w:cs="Calibri"/>
          <w:sz w:val="22"/>
          <w:szCs w:val="22"/>
        </w:rPr>
        <w:t xml:space="preserve"> the APF were exposed</w:t>
      </w:r>
      <w:r w:rsidR="00F93C97">
        <w:rPr>
          <w:rFonts w:ascii="Calibri" w:hAnsi="Calibri" w:cs="Calibri"/>
          <w:sz w:val="22"/>
          <w:szCs w:val="22"/>
        </w:rPr>
        <w:t xml:space="preserve"> before the </w:t>
      </w:r>
      <w:r w:rsidR="000954F2">
        <w:rPr>
          <w:rFonts w:ascii="Calibri" w:hAnsi="Calibri" w:cs="Calibri"/>
          <w:sz w:val="22"/>
          <w:szCs w:val="22"/>
        </w:rPr>
        <w:t xml:space="preserve">current version </w:t>
      </w:r>
      <w:r w:rsidRPr="000316DE">
        <w:rPr>
          <w:rFonts w:ascii="Calibri" w:hAnsi="Calibri" w:cs="Calibri"/>
          <w:sz w:val="22"/>
          <w:szCs w:val="22"/>
        </w:rPr>
        <w:t xml:space="preserve">was adopted by </w:t>
      </w:r>
      <w:r w:rsidR="000954F2">
        <w:rPr>
          <w:rFonts w:ascii="Calibri" w:hAnsi="Calibri" w:cs="Calibri"/>
          <w:sz w:val="22"/>
          <w:szCs w:val="22"/>
        </w:rPr>
        <w:t>the Life Actuarial (A) Task Force (</w:t>
      </w:r>
      <w:r w:rsidRPr="000316DE">
        <w:rPr>
          <w:rFonts w:ascii="Calibri" w:hAnsi="Calibri" w:cs="Calibri"/>
          <w:sz w:val="22"/>
          <w:szCs w:val="22"/>
        </w:rPr>
        <w:t>LATF</w:t>
      </w:r>
      <w:r w:rsidR="000954F2">
        <w:rPr>
          <w:rFonts w:ascii="Calibri" w:hAnsi="Calibri" w:cs="Calibri"/>
          <w:sz w:val="22"/>
          <w:szCs w:val="22"/>
        </w:rPr>
        <w:t>)</w:t>
      </w:r>
      <w:r w:rsidRPr="000316DE">
        <w:rPr>
          <w:rFonts w:ascii="Calibri" w:hAnsi="Calibri" w:cs="Calibri"/>
          <w:sz w:val="22"/>
          <w:szCs w:val="22"/>
        </w:rPr>
        <w:t xml:space="preserve"> on April 9, 2026.  All VM-50 and VM-51 references in this memo </w:t>
      </w:r>
      <w:r w:rsidR="00413C23">
        <w:rPr>
          <w:rFonts w:ascii="Calibri" w:hAnsi="Calibri" w:cs="Calibri"/>
          <w:sz w:val="22"/>
          <w:szCs w:val="22"/>
        </w:rPr>
        <w:t>refer</w:t>
      </w:r>
      <w:r w:rsidRPr="000316DE">
        <w:rPr>
          <w:rFonts w:ascii="Calibri" w:hAnsi="Calibri" w:cs="Calibri"/>
          <w:sz w:val="22"/>
          <w:szCs w:val="22"/>
        </w:rPr>
        <w:t xml:space="preserve"> to the APF as adopted by LATF.</w:t>
      </w:r>
    </w:p>
    <w:p w14:paraId="778C25AB" w14:textId="77777777" w:rsidR="00D15E1E" w:rsidRPr="000316DE" w:rsidRDefault="00D15E1E" w:rsidP="00D15E1E">
      <w:pPr>
        <w:spacing w:after="0"/>
        <w:ind w:left="360"/>
        <w:rPr>
          <w:rFonts w:ascii="Calibri" w:hAnsi="Calibri" w:cs="Calibri"/>
          <w:sz w:val="22"/>
          <w:szCs w:val="22"/>
        </w:rPr>
      </w:pPr>
    </w:p>
    <w:p w14:paraId="362DEA17" w14:textId="37B935AA" w:rsidR="000B2A5F" w:rsidRPr="000316DE" w:rsidRDefault="000B2A5F"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Executive Summary</w:t>
      </w:r>
    </w:p>
    <w:p w14:paraId="226C7836" w14:textId="77777777" w:rsidR="00D15E1E" w:rsidRDefault="00D15E1E" w:rsidP="00D15E1E">
      <w:pPr>
        <w:spacing w:after="0"/>
        <w:ind w:left="360"/>
        <w:rPr>
          <w:rFonts w:ascii="Calibri" w:hAnsi="Calibri" w:cs="Calibri"/>
          <w:sz w:val="22"/>
          <w:szCs w:val="22"/>
        </w:rPr>
      </w:pPr>
    </w:p>
    <w:p w14:paraId="5C6F3FFE" w14:textId="568E0BED" w:rsidR="000B2A5F" w:rsidRDefault="000B2A5F" w:rsidP="00D15E1E">
      <w:pPr>
        <w:spacing w:after="0"/>
        <w:ind w:left="360"/>
        <w:rPr>
          <w:rFonts w:ascii="Calibri" w:hAnsi="Calibri" w:cs="Calibri"/>
          <w:sz w:val="22"/>
          <w:szCs w:val="22"/>
        </w:rPr>
      </w:pPr>
      <w:r w:rsidRPr="000316DE">
        <w:rPr>
          <w:rFonts w:ascii="Calibri" w:hAnsi="Calibri" w:cs="Calibri"/>
          <w:sz w:val="22"/>
          <w:szCs w:val="22"/>
        </w:rPr>
        <w:t>VM-50 Section 2.B.2 designates the NAIC as the Experience Reporting Agent for the Statistical Plan for Group Annuity Mortality beginning Jan. 1, 2027.  Based on the criteria stated in VM-51 Section 3.C, the NAIC has prepared a list of companies required to submit mortality experience data in 2027.  A total of 3</w:t>
      </w:r>
      <w:r w:rsidR="00D46DE9" w:rsidRPr="000316DE">
        <w:rPr>
          <w:rFonts w:ascii="Calibri" w:hAnsi="Calibri" w:cs="Calibri"/>
          <w:sz w:val="22"/>
          <w:szCs w:val="22"/>
        </w:rPr>
        <w:t>6</w:t>
      </w:r>
      <w:r w:rsidRPr="000316DE">
        <w:rPr>
          <w:rFonts w:ascii="Calibri" w:hAnsi="Calibri" w:cs="Calibri"/>
          <w:sz w:val="22"/>
          <w:szCs w:val="22"/>
        </w:rPr>
        <w:t xml:space="preserve"> companies were selected, </w:t>
      </w:r>
      <w:r w:rsidR="008C4A1B" w:rsidRPr="000316DE">
        <w:rPr>
          <w:rFonts w:ascii="Calibri" w:hAnsi="Calibri" w:cs="Calibri"/>
          <w:sz w:val="22"/>
          <w:szCs w:val="22"/>
        </w:rPr>
        <w:t>r</w:t>
      </w:r>
      <w:r w:rsidRPr="000316DE">
        <w:rPr>
          <w:rFonts w:ascii="Calibri" w:hAnsi="Calibri" w:cs="Calibri"/>
          <w:sz w:val="22"/>
          <w:szCs w:val="22"/>
        </w:rPr>
        <w:t xml:space="preserve">epresenting </w:t>
      </w:r>
      <w:r w:rsidR="008C4A1B" w:rsidRPr="000316DE">
        <w:rPr>
          <w:rFonts w:ascii="Calibri" w:hAnsi="Calibri" w:cs="Calibri"/>
          <w:sz w:val="22"/>
          <w:szCs w:val="22"/>
        </w:rPr>
        <w:t>15 states of domicile as shown in Appendix A.  This memorandum describes the selection process, the data collection timeline, and next steps for the selected companies.</w:t>
      </w:r>
    </w:p>
    <w:p w14:paraId="66A6FB28" w14:textId="77777777" w:rsidR="00D15E1E" w:rsidRPr="000316DE" w:rsidRDefault="00D15E1E" w:rsidP="00D15E1E">
      <w:pPr>
        <w:spacing w:after="0"/>
        <w:ind w:left="360"/>
        <w:rPr>
          <w:rFonts w:ascii="Calibri" w:hAnsi="Calibri" w:cs="Calibri"/>
          <w:sz w:val="22"/>
          <w:szCs w:val="22"/>
        </w:rPr>
      </w:pPr>
    </w:p>
    <w:p w14:paraId="3D9C86A6" w14:textId="09E3ACE9" w:rsidR="008C4A1B" w:rsidRDefault="008C4A1B" w:rsidP="00EE5123">
      <w:pPr>
        <w:spacing w:after="0"/>
        <w:ind w:left="360"/>
        <w:rPr>
          <w:rFonts w:ascii="Calibri" w:hAnsi="Calibri" w:cs="Calibri"/>
          <w:sz w:val="22"/>
          <w:szCs w:val="22"/>
        </w:rPr>
      </w:pPr>
      <w:r w:rsidRPr="000316DE">
        <w:rPr>
          <w:rFonts w:ascii="Calibri" w:hAnsi="Calibri" w:cs="Calibri"/>
          <w:sz w:val="22"/>
          <w:szCs w:val="22"/>
        </w:rPr>
        <w:t>It is important to note that the data collection requirements of VM-51 apply to all issue years of a company’s business, and not just to business subject to principle</w:t>
      </w:r>
      <w:r w:rsidR="00C257AA" w:rsidRPr="000316DE">
        <w:rPr>
          <w:rFonts w:ascii="Calibri" w:hAnsi="Calibri" w:cs="Calibri"/>
          <w:sz w:val="22"/>
          <w:szCs w:val="22"/>
        </w:rPr>
        <w:t>-</w:t>
      </w:r>
      <w:r w:rsidRPr="000316DE">
        <w:rPr>
          <w:rFonts w:ascii="Calibri" w:hAnsi="Calibri" w:cs="Calibri"/>
          <w:sz w:val="22"/>
          <w:szCs w:val="22"/>
        </w:rPr>
        <w:t>based reserving (PBR) under VM-22 or VM-V.</w:t>
      </w:r>
      <w:r w:rsidR="00EE5123">
        <w:rPr>
          <w:rFonts w:ascii="Calibri" w:hAnsi="Calibri" w:cs="Calibri"/>
          <w:sz w:val="22"/>
          <w:szCs w:val="22"/>
        </w:rPr>
        <w:t xml:space="preserve"> </w:t>
      </w:r>
      <w:r w:rsidRPr="000316DE">
        <w:rPr>
          <w:rFonts w:ascii="Calibri" w:hAnsi="Calibri" w:cs="Calibri"/>
          <w:sz w:val="22"/>
          <w:szCs w:val="22"/>
        </w:rPr>
        <w:t xml:space="preserve">Companies selected to submit mortality experience data in 2027 will be expected to continue reporting their experience in future years, barring circumstances justifying an exemption.  This will help ensure consistency in reporting from year to year.  </w:t>
      </w:r>
    </w:p>
    <w:p w14:paraId="7A997ED2" w14:textId="77777777" w:rsidR="00D15E1E" w:rsidRPr="000316DE" w:rsidRDefault="00D15E1E" w:rsidP="00D15E1E">
      <w:pPr>
        <w:spacing w:after="0"/>
        <w:ind w:left="360"/>
        <w:rPr>
          <w:rFonts w:ascii="Calibri" w:hAnsi="Calibri" w:cs="Calibri"/>
          <w:sz w:val="22"/>
          <w:szCs w:val="22"/>
        </w:rPr>
      </w:pPr>
    </w:p>
    <w:p w14:paraId="59AC9031" w14:textId="52F61F65" w:rsidR="008C4A1B" w:rsidRDefault="008C4A1B" w:rsidP="00D15E1E">
      <w:pPr>
        <w:spacing w:after="0"/>
        <w:ind w:left="360"/>
        <w:rPr>
          <w:rFonts w:ascii="Calibri" w:hAnsi="Calibri" w:cs="Calibri"/>
          <w:sz w:val="22"/>
          <w:szCs w:val="22"/>
        </w:rPr>
      </w:pPr>
      <w:r w:rsidRPr="000316DE">
        <w:rPr>
          <w:rFonts w:ascii="Calibri" w:hAnsi="Calibri" w:cs="Calibri"/>
          <w:sz w:val="22"/>
          <w:szCs w:val="22"/>
        </w:rPr>
        <w:t xml:space="preserve">The list of companies selected is subject to change.  Pursuant to VM-51 Section 3.C, exemptions may be granted by the Experience Reporting Agent where appropriate, following consultation with the domestic insurance regulator, based on achieving a </w:t>
      </w:r>
      <w:r w:rsidR="00EB31D2">
        <w:rPr>
          <w:rFonts w:ascii="Calibri" w:hAnsi="Calibri" w:cs="Calibri"/>
          <w:sz w:val="22"/>
          <w:szCs w:val="22"/>
        </w:rPr>
        <w:t xml:space="preserve">minimum </w:t>
      </w:r>
      <w:r w:rsidRPr="000316DE">
        <w:rPr>
          <w:rFonts w:ascii="Calibri" w:hAnsi="Calibri" w:cs="Calibri"/>
          <w:sz w:val="22"/>
          <w:szCs w:val="22"/>
        </w:rPr>
        <w:t xml:space="preserve">target level of approximately 90% of industry statutory reserves for the type of experience data </w:t>
      </w:r>
      <w:proofErr w:type="gramStart"/>
      <w:r w:rsidRPr="000316DE">
        <w:rPr>
          <w:rFonts w:ascii="Calibri" w:hAnsi="Calibri" w:cs="Calibri"/>
          <w:sz w:val="22"/>
          <w:szCs w:val="22"/>
        </w:rPr>
        <w:t>being collected</w:t>
      </w:r>
      <w:proofErr w:type="gramEnd"/>
      <w:r w:rsidRPr="000316DE">
        <w:rPr>
          <w:rFonts w:ascii="Calibri" w:hAnsi="Calibri" w:cs="Calibri"/>
          <w:sz w:val="22"/>
          <w:szCs w:val="22"/>
        </w:rPr>
        <w:t xml:space="preserve">.  Depending on the exemptions granted, additional companies may be selected </w:t>
      </w:r>
      <w:proofErr w:type="gramStart"/>
      <w:r w:rsidRPr="000316DE">
        <w:rPr>
          <w:rFonts w:ascii="Calibri" w:hAnsi="Calibri" w:cs="Calibri"/>
          <w:sz w:val="22"/>
          <w:szCs w:val="22"/>
        </w:rPr>
        <w:t>in an effort to</w:t>
      </w:r>
      <w:proofErr w:type="gramEnd"/>
      <w:r w:rsidRPr="000316DE">
        <w:rPr>
          <w:rFonts w:ascii="Calibri" w:hAnsi="Calibri" w:cs="Calibri"/>
          <w:sz w:val="22"/>
          <w:szCs w:val="22"/>
        </w:rPr>
        <w:t xml:space="preserve"> achieve the target level of </w:t>
      </w:r>
      <w:r w:rsidRPr="000316DE">
        <w:rPr>
          <w:rFonts w:ascii="Calibri" w:hAnsi="Calibri" w:cs="Calibri"/>
          <w:sz w:val="22"/>
          <w:szCs w:val="22"/>
        </w:rPr>
        <w:lastRenderedPageBreak/>
        <w:t xml:space="preserve">industry experience.  However, any additional selections will be made prior to 9/30/2026, to provide </w:t>
      </w:r>
      <w:r w:rsidR="00EB31D2">
        <w:rPr>
          <w:rFonts w:ascii="Calibri" w:hAnsi="Calibri" w:cs="Calibri"/>
          <w:sz w:val="22"/>
          <w:szCs w:val="22"/>
        </w:rPr>
        <w:t xml:space="preserve">newly selected </w:t>
      </w:r>
      <w:r w:rsidRPr="000316DE">
        <w:rPr>
          <w:rFonts w:ascii="Calibri" w:hAnsi="Calibri" w:cs="Calibri"/>
          <w:sz w:val="22"/>
          <w:szCs w:val="22"/>
        </w:rPr>
        <w:t>companies sufficient notice to prepare for the data submission.</w:t>
      </w:r>
    </w:p>
    <w:p w14:paraId="48F0614D" w14:textId="77777777" w:rsidR="00D15E1E" w:rsidRPr="000316DE" w:rsidRDefault="00D15E1E" w:rsidP="00D15E1E">
      <w:pPr>
        <w:spacing w:after="0"/>
        <w:ind w:left="360"/>
        <w:rPr>
          <w:rFonts w:ascii="Calibri" w:hAnsi="Calibri" w:cs="Calibri"/>
          <w:sz w:val="22"/>
          <w:szCs w:val="22"/>
        </w:rPr>
      </w:pPr>
    </w:p>
    <w:p w14:paraId="0A899C5B" w14:textId="77056DEE" w:rsidR="00BD7182" w:rsidRPr="000316DE" w:rsidRDefault="00BD7182"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Company Selection Process</w:t>
      </w:r>
    </w:p>
    <w:p w14:paraId="2F6062B9" w14:textId="77777777" w:rsidR="00D15E1E" w:rsidRDefault="00D15E1E" w:rsidP="00D15E1E">
      <w:pPr>
        <w:spacing w:after="0"/>
        <w:ind w:left="360"/>
        <w:rPr>
          <w:rFonts w:ascii="Calibri" w:hAnsi="Calibri" w:cs="Calibri"/>
          <w:sz w:val="22"/>
          <w:szCs w:val="22"/>
        </w:rPr>
      </w:pPr>
    </w:p>
    <w:p w14:paraId="7C784654" w14:textId="48D1B02C" w:rsidR="00BD7182" w:rsidRPr="000316DE" w:rsidRDefault="00BD7182" w:rsidP="00BD7182">
      <w:pPr>
        <w:ind w:left="360"/>
        <w:rPr>
          <w:rFonts w:ascii="Calibri" w:hAnsi="Calibri" w:cs="Calibri"/>
          <w:sz w:val="22"/>
          <w:szCs w:val="22"/>
        </w:rPr>
      </w:pPr>
      <w:r w:rsidRPr="000316DE">
        <w:rPr>
          <w:rFonts w:ascii="Calibri" w:hAnsi="Calibri" w:cs="Calibri"/>
          <w:sz w:val="22"/>
          <w:szCs w:val="22"/>
        </w:rPr>
        <w:t>Companies were selected in accordance with the criteria stated in VM-51 Section 3.</w:t>
      </w:r>
      <w:r w:rsidR="000316DE" w:rsidRPr="000316DE">
        <w:rPr>
          <w:rFonts w:ascii="Calibri" w:hAnsi="Calibri" w:cs="Calibri"/>
          <w:sz w:val="22"/>
          <w:szCs w:val="22"/>
        </w:rPr>
        <w:t>C</w:t>
      </w:r>
      <w:r w:rsidRPr="000316DE">
        <w:rPr>
          <w:rFonts w:ascii="Calibri" w:hAnsi="Calibri" w:cs="Calibri"/>
          <w:sz w:val="22"/>
          <w:szCs w:val="22"/>
        </w:rPr>
        <w:t xml:space="preserve">, with </w:t>
      </w:r>
      <w:proofErr w:type="gramStart"/>
      <w:r w:rsidRPr="000316DE">
        <w:rPr>
          <w:rFonts w:ascii="Calibri" w:hAnsi="Calibri" w:cs="Calibri"/>
          <w:sz w:val="22"/>
          <w:szCs w:val="22"/>
        </w:rPr>
        <w:t>an</w:t>
      </w:r>
      <w:proofErr w:type="gramEnd"/>
      <w:r w:rsidRPr="000316DE">
        <w:rPr>
          <w:rFonts w:ascii="Calibri" w:hAnsi="Calibri" w:cs="Calibri"/>
          <w:sz w:val="22"/>
          <w:szCs w:val="22"/>
        </w:rPr>
        <w:t xml:space="preserve"> objective of achieving a minimum tar</w:t>
      </w:r>
      <w:r w:rsidR="00C257AA" w:rsidRPr="000316DE">
        <w:rPr>
          <w:rFonts w:ascii="Calibri" w:hAnsi="Calibri" w:cs="Calibri"/>
          <w:sz w:val="22"/>
          <w:szCs w:val="22"/>
        </w:rPr>
        <w:t>get</w:t>
      </w:r>
      <w:r w:rsidRPr="000316DE">
        <w:rPr>
          <w:rFonts w:ascii="Calibri" w:hAnsi="Calibri" w:cs="Calibri"/>
          <w:sz w:val="22"/>
          <w:szCs w:val="22"/>
        </w:rPr>
        <w:t xml:space="preserve"> level of approximately 90% of industry statutory reserves for in-scope business.  The steps in the selection process are listed and described below.</w:t>
      </w:r>
    </w:p>
    <w:p w14:paraId="0C0B2D90" w14:textId="38430699" w:rsidR="00BD7182"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Collect Annual Statement Data</w:t>
      </w:r>
      <w:proofErr w:type="gramStart"/>
      <w:r w:rsidRPr="000316DE">
        <w:rPr>
          <w:rFonts w:ascii="Calibri" w:hAnsi="Calibri" w:cs="Calibri"/>
          <w:b/>
          <w:bCs/>
          <w:sz w:val="22"/>
          <w:szCs w:val="22"/>
        </w:rPr>
        <w:t xml:space="preserve">:  </w:t>
      </w:r>
      <w:r w:rsidR="00C169A0">
        <w:rPr>
          <w:rFonts w:ascii="Calibri" w:hAnsi="Calibri" w:cs="Calibri"/>
          <w:sz w:val="22"/>
          <w:szCs w:val="22"/>
        </w:rPr>
        <w:t>Compile</w:t>
      </w:r>
      <w:proofErr w:type="gramEnd"/>
      <w:r w:rsidR="00BD7182" w:rsidRPr="000316DE">
        <w:rPr>
          <w:rFonts w:ascii="Calibri" w:hAnsi="Calibri" w:cs="Calibri"/>
          <w:sz w:val="22"/>
          <w:szCs w:val="22"/>
        </w:rPr>
        <w:t xml:space="preserve"> 2024 Annual Statement data ne</w:t>
      </w:r>
      <w:r w:rsidR="00C169A0">
        <w:rPr>
          <w:rFonts w:ascii="Calibri" w:hAnsi="Calibri" w:cs="Calibri"/>
          <w:sz w:val="22"/>
          <w:szCs w:val="22"/>
        </w:rPr>
        <w:t>cessary</w:t>
      </w:r>
      <w:r w:rsidR="00BD7182" w:rsidRPr="000316DE">
        <w:rPr>
          <w:rFonts w:ascii="Calibri" w:hAnsi="Calibri" w:cs="Calibri"/>
          <w:sz w:val="22"/>
          <w:szCs w:val="22"/>
        </w:rPr>
        <w:t xml:space="preserve"> to select companies to participate in a </w:t>
      </w:r>
      <w:r w:rsidR="00C71541">
        <w:rPr>
          <w:rFonts w:ascii="Calibri" w:hAnsi="Calibri" w:cs="Calibri"/>
          <w:sz w:val="22"/>
          <w:szCs w:val="22"/>
        </w:rPr>
        <w:t>g</w:t>
      </w:r>
      <w:r w:rsidR="00BD7182" w:rsidRPr="000316DE">
        <w:rPr>
          <w:rFonts w:ascii="Calibri" w:hAnsi="Calibri" w:cs="Calibri"/>
          <w:sz w:val="22"/>
          <w:szCs w:val="22"/>
        </w:rPr>
        <w:t xml:space="preserve">roup </w:t>
      </w:r>
      <w:r w:rsidR="00C71541">
        <w:rPr>
          <w:rFonts w:ascii="Calibri" w:hAnsi="Calibri" w:cs="Calibri"/>
          <w:sz w:val="22"/>
          <w:szCs w:val="22"/>
        </w:rPr>
        <w:t>a</w:t>
      </w:r>
      <w:r w:rsidR="00BD7182" w:rsidRPr="000316DE">
        <w:rPr>
          <w:rFonts w:ascii="Calibri" w:hAnsi="Calibri" w:cs="Calibri"/>
          <w:sz w:val="22"/>
          <w:szCs w:val="22"/>
        </w:rPr>
        <w:t xml:space="preserve">nnuity survey developed by </w:t>
      </w:r>
      <w:r w:rsidR="00C257AA" w:rsidRPr="000316DE">
        <w:rPr>
          <w:rFonts w:ascii="Calibri" w:hAnsi="Calibri" w:cs="Calibri"/>
          <w:sz w:val="22"/>
          <w:szCs w:val="22"/>
        </w:rPr>
        <w:t xml:space="preserve">the </w:t>
      </w:r>
      <w:r w:rsidR="00BD7182" w:rsidRPr="000316DE">
        <w:rPr>
          <w:rFonts w:ascii="Calibri" w:hAnsi="Calibri" w:cs="Calibri"/>
          <w:sz w:val="22"/>
          <w:szCs w:val="22"/>
        </w:rPr>
        <w:t xml:space="preserve">APF drafting group.  Data gathered includes Statutory Reserves, Certificates </w:t>
      </w:r>
      <w:proofErr w:type="spellStart"/>
      <w:r w:rsidR="00BD7182" w:rsidRPr="000316DE">
        <w:rPr>
          <w:rFonts w:ascii="Calibri" w:hAnsi="Calibri" w:cs="Calibri"/>
          <w:sz w:val="22"/>
          <w:szCs w:val="22"/>
        </w:rPr>
        <w:t>Inforce</w:t>
      </w:r>
      <w:proofErr w:type="spellEnd"/>
      <w:r w:rsidR="00BD7182" w:rsidRPr="000316DE">
        <w:rPr>
          <w:rFonts w:ascii="Calibri" w:hAnsi="Calibri" w:cs="Calibri"/>
          <w:sz w:val="22"/>
          <w:szCs w:val="22"/>
        </w:rPr>
        <w:t>, Single Premium, and Income Payable.</w:t>
      </w:r>
      <w:r w:rsidR="008D5D67" w:rsidRPr="000316DE">
        <w:rPr>
          <w:rFonts w:ascii="Calibri" w:hAnsi="Calibri" w:cs="Calibri"/>
          <w:sz w:val="22"/>
          <w:szCs w:val="22"/>
        </w:rPr>
        <w:t xml:space="preserve"> </w:t>
      </w:r>
      <w:r w:rsidR="00EB31D2">
        <w:rPr>
          <w:rFonts w:ascii="Calibri" w:hAnsi="Calibri" w:cs="Calibri"/>
          <w:sz w:val="22"/>
          <w:szCs w:val="22"/>
        </w:rPr>
        <w:t>For those companies who are part of an NAIC affiliated group, t</w:t>
      </w:r>
      <w:r w:rsidRPr="000316DE">
        <w:rPr>
          <w:rFonts w:ascii="Calibri" w:hAnsi="Calibri" w:cs="Calibri"/>
          <w:sz w:val="22"/>
          <w:szCs w:val="22"/>
        </w:rPr>
        <w:t xml:space="preserve">he annual statement data </w:t>
      </w:r>
      <w:r w:rsidR="004259EB" w:rsidRPr="000316DE">
        <w:rPr>
          <w:rFonts w:ascii="Calibri" w:hAnsi="Calibri" w:cs="Calibri"/>
          <w:sz w:val="22"/>
          <w:szCs w:val="22"/>
        </w:rPr>
        <w:t xml:space="preserve">was rolled up </w:t>
      </w:r>
      <w:r w:rsidRPr="000316DE">
        <w:rPr>
          <w:rFonts w:ascii="Calibri" w:hAnsi="Calibri" w:cs="Calibri"/>
          <w:sz w:val="22"/>
          <w:szCs w:val="22"/>
        </w:rPr>
        <w:t xml:space="preserve">to the group level.  </w:t>
      </w:r>
    </w:p>
    <w:p w14:paraId="4050D8A6" w14:textId="19A0C109" w:rsidR="00BD7182"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Send Survey to Major Group Annuity Carriers</w:t>
      </w:r>
      <w:proofErr w:type="gramStart"/>
      <w:r w:rsidRPr="000316DE">
        <w:rPr>
          <w:rFonts w:ascii="Calibri" w:hAnsi="Calibri" w:cs="Calibri"/>
          <w:b/>
          <w:bCs/>
          <w:sz w:val="22"/>
          <w:szCs w:val="22"/>
        </w:rPr>
        <w:t xml:space="preserve">:  </w:t>
      </w:r>
      <w:r w:rsidR="00BD7182" w:rsidRPr="000316DE">
        <w:rPr>
          <w:rFonts w:ascii="Calibri" w:hAnsi="Calibri" w:cs="Calibri"/>
          <w:sz w:val="22"/>
          <w:szCs w:val="22"/>
        </w:rPr>
        <w:t>Groups</w:t>
      </w:r>
      <w:proofErr w:type="gramEnd"/>
      <w:r w:rsidR="00BD7182" w:rsidRPr="000316DE">
        <w:rPr>
          <w:rFonts w:ascii="Calibri" w:hAnsi="Calibri" w:cs="Calibri"/>
          <w:sz w:val="22"/>
          <w:szCs w:val="22"/>
        </w:rPr>
        <w:t xml:space="preserve"> were then ordered according to each of the four metrics</w:t>
      </w:r>
      <w:r w:rsidRPr="000316DE">
        <w:rPr>
          <w:rFonts w:ascii="Calibri" w:hAnsi="Calibri" w:cs="Calibri"/>
          <w:sz w:val="22"/>
          <w:szCs w:val="22"/>
        </w:rPr>
        <w:t xml:space="preserve"> collected from the annual statement.  Surveys were sent to all groups </w:t>
      </w:r>
      <w:r w:rsidR="00BD7182" w:rsidRPr="000316DE">
        <w:rPr>
          <w:rFonts w:ascii="Calibri" w:hAnsi="Calibri" w:cs="Calibri"/>
          <w:sz w:val="22"/>
          <w:szCs w:val="22"/>
        </w:rPr>
        <w:t>that ranked in the top 30 for at least two of the four metrics.</w:t>
      </w:r>
      <w:r w:rsidR="008D5D67" w:rsidRPr="000316DE">
        <w:rPr>
          <w:rFonts w:ascii="Calibri" w:hAnsi="Calibri" w:cs="Calibri"/>
          <w:sz w:val="22"/>
          <w:szCs w:val="22"/>
        </w:rPr>
        <w:t xml:space="preserve">  Also survey</w:t>
      </w:r>
      <w:r w:rsidRPr="000316DE">
        <w:rPr>
          <w:rFonts w:ascii="Calibri" w:hAnsi="Calibri" w:cs="Calibri"/>
          <w:sz w:val="22"/>
          <w:szCs w:val="22"/>
        </w:rPr>
        <w:t>ed</w:t>
      </w:r>
      <w:r w:rsidR="008D5D67" w:rsidRPr="000316DE">
        <w:rPr>
          <w:rFonts w:ascii="Calibri" w:hAnsi="Calibri" w:cs="Calibri"/>
          <w:sz w:val="22"/>
          <w:szCs w:val="22"/>
        </w:rPr>
        <w:t xml:space="preserve"> were all groups that participated in either the most recent SOA or LIMRA group annuity study</w:t>
      </w:r>
      <w:r w:rsidRPr="000316DE">
        <w:rPr>
          <w:rFonts w:ascii="Calibri" w:hAnsi="Calibri" w:cs="Calibri"/>
          <w:sz w:val="22"/>
          <w:szCs w:val="22"/>
        </w:rPr>
        <w:t xml:space="preserve">.  Groups were instructed to complete </w:t>
      </w:r>
      <w:r w:rsidR="00EB31D2">
        <w:rPr>
          <w:rFonts w:ascii="Calibri" w:hAnsi="Calibri" w:cs="Calibri"/>
          <w:sz w:val="22"/>
          <w:szCs w:val="22"/>
        </w:rPr>
        <w:t>a separate</w:t>
      </w:r>
      <w:r w:rsidRPr="000316DE">
        <w:rPr>
          <w:rFonts w:ascii="Calibri" w:hAnsi="Calibri" w:cs="Calibri"/>
          <w:sz w:val="22"/>
          <w:szCs w:val="22"/>
        </w:rPr>
        <w:t xml:space="preserve"> survey for each legal entity.</w:t>
      </w:r>
      <w:r w:rsidR="008D5D67" w:rsidRPr="000316DE">
        <w:rPr>
          <w:rFonts w:ascii="Calibri" w:hAnsi="Calibri" w:cs="Calibri"/>
          <w:sz w:val="22"/>
          <w:szCs w:val="22"/>
        </w:rPr>
        <w:t xml:space="preserve"> </w:t>
      </w:r>
    </w:p>
    <w:p w14:paraId="01E4ECDA" w14:textId="58BBB4BA" w:rsidR="008D5D67"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Compile / Analyze Survey Responses</w:t>
      </w:r>
      <w:proofErr w:type="gramStart"/>
      <w:r w:rsidRPr="000316DE">
        <w:rPr>
          <w:rFonts w:ascii="Calibri" w:hAnsi="Calibri" w:cs="Calibri"/>
          <w:b/>
          <w:bCs/>
          <w:sz w:val="22"/>
          <w:szCs w:val="22"/>
        </w:rPr>
        <w:t xml:space="preserve">:  </w:t>
      </w:r>
      <w:r w:rsidRPr="000316DE">
        <w:rPr>
          <w:rFonts w:ascii="Calibri" w:hAnsi="Calibri" w:cs="Calibri"/>
          <w:sz w:val="22"/>
          <w:szCs w:val="22"/>
        </w:rPr>
        <w:t>Survey</w:t>
      </w:r>
      <w:proofErr w:type="gramEnd"/>
      <w:r w:rsidRPr="000316DE">
        <w:rPr>
          <w:rFonts w:ascii="Calibri" w:hAnsi="Calibri" w:cs="Calibri"/>
          <w:sz w:val="22"/>
          <w:szCs w:val="22"/>
        </w:rPr>
        <w:t xml:space="preserve"> responses were aggregated and analyzed to determine which companies had business that was in-scope for the data collection.  Follow up questions were sent to the companies that had included lines of business in the “Other” category to determine whether those products should be included.  </w:t>
      </w:r>
    </w:p>
    <w:p w14:paraId="1284D595" w14:textId="55E58210" w:rsidR="003B6B37" w:rsidRPr="000316DE" w:rsidRDefault="003B6B37" w:rsidP="00BD7182">
      <w:pPr>
        <w:pStyle w:val="ListParagraph"/>
        <w:numPr>
          <w:ilvl w:val="0"/>
          <w:numId w:val="2"/>
        </w:numPr>
        <w:rPr>
          <w:rFonts w:ascii="Calibri" w:hAnsi="Calibri" w:cs="Calibri"/>
          <w:sz w:val="22"/>
          <w:szCs w:val="22"/>
        </w:rPr>
      </w:pPr>
      <w:r w:rsidRPr="000316DE">
        <w:rPr>
          <w:rFonts w:ascii="Calibri" w:hAnsi="Calibri" w:cs="Calibri"/>
          <w:b/>
          <w:bCs/>
          <w:sz w:val="22"/>
          <w:szCs w:val="22"/>
        </w:rPr>
        <w:t>Order Companies base</w:t>
      </w:r>
      <w:r w:rsidR="003544FC">
        <w:rPr>
          <w:rFonts w:ascii="Calibri" w:hAnsi="Calibri" w:cs="Calibri"/>
          <w:b/>
          <w:bCs/>
          <w:sz w:val="22"/>
          <w:szCs w:val="22"/>
        </w:rPr>
        <w:t>d</w:t>
      </w:r>
      <w:r w:rsidRPr="000316DE">
        <w:rPr>
          <w:rFonts w:ascii="Calibri" w:hAnsi="Calibri" w:cs="Calibri"/>
          <w:b/>
          <w:bCs/>
          <w:sz w:val="22"/>
          <w:szCs w:val="22"/>
        </w:rPr>
        <w:t xml:space="preserve"> on Statutory Reserves</w:t>
      </w:r>
      <w:proofErr w:type="gramStart"/>
      <w:r w:rsidRPr="000316DE">
        <w:rPr>
          <w:rFonts w:ascii="Calibri" w:hAnsi="Calibri" w:cs="Calibri"/>
          <w:b/>
          <w:bCs/>
          <w:sz w:val="22"/>
          <w:szCs w:val="22"/>
        </w:rPr>
        <w:t>:</w:t>
      </w:r>
      <w:r w:rsidRPr="000316DE">
        <w:rPr>
          <w:rFonts w:ascii="Calibri" w:hAnsi="Calibri" w:cs="Calibri"/>
          <w:sz w:val="22"/>
          <w:szCs w:val="22"/>
        </w:rPr>
        <w:t xml:space="preserve">  </w:t>
      </w:r>
      <w:r w:rsidR="003544FC">
        <w:rPr>
          <w:rFonts w:ascii="Calibri" w:hAnsi="Calibri" w:cs="Calibri"/>
          <w:sz w:val="22"/>
          <w:szCs w:val="22"/>
        </w:rPr>
        <w:t>Statutory</w:t>
      </w:r>
      <w:proofErr w:type="gramEnd"/>
      <w:r w:rsidR="003544FC">
        <w:rPr>
          <w:rFonts w:ascii="Calibri" w:hAnsi="Calibri" w:cs="Calibri"/>
          <w:sz w:val="22"/>
          <w:szCs w:val="22"/>
        </w:rPr>
        <w:t xml:space="preserve"> r</w:t>
      </w:r>
      <w:r w:rsidRPr="000316DE">
        <w:rPr>
          <w:rFonts w:ascii="Calibri" w:hAnsi="Calibri" w:cs="Calibri"/>
          <w:sz w:val="22"/>
          <w:szCs w:val="22"/>
        </w:rPr>
        <w:t xml:space="preserve">eserves for in-scope products were summed </w:t>
      </w:r>
      <w:r w:rsidR="003544FC">
        <w:rPr>
          <w:rFonts w:ascii="Calibri" w:hAnsi="Calibri" w:cs="Calibri"/>
          <w:sz w:val="22"/>
          <w:szCs w:val="22"/>
        </w:rPr>
        <w:t xml:space="preserve">up </w:t>
      </w:r>
      <w:r w:rsidRPr="000316DE">
        <w:rPr>
          <w:rFonts w:ascii="Calibri" w:hAnsi="Calibri" w:cs="Calibri"/>
          <w:sz w:val="22"/>
          <w:szCs w:val="22"/>
        </w:rPr>
        <w:t xml:space="preserve">and the companies were ordered based on their total in-scope reserves.  Statutory reserve was </w:t>
      </w:r>
      <w:r w:rsidR="004259EB" w:rsidRPr="000316DE">
        <w:rPr>
          <w:rFonts w:ascii="Calibri" w:hAnsi="Calibri" w:cs="Calibri"/>
          <w:sz w:val="22"/>
          <w:szCs w:val="22"/>
        </w:rPr>
        <w:t>chosen as the selection criteria due to it being the most consistent and reliable response in the survey.</w:t>
      </w:r>
    </w:p>
    <w:p w14:paraId="511CBA1A" w14:textId="171C4077" w:rsidR="00D15E1E" w:rsidRDefault="00716D7F" w:rsidP="00D15E1E">
      <w:pPr>
        <w:pStyle w:val="ListParagraph"/>
        <w:numPr>
          <w:ilvl w:val="0"/>
          <w:numId w:val="2"/>
        </w:numPr>
        <w:rPr>
          <w:rFonts w:ascii="Calibri" w:hAnsi="Calibri" w:cs="Calibri"/>
          <w:sz w:val="22"/>
          <w:szCs w:val="22"/>
        </w:rPr>
      </w:pPr>
      <w:r w:rsidRPr="000316DE">
        <w:rPr>
          <w:rFonts w:ascii="Calibri" w:hAnsi="Calibri" w:cs="Calibri"/>
          <w:b/>
          <w:bCs/>
          <w:sz w:val="22"/>
          <w:szCs w:val="22"/>
        </w:rPr>
        <w:t>Eliminate Lower Ranking Companies</w:t>
      </w:r>
      <w:proofErr w:type="gramStart"/>
      <w:r w:rsidRPr="000316DE">
        <w:rPr>
          <w:rFonts w:ascii="Calibri" w:hAnsi="Calibri" w:cs="Calibri"/>
          <w:b/>
          <w:bCs/>
          <w:sz w:val="22"/>
          <w:szCs w:val="22"/>
        </w:rPr>
        <w:t>:</w:t>
      </w:r>
      <w:r w:rsidRPr="000316DE">
        <w:rPr>
          <w:rFonts w:ascii="Calibri" w:hAnsi="Calibri" w:cs="Calibri"/>
          <w:sz w:val="22"/>
          <w:szCs w:val="22"/>
        </w:rPr>
        <w:t xml:space="preserve">  Companies</w:t>
      </w:r>
      <w:proofErr w:type="gramEnd"/>
      <w:r w:rsidRPr="000316DE">
        <w:rPr>
          <w:rFonts w:ascii="Calibri" w:hAnsi="Calibri" w:cs="Calibri"/>
          <w:sz w:val="22"/>
          <w:szCs w:val="22"/>
        </w:rPr>
        <w:t xml:space="preserve"> with less tha</w:t>
      </w:r>
      <w:r w:rsidR="003544FC">
        <w:rPr>
          <w:rFonts w:ascii="Calibri" w:hAnsi="Calibri" w:cs="Calibri"/>
          <w:sz w:val="22"/>
          <w:szCs w:val="22"/>
        </w:rPr>
        <w:t>n</w:t>
      </w:r>
      <w:r w:rsidRPr="000316DE">
        <w:rPr>
          <w:rFonts w:ascii="Calibri" w:hAnsi="Calibri" w:cs="Calibri"/>
          <w:sz w:val="22"/>
          <w:szCs w:val="22"/>
        </w:rPr>
        <w:t xml:space="preserve"> $250 million of in-scope reserves were eliminated </w:t>
      </w:r>
      <w:proofErr w:type="gramStart"/>
      <w:r w:rsidRPr="000316DE">
        <w:rPr>
          <w:rFonts w:ascii="Calibri" w:hAnsi="Calibri" w:cs="Calibri"/>
          <w:sz w:val="22"/>
          <w:szCs w:val="22"/>
        </w:rPr>
        <w:t>per</w:t>
      </w:r>
      <w:proofErr w:type="gramEnd"/>
      <w:r w:rsidRPr="000316DE">
        <w:rPr>
          <w:rFonts w:ascii="Calibri" w:hAnsi="Calibri" w:cs="Calibri"/>
          <w:sz w:val="22"/>
          <w:szCs w:val="22"/>
        </w:rPr>
        <w:t xml:space="preserve"> the provision in VM-51 Section 3.C.  </w:t>
      </w:r>
    </w:p>
    <w:p w14:paraId="3383A6C0" w14:textId="2DC51A2B" w:rsidR="00D15E1E" w:rsidRPr="00A279EC" w:rsidRDefault="00D15E1E" w:rsidP="00D15E1E">
      <w:pPr>
        <w:pStyle w:val="ListParagraph"/>
        <w:numPr>
          <w:ilvl w:val="0"/>
          <w:numId w:val="2"/>
        </w:numPr>
        <w:rPr>
          <w:rFonts w:ascii="Calibri" w:hAnsi="Calibri" w:cs="Calibri"/>
          <w:sz w:val="22"/>
          <w:szCs w:val="22"/>
        </w:rPr>
      </w:pPr>
      <w:r w:rsidRPr="00A279EC">
        <w:rPr>
          <w:rFonts w:ascii="Calibri" w:hAnsi="Calibri" w:cs="Calibri"/>
          <w:b/>
          <w:bCs/>
          <w:sz w:val="22"/>
          <w:szCs w:val="22"/>
        </w:rPr>
        <w:t>Select Companies to Participate in Data Collection</w:t>
      </w:r>
      <w:proofErr w:type="gramStart"/>
      <w:r w:rsidRPr="00A279EC">
        <w:rPr>
          <w:rFonts w:ascii="Calibri" w:hAnsi="Calibri" w:cs="Calibri"/>
          <w:b/>
          <w:bCs/>
          <w:sz w:val="22"/>
          <w:szCs w:val="22"/>
        </w:rPr>
        <w:t>:</w:t>
      </w:r>
      <w:r w:rsidRPr="00A279EC">
        <w:rPr>
          <w:rFonts w:ascii="Calibri" w:hAnsi="Calibri" w:cs="Calibri"/>
          <w:sz w:val="22"/>
          <w:szCs w:val="22"/>
        </w:rPr>
        <w:t xml:space="preserve">  </w:t>
      </w:r>
      <w:r w:rsidR="006243A4" w:rsidRPr="00A279EC">
        <w:rPr>
          <w:rFonts w:ascii="Calibri" w:hAnsi="Calibri" w:cs="Calibri"/>
          <w:sz w:val="22"/>
          <w:szCs w:val="22"/>
        </w:rPr>
        <w:t>While</w:t>
      </w:r>
      <w:proofErr w:type="gramEnd"/>
      <w:r w:rsidR="006243A4" w:rsidRPr="00A279EC">
        <w:rPr>
          <w:rFonts w:ascii="Calibri" w:hAnsi="Calibri" w:cs="Calibri"/>
          <w:sz w:val="22"/>
          <w:szCs w:val="22"/>
        </w:rPr>
        <w:t xml:space="preserve"> analyzing the in-scope reserves report</w:t>
      </w:r>
      <w:r w:rsidR="00A279EC" w:rsidRPr="00A279EC">
        <w:rPr>
          <w:rFonts w:ascii="Calibri" w:hAnsi="Calibri" w:cs="Calibri"/>
          <w:sz w:val="22"/>
          <w:szCs w:val="22"/>
        </w:rPr>
        <w:t>ed</w:t>
      </w:r>
      <w:r w:rsidR="006243A4" w:rsidRPr="00A279EC">
        <w:rPr>
          <w:rFonts w:ascii="Calibri" w:hAnsi="Calibri" w:cs="Calibri"/>
          <w:sz w:val="22"/>
          <w:szCs w:val="22"/>
        </w:rPr>
        <w:t xml:space="preserve"> in the survey, it was noted that </w:t>
      </w:r>
      <w:r w:rsidR="00A279EC" w:rsidRPr="00A279EC">
        <w:rPr>
          <w:rFonts w:ascii="Calibri" w:hAnsi="Calibri" w:cs="Calibri"/>
          <w:sz w:val="22"/>
          <w:szCs w:val="22"/>
        </w:rPr>
        <w:t xml:space="preserve">reserves dropped significantly for companies that fell below $500 million.  As a result of this analysis, </w:t>
      </w:r>
      <w:r w:rsidR="00A279EC">
        <w:rPr>
          <w:rFonts w:ascii="Calibri" w:hAnsi="Calibri" w:cs="Calibri"/>
          <w:sz w:val="22"/>
          <w:szCs w:val="22"/>
        </w:rPr>
        <w:t>s</w:t>
      </w:r>
      <w:r w:rsidRPr="00A279EC">
        <w:rPr>
          <w:rFonts w:ascii="Calibri" w:hAnsi="Calibri" w:cs="Calibri"/>
          <w:sz w:val="22"/>
          <w:szCs w:val="22"/>
        </w:rPr>
        <w:t xml:space="preserve">urveyed companies with more than $500 million </w:t>
      </w:r>
      <w:proofErr w:type="gramStart"/>
      <w:r w:rsidRPr="00A279EC">
        <w:rPr>
          <w:rFonts w:ascii="Calibri" w:hAnsi="Calibri" w:cs="Calibri"/>
          <w:sz w:val="22"/>
          <w:szCs w:val="22"/>
        </w:rPr>
        <w:t>of</w:t>
      </w:r>
      <w:proofErr w:type="gramEnd"/>
      <w:r w:rsidRPr="00A279EC">
        <w:rPr>
          <w:rFonts w:ascii="Calibri" w:hAnsi="Calibri" w:cs="Calibri"/>
          <w:sz w:val="22"/>
          <w:szCs w:val="22"/>
        </w:rPr>
        <w:t xml:space="preserve"> in-scope reserves were selected</w:t>
      </w:r>
      <w:r w:rsidR="006243A4" w:rsidRPr="00A279EC">
        <w:rPr>
          <w:rFonts w:ascii="Calibri" w:hAnsi="Calibri" w:cs="Calibri"/>
          <w:sz w:val="22"/>
          <w:szCs w:val="22"/>
        </w:rPr>
        <w:t>.</w:t>
      </w:r>
    </w:p>
    <w:p w14:paraId="5733A843" w14:textId="77777777" w:rsidR="00D15E1E" w:rsidRPr="00D15E1E" w:rsidRDefault="00D15E1E" w:rsidP="00D15E1E">
      <w:pPr>
        <w:pStyle w:val="ListParagraph"/>
        <w:ind w:left="1080"/>
        <w:rPr>
          <w:rFonts w:ascii="Calibri" w:hAnsi="Calibri" w:cs="Calibri"/>
          <w:sz w:val="22"/>
          <w:szCs w:val="22"/>
        </w:rPr>
      </w:pPr>
    </w:p>
    <w:p w14:paraId="422F7027" w14:textId="43FF2080" w:rsidR="003C4084" w:rsidRDefault="003C4084" w:rsidP="00D15E1E">
      <w:pPr>
        <w:pStyle w:val="ListParagraph"/>
        <w:numPr>
          <w:ilvl w:val="0"/>
          <w:numId w:val="1"/>
        </w:numPr>
        <w:spacing w:after="0"/>
        <w:contextualSpacing w:val="0"/>
        <w:rPr>
          <w:rFonts w:ascii="Calibri" w:hAnsi="Calibri" w:cs="Calibri"/>
          <w:b/>
          <w:bCs/>
          <w:sz w:val="22"/>
          <w:szCs w:val="22"/>
        </w:rPr>
      </w:pPr>
      <w:r w:rsidRPr="000316DE">
        <w:rPr>
          <w:rFonts w:ascii="Calibri" w:hAnsi="Calibri" w:cs="Calibri"/>
          <w:b/>
          <w:bCs/>
          <w:sz w:val="22"/>
          <w:szCs w:val="22"/>
        </w:rPr>
        <w:t>Limitations on the Company Selection Process</w:t>
      </w:r>
    </w:p>
    <w:p w14:paraId="0125BA45" w14:textId="77777777" w:rsidR="00D15E1E" w:rsidRDefault="00D15E1E" w:rsidP="00D15E1E">
      <w:pPr>
        <w:spacing w:after="0"/>
        <w:ind w:left="360"/>
        <w:rPr>
          <w:rFonts w:ascii="Calibri" w:hAnsi="Calibri" w:cs="Calibri"/>
          <w:b/>
          <w:bCs/>
          <w:sz w:val="22"/>
          <w:szCs w:val="22"/>
        </w:rPr>
      </w:pPr>
    </w:p>
    <w:p w14:paraId="2DA0977D" w14:textId="6DF658A7" w:rsidR="006243A4" w:rsidRDefault="006243A4" w:rsidP="00D15E1E">
      <w:pPr>
        <w:spacing w:after="0"/>
        <w:ind w:left="360"/>
        <w:rPr>
          <w:rFonts w:ascii="Calibri" w:hAnsi="Calibri" w:cs="Calibri"/>
          <w:sz w:val="22"/>
          <w:szCs w:val="22"/>
        </w:rPr>
      </w:pPr>
      <w:r w:rsidRPr="006243A4">
        <w:rPr>
          <w:rFonts w:ascii="Calibri" w:hAnsi="Calibri" w:cs="Calibri"/>
          <w:sz w:val="22"/>
          <w:szCs w:val="22"/>
        </w:rPr>
        <w:t xml:space="preserve">There are limitations on the ability of the Experience Reporting Agent to estimate the number of companies that should be selected to achieve a target level of 90% of industry statutory reserves for in-scope business.  </w:t>
      </w:r>
      <w:r>
        <w:rPr>
          <w:rFonts w:ascii="Calibri" w:hAnsi="Calibri" w:cs="Calibri"/>
          <w:sz w:val="22"/>
          <w:szCs w:val="22"/>
        </w:rPr>
        <w:t>Specific limitations are outlined below.</w:t>
      </w:r>
    </w:p>
    <w:p w14:paraId="55FA997E" w14:textId="77777777" w:rsidR="006243A4" w:rsidRPr="006243A4" w:rsidRDefault="006243A4" w:rsidP="00D15E1E">
      <w:pPr>
        <w:spacing w:after="0"/>
        <w:ind w:left="360"/>
        <w:rPr>
          <w:rFonts w:ascii="Calibri" w:hAnsi="Calibri" w:cs="Calibri"/>
          <w:sz w:val="22"/>
          <w:szCs w:val="22"/>
        </w:rPr>
      </w:pPr>
    </w:p>
    <w:p w14:paraId="575546D3" w14:textId="6AD4C8EC" w:rsidR="003C4084" w:rsidRDefault="003C4084" w:rsidP="00D15E1E">
      <w:pPr>
        <w:pStyle w:val="ListParagraph"/>
        <w:numPr>
          <w:ilvl w:val="0"/>
          <w:numId w:val="4"/>
        </w:numPr>
        <w:spacing w:after="0"/>
        <w:ind w:left="720"/>
        <w:contextualSpacing w:val="0"/>
        <w:rPr>
          <w:rFonts w:ascii="Calibri" w:hAnsi="Calibri" w:cs="Calibri"/>
          <w:sz w:val="22"/>
          <w:szCs w:val="22"/>
        </w:rPr>
      </w:pPr>
      <w:r w:rsidRPr="000316DE">
        <w:rPr>
          <w:rFonts w:ascii="Calibri" w:hAnsi="Calibri" w:cs="Calibri"/>
          <w:sz w:val="22"/>
          <w:szCs w:val="22"/>
        </w:rPr>
        <w:lastRenderedPageBreak/>
        <w:t xml:space="preserve"> Inability to identify items not in scope</w:t>
      </w:r>
    </w:p>
    <w:p w14:paraId="4E33A90A" w14:textId="77777777" w:rsidR="00D15E1E" w:rsidRPr="000316DE" w:rsidRDefault="00D15E1E" w:rsidP="00D15E1E">
      <w:pPr>
        <w:pStyle w:val="ListParagraph"/>
        <w:spacing w:after="0"/>
        <w:contextualSpacing w:val="0"/>
        <w:rPr>
          <w:rFonts w:ascii="Calibri" w:hAnsi="Calibri" w:cs="Calibri"/>
          <w:sz w:val="22"/>
          <w:szCs w:val="22"/>
        </w:rPr>
      </w:pPr>
    </w:p>
    <w:p w14:paraId="5991A236" w14:textId="3FC1E87F" w:rsidR="003C4084" w:rsidRPr="000316DE" w:rsidRDefault="003C4084" w:rsidP="000316DE">
      <w:pPr>
        <w:spacing w:after="0"/>
        <w:ind w:left="360"/>
        <w:rPr>
          <w:rFonts w:ascii="Calibri" w:hAnsi="Calibri" w:cs="Calibri"/>
          <w:sz w:val="22"/>
          <w:szCs w:val="22"/>
        </w:rPr>
      </w:pPr>
      <w:r w:rsidRPr="000316DE">
        <w:rPr>
          <w:rFonts w:ascii="Calibri" w:hAnsi="Calibri" w:cs="Calibri"/>
          <w:sz w:val="22"/>
          <w:szCs w:val="22"/>
        </w:rPr>
        <w:t xml:space="preserve">VM-51 Section 3.B excludes the following items from </w:t>
      </w:r>
      <w:proofErr w:type="gramStart"/>
      <w:r w:rsidRPr="000316DE">
        <w:rPr>
          <w:rFonts w:ascii="Calibri" w:hAnsi="Calibri" w:cs="Calibri"/>
          <w:sz w:val="22"/>
          <w:szCs w:val="22"/>
        </w:rPr>
        <w:t>the experience</w:t>
      </w:r>
      <w:proofErr w:type="gramEnd"/>
      <w:r w:rsidRPr="000316DE">
        <w:rPr>
          <w:rFonts w:ascii="Calibri" w:hAnsi="Calibri" w:cs="Calibri"/>
          <w:sz w:val="22"/>
          <w:szCs w:val="22"/>
        </w:rPr>
        <w:t xml:space="preserve"> reporting requirements</w:t>
      </w:r>
    </w:p>
    <w:p w14:paraId="027D38EF" w14:textId="50E48311"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Guaranteed Investment Contracts</w:t>
      </w:r>
    </w:p>
    <w:p w14:paraId="215F232F" w14:textId="5497E4E7"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Synthetic Guaranteed Investment Contracts</w:t>
      </w:r>
    </w:p>
    <w:p w14:paraId="3A5E7414" w14:textId="49459688"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Funding Agreements</w:t>
      </w:r>
    </w:p>
    <w:p w14:paraId="36F2300F" w14:textId="7284A3D1"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Stable Value Contracts</w:t>
      </w:r>
    </w:p>
    <w:p w14:paraId="7EC4ABE8" w14:textId="2051716A" w:rsidR="003C4084" w:rsidRPr="000316DE" w:rsidRDefault="003C4084"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Pre-Need Annuities</w:t>
      </w:r>
    </w:p>
    <w:p w14:paraId="59AC09D0" w14:textId="31E1E40E" w:rsidR="00563CB9" w:rsidRPr="000316DE" w:rsidRDefault="00563CB9" w:rsidP="000316DE">
      <w:pPr>
        <w:pStyle w:val="ListParagraph"/>
        <w:numPr>
          <w:ilvl w:val="0"/>
          <w:numId w:val="5"/>
        </w:numPr>
        <w:ind w:left="1260"/>
        <w:rPr>
          <w:rFonts w:ascii="Calibri" w:hAnsi="Calibri" w:cs="Calibri"/>
          <w:sz w:val="22"/>
          <w:szCs w:val="22"/>
        </w:rPr>
      </w:pPr>
      <w:r w:rsidRPr="000316DE">
        <w:rPr>
          <w:rFonts w:ascii="Calibri" w:hAnsi="Calibri" w:cs="Calibri"/>
          <w:sz w:val="22"/>
          <w:szCs w:val="22"/>
        </w:rPr>
        <w:t>Reinsurance assumed from a U.S. ceding company, unless the ceding company has requested the assuming company submit data. Note: longevity reinsurance assumed from a non-U.S. company is in-scope.</w:t>
      </w:r>
    </w:p>
    <w:p w14:paraId="23586C3D" w14:textId="284D397C" w:rsidR="00563CB9" w:rsidRPr="000316DE" w:rsidRDefault="00563CB9" w:rsidP="000316DE">
      <w:pPr>
        <w:spacing w:after="0"/>
        <w:ind w:left="360"/>
        <w:rPr>
          <w:rFonts w:ascii="Calibri" w:hAnsi="Calibri" w:cs="Calibri"/>
          <w:sz w:val="22"/>
          <w:szCs w:val="22"/>
          <w:u w:val="single"/>
        </w:rPr>
      </w:pPr>
      <w:r w:rsidRPr="000316DE">
        <w:rPr>
          <w:rFonts w:ascii="Calibri" w:hAnsi="Calibri" w:cs="Calibri"/>
          <w:sz w:val="22"/>
          <w:szCs w:val="22"/>
          <w:u w:val="single"/>
        </w:rPr>
        <w:t>Limitation</w:t>
      </w:r>
    </w:p>
    <w:p w14:paraId="056728D0" w14:textId="60CC8393" w:rsidR="00563CB9" w:rsidRPr="000316DE" w:rsidRDefault="00563CB9" w:rsidP="000316DE">
      <w:pPr>
        <w:ind w:left="360"/>
        <w:rPr>
          <w:rFonts w:ascii="Calibri" w:hAnsi="Calibri" w:cs="Calibri"/>
          <w:sz w:val="22"/>
          <w:szCs w:val="22"/>
        </w:rPr>
      </w:pPr>
      <w:r w:rsidRPr="000316DE">
        <w:rPr>
          <w:rFonts w:ascii="Calibri" w:hAnsi="Calibri" w:cs="Calibri"/>
          <w:sz w:val="22"/>
          <w:szCs w:val="22"/>
        </w:rPr>
        <w:t xml:space="preserve">Data gathered from the Annual Statement is not sufficiently granular to identify many of the items that are not in scope.  </w:t>
      </w:r>
      <w:r w:rsidR="00EF7D98" w:rsidRPr="000316DE">
        <w:rPr>
          <w:rFonts w:ascii="Calibri" w:hAnsi="Calibri" w:cs="Calibri"/>
          <w:sz w:val="22"/>
          <w:szCs w:val="22"/>
        </w:rPr>
        <w:t>The company selection process relied on the results of the survey that was sent out to companies (Step 2 above).  It is not possible to determine in-scope reserves for those companies not surveyed.</w:t>
      </w:r>
      <w:r w:rsidR="00D34D4E" w:rsidRPr="000316DE">
        <w:rPr>
          <w:rFonts w:ascii="Calibri" w:hAnsi="Calibri" w:cs="Calibri"/>
          <w:sz w:val="22"/>
          <w:szCs w:val="22"/>
        </w:rPr>
        <w:t xml:space="preserve">  The companies selected represent approximately 99% of total statutory reserves for those companies surveyed.  The threshold was set </w:t>
      </w:r>
      <w:r w:rsidR="006243A4">
        <w:rPr>
          <w:rFonts w:ascii="Calibri" w:hAnsi="Calibri" w:cs="Calibri"/>
          <w:sz w:val="22"/>
          <w:szCs w:val="22"/>
        </w:rPr>
        <w:t xml:space="preserve">more conservatively than </w:t>
      </w:r>
      <w:r w:rsidR="00D34D4E" w:rsidRPr="000316DE">
        <w:rPr>
          <w:rFonts w:ascii="Calibri" w:hAnsi="Calibri" w:cs="Calibri"/>
          <w:sz w:val="22"/>
          <w:szCs w:val="22"/>
        </w:rPr>
        <w:t>90% to allow for additional reserves from companies not surveyed.</w:t>
      </w:r>
    </w:p>
    <w:p w14:paraId="07541C94" w14:textId="0748FA0F" w:rsidR="00D34D4E" w:rsidRPr="000316DE" w:rsidRDefault="00D34D4E" w:rsidP="00D15E1E">
      <w:pPr>
        <w:pStyle w:val="ListParagraph"/>
        <w:numPr>
          <w:ilvl w:val="0"/>
          <w:numId w:val="4"/>
        </w:numPr>
        <w:ind w:left="720"/>
        <w:contextualSpacing w:val="0"/>
        <w:rPr>
          <w:rFonts w:ascii="Calibri" w:hAnsi="Calibri" w:cs="Calibri"/>
          <w:sz w:val="22"/>
          <w:szCs w:val="22"/>
        </w:rPr>
      </w:pPr>
      <w:r w:rsidRPr="000316DE">
        <w:rPr>
          <w:rFonts w:ascii="Calibri" w:hAnsi="Calibri" w:cs="Calibri"/>
          <w:sz w:val="22"/>
          <w:szCs w:val="22"/>
        </w:rPr>
        <w:t xml:space="preserve"> Exemptions</w:t>
      </w:r>
    </w:p>
    <w:p w14:paraId="46F28390" w14:textId="038E24E8" w:rsidR="00D34D4E" w:rsidRPr="000316DE" w:rsidRDefault="00D34D4E" w:rsidP="00D15E1E">
      <w:pPr>
        <w:pStyle w:val="ListParagraph"/>
        <w:ind w:left="360"/>
        <w:contextualSpacing w:val="0"/>
        <w:rPr>
          <w:rFonts w:ascii="Calibri" w:hAnsi="Calibri" w:cs="Calibri"/>
          <w:sz w:val="22"/>
          <w:szCs w:val="22"/>
        </w:rPr>
      </w:pPr>
      <w:r w:rsidRPr="000316DE">
        <w:rPr>
          <w:rFonts w:ascii="Calibri" w:hAnsi="Calibri" w:cs="Calibri"/>
          <w:sz w:val="22"/>
          <w:szCs w:val="22"/>
        </w:rPr>
        <w:t>VM-51 Section 3.C states that exemptions may be granted by the Experience Reporting Agent where appropriate, following consultation with the domestic insurance regulator.</w:t>
      </w:r>
    </w:p>
    <w:p w14:paraId="1CF01248" w14:textId="3696AB65" w:rsidR="00D34D4E" w:rsidRPr="00D15E1E" w:rsidRDefault="00D34D4E" w:rsidP="00D15E1E">
      <w:pPr>
        <w:pStyle w:val="ListParagraph"/>
        <w:ind w:left="360"/>
        <w:rPr>
          <w:rFonts w:ascii="Calibri" w:hAnsi="Calibri" w:cs="Calibri"/>
          <w:sz w:val="22"/>
          <w:szCs w:val="22"/>
          <w:u w:val="single"/>
        </w:rPr>
      </w:pPr>
      <w:r w:rsidRPr="00D15E1E">
        <w:rPr>
          <w:rFonts w:ascii="Calibri" w:hAnsi="Calibri" w:cs="Calibri"/>
          <w:sz w:val="22"/>
          <w:szCs w:val="22"/>
          <w:u w:val="single"/>
        </w:rPr>
        <w:t>Limitation</w:t>
      </w:r>
    </w:p>
    <w:p w14:paraId="45C9A9E9" w14:textId="712D803D" w:rsidR="00D34D4E" w:rsidRPr="000316DE" w:rsidRDefault="00D34D4E" w:rsidP="00D15E1E">
      <w:pPr>
        <w:pStyle w:val="ListParagraph"/>
        <w:ind w:left="360"/>
        <w:contextualSpacing w:val="0"/>
        <w:rPr>
          <w:rFonts w:ascii="Calibri" w:hAnsi="Calibri" w:cs="Calibri"/>
          <w:sz w:val="22"/>
          <w:szCs w:val="22"/>
        </w:rPr>
      </w:pPr>
      <w:r w:rsidRPr="000316DE">
        <w:rPr>
          <w:rFonts w:ascii="Calibri" w:hAnsi="Calibri" w:cs="Calibri"/>
          <w:sz w:val="22"/>
          <w:szCs w:val="22"/>
        </w:rPr>
        <w:t>It is unknown whether exemptions will be requested or granted.</w:t>
      </w:r>
    </w:p>
    <w:p w14:paraId="2B8CE570" w14:textId="1AB83E75" w:rsidR="00D34D4E" w:rsidRPr="000316DE" w:rsidRDefault="00D34D4E" w:rsidP="00D15E1E">
      <w:pPr>
        <w:pStyle w:val="ListParagraph"/>
        <w:numPr>
          <w:ilvl w:val="0"/>
          <w:numId w:val="4"/>
        </w:numPr>
        <w:ind w:left="720"/>
        <w:rPr>
          <w:rFonts w:ascii="Calibri" w:hAnsi="Calibri" w:cs="Calibri"/>
          <w:sz w:val="22"/>
          <w:szCs w:val="22"/>
        </w:rPr>
      </w:pPr>
      <w:r w:rsidRPr="000316DE">
        <w:rPr>
          <w:rFonts w:ascii="Calibri" w:hAnsi="Calibri" w:cs="Calibri"/>
          <w:sz w:val="22"/>
          <w:szCs w:val="22"/>
        </w:rPr>
        <w:t>Omission of Data</w:t>
      </w:r>
    </w:p>
    <w:p w14:paraId="050084EC" w14:textId="5160E925" w:rsidR="00ED143A" w:rsidRPr="00D15E1E" w:rsidRDefault="00ED143A" w:rsidP="00D15E1E">
      <w:pPr>
        <w:ind w:left="360"/>
        <w:rPr>
          <w:rFonts w:ascii="Calibri" w:hAnsi="Calibri" w:cs="Calibri"/>
          <w:sz w:val="22"/>
          <w:szCs w:val="22"/>
        </w:rPr>
      </w:pPr>
      <w:r w:rsidRPr="00D15E1E">
        <w:rPr>
          <w:rFonts w:ascii="Calibri" w:hAnsi="Calibri" w:cs="Calibri"/>
          <w:sz w:val="22"/>
          <w:szCs w:val="22"/>
        </w:rPr>
        <w:t>VM-50 Section 4.B.12 states that the Experience Reporting Agent will use its discre</w:t>
      </w:r>
      <w:r w:rsidR="003544FC">
        <w:rPr>
          <w:rFonts w:ascii="Calibri" w:hAnsi="Calibri" w:cs="Calibri"/>
          <w:sz w:val="22"/>
          <w:szCs w:val="22"/>
        </w:rPr>
        <w:t>t</w:t>
      </w:r>
      <w:r w:rsidRPr="00D15E1E">
        <w:rPr>
          <w:rFonts w:ascii="Calibri" w:hAnsi="Calibri" w:cs="Calibri"/>
          <w:sz w:val="22"/>
          <w:szCs w:val="22"/>
        </w:rPr>
        <w:t>ion regarding the omission of data from reports owing to the failure of an insurer company to respond adequately to unusual reasonability indications.</w:t>
      </w:r>
    </w:p>
    <w:p w14:paraId="77D452CC" w14:textId="736B7F38" w:rsidR="00ED143A" w:rsidRPr="00D15E1E" w:rsidRDefault="00ED143A" w:rsidP="00D15E1E">
      <w:pPr>
        <w:pStyle w:val="ListParagraph"/>
        <w:ind w:left="360"/>
        <w:rPr>
          <w:rFonts w:ascii="Calibri" w:hAnsi="Calibri" w:cs="Calibri"/>
          <w:sz w:val="22"/>
          <w:szCs w:val="22"/>
          <w:u w:val="single"/>
        </w:rPr>
      </w:pPr>
      <w:r w:rsidRPr="00D15E1E">
        <w:rPr>
          <w:rFonts w:ascii="Calibri" w:hAnsi="Calibri" w:cs="Calibri"/>
          <w:sz w:val="22"/>
          <w:szCs w:val="22"/>
          <w:u w:val="single"/>
        </w:rPr>
        <w:t>Limitation</w:t>
      </w:r>
    </w:p>
    <w:p w14:paraId="5CE5CC39" w14:textId="3F8503D0" w:rsidR="00ED143A" w:rsidRDefault="00ED143A" w:rsidP="003544FC">
      <w:pPr>
        <w:pStyle w:val="ListParagraph"/>
        <w:spacing w:after="0"/>
        <w:ind w:left="360"/>
        <w:rPr>
          <w:rFonts w:ascii="Calibri" w:hAnsi="Calibri" w:cs="Calibri"/>
          <w:sz w:val="22"/>
          <w:szCs w:val="22"/>
        </w:rPr>
      </w:pPr>
      <w:r w:rsidRPr="000316DE">
        <w:rPr>
          <w:rFonts w:ascii="Calibri" w:hAnsi="Calibri" w:cs="Calibri"/>
          <w:sz w:val="22"/>
          <w:szCs w:val="22"/>
        </w:rPr>
        <w:t>It is unknown whether, or how much, data will need to be omitted.</w:t>
      </w:r>
    </w:p>
    <w:p w14:paraId="13E2B7EB" w14:textId="77777777" w:rsidR="003544FC" w:rsidRPr="000316DE" w:rsidRDefault="003544FC" w:rsidP="003544FC">
      <w:pPr>
        <w:pStyle w:val="ListParagraph"/>
        <w:spacing w:after="0"/>
        <w:ind w:left="360"/>
        <w:rPr>
          <w:rFonts w:ascii="Calibri" w:hAnsi="Calibri" w:cs="Calibri"/>
          <w:sz w:val="22"/>
          <w:szCs w:val="22"/>
        </w:rPr>
      </w:pPr>
    </w:p>
    <w:p w14:paraId="51925045" w14:textId="334DAA5B" w:rsidR="00ED143A" w:rsidRPr="00D15E1E" w:rsidRDefault="00ED143A" w:rsidP="003544FC">
      <w:pPr>
        <w:pStyle w:val="ListParagraph"/>
        <w:numPr>
          <w:ilvl w:val="0"/>
          <w:numId w:val="1"/>
        </w:numPr>
        <w:spacing w:after="0"/>
        <w:rPr>
          <w:rFonts w:ascii="Calibri" w:hAnsi="Calibri" w:cs="Calibri"/>
          <w:b/>
          <w:bCs/>
          <w:sz w:val="22"/>
          <w:szCs w:val="22"/>
        </w:rPr>
      </w:pPr>
      <w:r w:rsidRPr="00D15E1E">
        <w:rPr>
          <w:rFonts w:ascii="Calibri" w:hAnsi="Calibri" w:cs="Calibri"/>
          <w:b/>
          <w:bCs/>
          <w:sz w:val="22"/>
          <w:szCs w:val="22"/>
        </w:rPr>
        <w:t>Data Collection Timeline</w:t>
      </w:r>
    </w:p>
    <w:p w14:paraId="1F42E972" w14:textId="77777777" w:rsidR="003544FC" w:rsidRDefault="003544FC" w:rsidP="003544FC">
      <w:pPr>
        <w:spacing w:after="0"/>
        <w:ind w:left="360"/>
        <w:rPr>
          <w:rFonts w:ascii="Calibri" w:hAnsi="Calibri" w:cs="Calibri"/>
          <w:sz w:val="22"/>
          <w:szCs w:val="22"/>
        </w:rPr>
      </w:pPr>
    </w:p>
    <w:p w14:paraId="5779264D" w14:textId="2F0D3372" w:rsidR="00ED143A" w:rsidRDefault="00ED143A" w:rsidP="003544FC">
      <w:pPr>
        <w:spacing w:after="0"/>
        <w:ind w:left="360"/>
        <w:rPr>
          <w:rFonts w:ascii="Calibri" w:hAnsi="Calibri" w:cs="Calibri"/>
          <w:sz w:val="22"/>
          <w:szCs w:val="22"/>
        </w:rPr>
      </w:pPr>
      <w:r w:rsidRPr="000316DE">
        <w:rPr>
          <w:rFonts w:ascii="Calibri" w:hAnsi="Calibri" w:cs="Calibri"/>
          <w:sz w:val="22"/>
          <w:szCs w:val="22"/>
        </w:rPr>
        <w:t>VM-51 Section 3.D provides the timeline for data collection.  The 2027 data call</w:t>
      </w:r>
      <w:r w:rsidR="003544FC">
        <w:rPr>
          <w:rFonts w:ascii="Calibri" w:hAnsi="Calibri" w:cs="Calibri"/>
          <w:sz w:val="22"/>
          <w:szCs w:val="22"/>
        </w:rPr>
        <w:t xml:space="preserve">, covering observation year 2026, </w:t>
      </w:r>
      <w:r w:rsidRPr="000316DE">
        <w:rPr>
          <w:rFonts w:ascii="Calibri" w:hAnsi="Calibri" w:cs="Calibri"/>
          <w:sz w:val="22"/>
          <w:szCs w:val="22"/>
        </w:rPr>
        <w:t>will occur during the second quarter of 2027</w:t>
      </w:r>
      <w:r w:rsidR="003544FC">
        <w:rPr>
          <w:rFonts w:ascii="Calibri" w:hAnsi="Calibri" w:cs="Calibri"/>
          <w:sz w:val="22"/>
          <w:szCs w:val="22"/>
        </w:rPr>
        <w:t xml:space="preserve">.  Initial </w:t>
      </w:r>
      <w:r w:rsidRPr="000316DE">
        <w:rPr>
          <w:rFonts w:ascii="Calibri" w:hAnsi="Calibri" w:cs="Calibri"/>
          <w:sz w:val="22"/>
          <w:szCs w:val="22"/>
        </w:rPr>
        <w:t xml:space="preserve">data submissions </w:t>
      </w:r>
      <w:r w:rsidR="003544FC">
        <w:rPr>
          <w:rFonts w:ascii="Calibri" w:hAnsi="Calibri" w:cs="Calibri"/>
          <w:sz w:val="22"/>
          <w:szCs w:val="22"/>
        </w:rPr>
        <w:t xml:space="preserve">are due </w:t>
      </w:r>
      <w:r w:rsidRPr="000316DE">
        <w:rPr>
          <w:rFonts w:ascii="Calibri" w:hAnsi="Calibri" w:cs="Calibri"/>
          <w:sz w:val="22"/>
          <w:szCs w:val="22"/>
        </w:rPr>
        <w:t>Sept. 30, 2027.  Corrections of data submissions must be completed by Feb. 28, 2028.</w:t>
      </w:r>
    </w:p>
    <w:p w14:paraId="0CBB6AC0" w14:textId="77777777" w:rsidR="003544FC" w:rsidRPr="000316DE" w:rsidRDefault="003544FC" w:rsidP="003544FC">
      <w:pPr>
        <w:spacing w:after="0"/>
        <w:ind w:left="360"/>
        <w:rPr>
          <w:rFonts w:ascii="Calibri" w:hAnsi="Calibri" w:cs="Calibri"/>
          <w:sz w:val="22"/>
          <w:szCs w:val="22"/>
        </w:rPr>
      </w:pPr>
    </w:p>
    <w:p w14:paraId="0E155355" w14:textId="488FF4E0" w:rsidR="00ED143A" w:rsidRDefault="00ED143A" w:rsidP="003544FC">
      <w:pPr>
        <w:pStyle w:val="ListParagraph"/>
        <w:numPr>
          <w:ilvl w:val="0"/>
          <w:numId w:val="1"/>
        </w:numPr>
        <w:spacing w:after="0"/>
        <w:contextualSpacing w:val="0"/>
        <w:rPr>
          <w:rFonts w:ascii="Calibri" w:hAnsi="Calibri" w:cs="Calibri"/>
          <w:b/>
          <w:bCs/>
          <w:sz w:val="22"/>
          <w:szCs w:val="22"/>
        </w:rPr>
      </w:pPr>
      <w:r w:rsidRPr="00D15E1E">
        <w:rPr>
          <w:rFonts w:ascii="Calibri" w:hAnsi="Calibri" w:cs="Calibri"/>
          <w:b/>
          <w:bCs/>
          <w:sz w:val="22"/>
          <w:szCs w:val="22"/>
        </w:rPr>
        <w:lastRenderedPageBreak/>
        <w:t>Next Steps</w:t>
      </w:r>
    </w:p>
    <w:p w14:paraId="1FD4642C" w14:textId="77777777" w:rsidR="003544FC" w:rsidRPr="003544FC" w:rsidRDefault="003544FC" w:rsidP="003544FC">
      <w:pPr>
        <w:spacing w:after="0"/>
        <w:ind w:left="360"/>
        <w:rPr>
          <w:rFonts w:ascii="Calibri" w:hAnsi="Calibri" w:cs="Calibri"/>
          <w:b/>
          <w:bCs/>
          <w:sz w:val="22"/>
          <w:szCs w:val="22"/>
        </w:rPr>
      </w:pPr>
    </w:p>
    <w:p w14:paraId="2CBEEE7B" w14:textId="4753E7ED" w:rsidR="00ED143A" w:rsidRDefault="00ED143A" w:rsidP="00D15E1E">
      <w:pPr>
        <w:pStyle w:val="ListParagraph"/>
        <w:ind w:left="360"/>
        <w:rPr>
          <w:rFonts w:ascii="Calibri" w:hAnsi="Calibri" w:cs="Calibri"/>
          <w:sz w:val="22"/>
          <w:szCs w:val="22"/>
        </w:rPr>
      </w:pPr>
      <w:r w:rsidRPr="000316DE">
        <w:rPr>
          <w:rFonts w:ascii="Calibri" w:hAnsi="Calibri" w:cs="Calibri"/>
          <w:sz w:val="22"/>
          <w:szCs w:val="22"/>
        </w:rPr>
        <w:t xml:space="preserve">Companies selected to submit mortality experience data in 2027 will be notified shortly.  The NAIC plans to produce webinars to provide training on the VM-50 and VM-51 group annuity data collection requirements and process.  The NAIC will also be publishing a Data Dictionary to provide additional guidance to companies regarding what is expected for each data element. These webinars and all additional resources will be located on the NAIC website.  </w:t>
      </w:r>
    </w:p>
    <w:p w14:paraId="20976E44" w14:textId="6C6DE8CA" w:rsidR="003544FC" w:rsidRDefault="003544FC">
      <w:pPr>
        <w:rPr>
          <w:rFonts w:ascii="Calibri" w:hAnsi="Calibri" w:cs="Calibri"/>
          <w:sz w:val="22"/>
          <w:szCs w:val="22"/>
        </w:rPr>
      </w:pPr>
      <w:r>
        <w:rPr>
          <w:rFonts w:ascii="Calibri" w:hAnsi="Calibri" w:cs="Calibri"/>
          <w:sz w:val="22"/>
          <w:szCs w:val="22"/>
        </w:rPr>
        <w:br w:type="page"/>
      </w:r>
    </w:p>
    <w:p w14:paraId="4F886F2A" w14:textId="5ECD7C1B" w:rsidR="003544FC" w:rsidRDefault="003544FC" w:rsidP="003544FC">
      <w:pPr>
        <w:pStyle w:val="ListParagraph"/>
        <w:ind w:left="360"/>
        <w:jc w:val="center"/>
        <w:rPr>
          <w:rFonts w:ascii="Calibri" w:hAnsi="Calibri" w:cs="Calibri"/>
        </w:rPr>
      </w:pPr>
      <w:r>
        <w:rPr>
          <w:rFonts w:ascii="Calibri" w:hAnsi="Calibri" w:cs="Calibri"/>
          <w:b/>
          <w:bCs/>
        </w:rPr>
        <w:lastRenderedPageBreak/>
        <w:t>Appendix A – Distribution of Companies by State of Domicile</w:t>
      </w:r>
    </w:p>
    <w:p w14:paraId="1ACD179C" w14:textId="77777777" w:rsidR="003544FC" w:rsidRDefault="003544FC" w:rsidP="003544FC">
      <w:pPr>
        <w:pStyle w:val="ListParagraph"/>
        <w:ind w:left="360"/>
        <w:rPr>
          <w:rFonts w:ascii="Calibri" w:hAnsi="Calibri" w:cs="Calibri"/>
        </w:rPr>
      </w:pPr>
    </w:p>
    <w:p w14:paraId="6F617F66" w14:textId="5E61BAF5" w:rsidR="003544FC" w:rsidRPr="00302A43" w:rsidRDefault="00302A43" w:rsidP="00302A43">
      <w:pPr>
        <w:pStyle w:val="ListParagraph"/>
        <w:tabs>
          <w:tab w:val="left" w:pos="4410"/>
        </w:tabs>
        <w:ind w:left="2070"/>
        <w:rPr>
          <w:rFonts w:ascii="Calibri" w:hAnsi="Calibri" w:cs="Calibri"/>
          <w:u w:val="single"/>
        </w:rPr>
      </w:pPr>
      <w:r>
        <w:rPr>
          <w:rFonts w:ascii="Calibri" w:hAnsi="Calibri" w:cs="Calibri"/>
          <w:u w:val="single"/>
        </w:rPr>
        <w:t xml:space="preserve">Domicile </w:t>
      </w:r>
      <w:r w:rsidRPr="00302A43">
        <w:rPr>
          <w:rFonts w:ascii="Calibri" w:hAnsi="Calibri" w:cs="Calibri"/>
          <w:u w:val="single"/>
        </w:rPr>
        <w:t>State</w:t>
      </w:r>
      <w:r w:rsidRPr="00302A43">
        <w:rPr>
          <w:rFonts w:ascii="Calibri" w:hAnsi="Calibri" w:cs="Calibri"/>
          <w:u w:val="single"/>
        </w:rPr>
        <w:tab/>
        <w:t>Number of Companies Selected</w:t>
      </w:r>
    </w:p>
    <w:p w14:paraId="5A105327" w14:textId="066011BA" w:rsidR="00302A43" w:rsidRDefault="00302A43" w:rsidP="00302A43">
      <w:pPr>
        <w:pStyle w:val="ListParagraph"/>
        <w:tabs>
          <w:tab w:val="right" w:pos="5940"/>
        </w:tabs>
        <w:ind w:left="2610"/>
        <w:rPr>
          <w:rFonts w:ascii="Calibri" w:hAnsi="Calibri" w:cs="Calibri"/>
        </w:rPr>
      </w:pPr>
      <w:r>
        <w:rPr>
          <w:rFonts w:ascii="Calibri" w:hAnsi="Calibri" w:cs="Calibri"/>
        </w:rPr>
        <w:t>CT</w:t>
      </w:r>
      <w:r>
        <w:rPr>
          <w:rFonts w:ascii="Calibri" w:hAnsi="Calibri" w:cs="Calibri"/>
        </w:rPr>
        <w:tab/>
        <w:t>3</w:t>
      </w:r>
    </w:p>
    <w:p w14:paraId="1AC96758" w14:textId="717FBED9" w:rsidR="00302A43" w:rsidRDefault="00302A43" w:rsidP="00302A43">
      <w:pPr>
        <w:pStyle w:val="ListParagraph"/>
        <w:tabs>
          <w:tab w:val="right" w:pos="5940"/>
        </w:tabs>
        <w:ind w:left="2610"/>
        <w:rPr>
          <w:rFonts w:ascii="Calibri" w:hAnsi="Calibri" w:cs="Calibri"/>
        </w:rPr>
      </w:pPr>
      <w:r>
        <w:rPr>
          <w:rFonts w:ascii="Calibri" w:hAnsi="Calibri" w:cs="Calibri"/>
        </w:rPr>
        <w:t>DE</w:t>
      </w:r>
      <w:r>
        <w:rPr>
          <w:rFonts w:ascii="Calibri" w:hAnsi="Calibri" w:cs="Calibri"/>
        </w:rPr>
        <w:tab/>
        <w:t>1</w:t>
      </w:r>
    </w:p>
    <w:p w14:paraId="68FF0000" w14:textId="31E2B19D" w:rsidR="00302A43" w:rsidRDefault="00302A43" w:rsidP="00302A43">
      <w:pPr>
        <w:pStyle w:val="ListParagraph"/>
        <w:tabs>
          <w:tab w:val="right" w:pos="5940"/>
        </w:tabs>
        <w:ind w:left="2610"/>
        <w:rPr>
          <w:rFonts w:ascii="Calibri" w:hAnsi="Calibri" w:cs="Calibri"/>
        </w:rPr>
      </w:pPr>
      <w:r>
        <w:rPr>
          <w:rFonts w:ascii="Calibri" w:hAnsi="Calibri" w:cs="Calibri"/>
        </w:rPr>
        <w:t>IA</w:t>
      </w:r>
      <w:r>
        <w:rPr>
          <w:rFonts w:ascii="Calibri" w:hAnsi="Calibri" w:cs="Calibri"/>
        </w:rPr>
        <w:tab/>
        <w:t>6</w:t>
      </w:r>
    </w:p>
    <w:p w14:paraId="708C475E" w14:textId="101CB382" w:rsidR="00302A43" w:rsidRDefault="00302A43" w:rsidP="00302A43">
      <w:pPr>
        <w:pStyle w:val="ListParagraph"/>
        <w:tabs>
          <w:tab w:val="right" w:pos="5940"/>
        </w:tabs>
        <w:ind w:left="2610"/>
        <w:rPr>
          <w:rFonts w:ascii="Calibri" w:hAnsi="Calibri" w:cs="Calibri"/>
        </w:rPr>
      </w:pPr>
      <w:r>
        <w:rPr>
          <w:rFonts w:ascii="Calibri" w:hAnsi="Calibri" w:cs="Calibri"/>
        </w:rPr>
        <w:t>IN</w:t>
      </w:r>
      <w:r>
        <w:rPr>
          <w:rFonts w:ascii="Calibri" w:hAnsi="Calibri" w:cs="Calibri"/>
        </w:rPr>
        <w:tab/>
        <w:t>2</w:t>
      </w:r>
    </w:p>
    <w:p w14:paraId="1F78F648" w14:textId="1A7D16FC" w:rsidR="00302A43" w:rsidRDefault="00302A43" w:rsidP="00302A43">
      <w:pPr>
        <w:pStyle w:val="ListParagraph"/>
        <w:tabs>
          <w:tab w:val="right" w:pos="5940"/>
        </w:tabs>
        <w:ind w:left="2610"/>
        <w:rPr>
          <w:rFonts w:ascii="Calibri" w:hAnsi="Calibri" w:cs="Calibri"/>
        </w:rPr>
      </w:pPr>
      <w:r>
        <w:rPr>
          <w:rFonts w:ascii="Calibri" w:hAnsi="Calibri" w:cs="Calibri"/>
        </w:rPr>
        <w:t>MA</w:t>
      </w:r>
      <w:r>
        <w:rPr>
          <w:rFonts w:ascii="Calibri" w:hAnsi="Calibri" w:cs="Calibri"/>
        </w:rPr>
        <w:tab/>
        <w:t>2</w:t>
      </w:r>
    </w:p>
    <w:p w14:paraId="0BCE7E58" w14:textId="268B4762" w:rsidR="00302A43" w:rsidRDefault="00302A43" w:rsidP="00302A43">
      <w:pPr>
        <w:pStyle w:val="ListParagraph"/>
        <w:tabs>
          <w:tab w:val="right" w:pos="5940"/>
        </w:tabs>
        <w:ind w:left="2610"/>
        <w:rPr>
          <w:rFonts w:ascii="Calibri" w:hAnsi="Calibri" w:cs="Calibri"/>
        </w:rPr>
      </w:pPr>
      <w:r>
        <w:rPr>
          <w:rFonts w:ascii="Calibri" w:hAnsi="Calibri" w:cs="Calibri"/>
        </w:rPr>
        <w:t>MD</w:t>
      </w:r>
      <w:r>
        <w:rPr>
          <w:rFonts w:ascii="Calibri" w:hAnsi="Calibri" w:cs="Calibri"/>
        </w:rPr>
        <w:tab/>
        <w:t>1</w:t>
      </w:r>
    </w:p>
    <w:p w14:paraId="15971A23" w14:textId="4DE72D42" w:rsidR="00302A43" w:rsidRDefault="00302A43" w:rsidP="00302A43">
      <w:pPr>
        <w:pStyle w:val="ListParagraph"/>
        <w:tabs>
          <w:tab w:val="right" w:pos="5940"/>
        </w:tabs>
        <w:ind w:left="2610"/>
        <w:rPr>
          <w:rFonts w:ascii="Calibri" w:hAnsi="Calibri" w:cs="Calibri"/>
        </w:rPr>
      </w:pPr>
      <w:r>
        <w:rPr>
          <w:rFonts w:ascii="Calibri" w:hAnsi="Calibri" w:cs="Calibri"/>
        </w:rPr>
        <w:t>MI</w:t>
      </w:r>
      <w:r>
        <w:rPr>
          <w:rFonts w:ascii="Calibri" w:hAnsi="Calibri" w:cs="Calibri"/>
        </w:rPr>
        <w:tab/>
        <w:t>1</w:t>
      </w:r>
    </w:p>
    <w:p w14:paraId="3C52006F" w14:textId="1698EAA7" w:rsidR="00302A43" w:rsidRDefault="00302A43" w:rsidP="00302A43">
      <w:pPr>
        <w:pStyle w:val="ListParagraph"/>
        <w:tabs>
          <w:tab w:val="right" w:pos="5940"/>
        </w:tabs>
        <w:ind w:left="2610"/>
        <w:rPr>
          <w:rFonts w:ascii="Calibri" w:hAnsi="Calibri" w:cs="Calibri"/>
        </w:rPr>
      </w:pPr>
      <w:r>
        <w:rPr>
          <w:rFonts w:ascii="Calibri" w:hAnsi="Calibri" w:cs="Calibri"/>
        </w:rPr>
        <w:t>MN</w:t>
      </w:r>
      <w:r>
        <w:rPr>
          <w:rFonts w:ascii="Calibri" w:hAnsi="Calibri" w:cs="Calibri"/>
        </w:rPr>
        <w:tab/>
        <w:t>2</w:t>
      </w:r>
    </w:p>
    <w:p w14:paraId="4DC99FDC" w14:textId="5A9EAE69" w:rsidR="00302A43" w:rsidRDefault="00302A43" w:rsidP="00302A43">
      <w:pPr>
        <w:pStyle w:val="ListParagraph"/>
        <w:tabs>
          <w:tab w:val="right" w:pos="5940"/>
        </w:tabs>
        <w:ind w:left="2610"/>
        <w:rPr>
          <w:rFonts w:ascii="Calibri" w:hAnsi="Calibri" w:cs="Calibri"/>
        </w:rPr>
      </w:pPr>
      <w:r>
        <w:rPr>
          <w:rFonts w:ascii="Calibri" w:hAnsi="Calibri" w:cs="Calibri"/>
        </w:rPr>
        <w:t>MO</w:t>
      </w:r>
      <w:r>
        <w:rPr>
          <w:rFonts w:ascii="Calibri" w:hAnsi="Calibri" w:cs="Calibri"/>
        </w:rPr>
        <w:tab/>
        <w:t>1</w:t>
      </w:r>
    </w:p>
    <w:p w14:paraId="561D81E9" w14:textId="128287E9" w:rsidR="00302A43" w:rsidRDefault="00302A43" w:rsidP="00302A43">
      <w:pPr>
        <w:pStyle w:val="ListParagraph"/>
        <w:tabs>
          <w:tab w:val="right" w:pos="5940"/>
        </w:tabs>
        <w:ind w:left="2610"/>
        <w:rPr>
          <w:rFonts w:ascii="Calibri" w:hAnsi="Calibri" w:cs="Calibri"/>
        </w:rPr>
      </w:pPr>
      <w:r>
        <w:rPr>
          <w:rFonts w:ascii="Calibri" w:hAnsi="Calibri" w:cs="Calibri"/>
        </w:rPr>
        <w:t>NE</w:t>
      </w:r>
      <w:r>
        <w:rPr>
          <w:rFonts w:ascii="Calibri" w:hAnsi="Calibri" w:cs="Calibri"/>
        </w:rPr>
        <w:tab/>
        <w:t>3</w:t>
      </w:r>
    </w:p>
    <w:p w14:paraId="2CFE702B" w14:textId="146B1331" w:rsidR="00302A43" w:rsidRDefault="00302A43" w:rsidP="00302A43">
      <w:pPr>
        <w:pStyle w:val="ListParagraph"/>
        <w:tabs>
          <w:tab w:val="right" w:pos="5940"/>
        </w:tabs>
        <w:ind w:left="2610"/>
        <w:rPr>
          <w:rFonts w:ascii="Calibri" w:hAnsi="Calibri" w:cs="Calibri"/>
        </w:rPr>
      </w:pPr>
      <w:r>
        <w:rPr>
          <w:rFonts w:ascii="Calibri" w:hAnsi="Calibri" w:cs="Calibri"/>
        </w:rPr>
        <w:t>NJ</w:t>
      </w:r>
      <w:r>
        <w:rPr>
          <w:rFonts w:ascii="Calibri" w:hAnsi="Calibri" w:cs="Calibri"/>
        </w:rPr>
        <w:tab/>
        <w:t>1</w:t>
      </w:r>
    </w:p>
    <w:p w14:paraId="30B515F4" w14:textId="00DF99E9" w:rsidR="00302A43" w:rsidRDefault="00302A43" w:rsidP="00302A43">
      <w:pPr>
        <w:pStyle w:val="ListParagraph"/>
        <w:tabs>
          <w:tab w:val="right" w:pos="5940"/>
        </w:tabs>
        <w:ind w:left="2610"/>
        <w:rPr>
          <w:rFonts w:ascii="Calibri" w:hAnsi="Calibri" w:cs="Calibri"/>
        </w:rPr>
      </w:pPr>
      <w:r>
        <w:rPr>
          <w:rFonts w:ascii="Calibri" w:hAnsi="Calibri" w:cs="Calibri"/>
        </w:rPr>
        <w:t>NY</w:t>
      </w:r>
      <w:r>
        <w:rPr>
          <w:rFonts w:ascii="Calibri" w:hAnsi="Calibri" w:cs="Calibri"/>
        </w:rPr>
        <w:tab/>
        <w:t>8</w:t>
      </w:r>
    </w:p>
    <w:p w14:paraId="75FD0D73" w14:textId="078465E5" w:rsidR="00302A43" w:rsidRDefault="00302A43" w:rsidP="00302A43">
      <w:pPr>
        <w:pStyle w:val="ListParagraph"/>
        <w:tabs>
          <w:tab w:val="right" w:pos="5940"/>
        </w:tabs>
        <w:ind w:left="2610"/>
        <w:rPr>
          <w:rFonts w:ascii="Calibri" w:hAnsi="Calibri" w:cs="Calibri"/>
        </w:rPr>
      </w:pPr>
      <w:r>
        <w:rPr>
          <w:rFonts w:ascii="Calibri" w:hAnsi="Calibri" w:cs="Calibri"/>
        </w:rPr>
        <w:t>OH</w:t>
      </w:r>
      <w:r>
        <w:rPr>
          <w:rFonts w:ascii="Calibri" w:hAnsi="Calibri" w:cs="Calibri"/>
        </w:rPr>
        <w:tab/>
        <w:t>2</w:t>
      </w:r>
    </w:p>
    <w:p w14:paraId="77C4425E" w14:textId="49D6A386" w:rsidR="00302A43" w:rsidRDefault="00302A43" w:rsidP="00302A43">
      <w:pPr>
        <w:pStyle w:val="ListParagraph"/>
        <w:tabs>
          <w:tab w:val="right" w:pos="5940"/>
        </w:tabs>
        <w:ind w:left="2610"/>
        <w:rPr>
          <w:rFonts w:ascii="Calibri" w:hAnsi="Calibri" w:cs="Calibri"/>
        </w:rPr>
      </w:pPr>
      <w:r>
        <w:rPr>
          <w:rFonts w:ascii="Calibri" w:hAnsi="Calibri" w:cs="Calibri"/>
        </w:rPr>
        <w:t>TX</w:t>
      </w:r>
      <w:r>
        <w:rPr>
          <w:rFonts w:ascii="Calibri" w:hAnsi="Calibri" w:cs="Calibri"/>
        </w:rPr>
        <w:tab/>
        <w:t>2</w:t>
      </w:r>
    </w:p>
    <w:p w14:paraId="6805BCF1" w14:textId="79DB8CE1" w:rsidR="00302A43" w:rsidRDefault="00302A43" w:rsidP="00302A43">
      <w:pPr>
        <w:pStyle w:val="ListParagraph"/>
        <w:tabs>
          <w:tab w:val="right" w:pos="5940"/>
        </w:tabs>
        <w:ind w:left="2610"/>
        <w:rPr>
          <w:rFonts w:ascii="Calibri" w:hAnsi="Calibri" w:cs="Calibri"/>
        </w:rPr>
      </w:pPr>
      <w:r w:rsidRPr="00302A43">
        <w:rPr>
          <w:rFonts w:ascii="Calibri" w:hAnsi="Calibri" w:cs="Calibri"/>
        </w:rPr>
        <w:t>WI</w:t>
      </w:r>
      <w:r w:rsidRPr="00302A43">
        <w:rPr>
          <w:rFonts w:ascii="Calibri" w:hAnsi="Calibri" w:cs="Calibri"/>
        </w:rPr>
        <w:tab/>
        <w:t xml:space="preserve">1   </w:t>
      </w:r>
    </w:p>
    <w:p w14:paraId="7D563794" w14:textId="77777777" w:rsidR="00302A43" w:rsidRDefault="00302A43" w:rsidP="00302A43">
      <w:pPr>
        <w:pStyle w:val="ListParagraph"/>
        <w:tabs>
          <w:tab w:val="right" w:pos="5940"/>
        </w:tabs>
        <w:ind w:left="2610"/>
        <w:rPr>
          <w:rFonts w:ascii="Calibri" w:hAnsi="Calibri" w:cs="Calibri"/>
        </w:rPr>
      </w:pPr>
    </w:p>
    <w:p w14:paraId="1EEB7A83" w14:textId="221831B1" w:rsidR="00302A43" w:rsidRPr="00302A43" w:rsidRDefault="00302A43" w:rsidP="00302A43">
      <w:pPr>
        <w:pStyle w:val="ListParagraph"/>
        <w:tabs>
          <w:tab w:val="right" w:pos="5940"/>
        </w:tabs>
        <w:ind w:left="2520"/>
        <w:rPr>
          <w:rFonts w:ascii="Calibri" w:hAnsi="Calibri" w:cs="Calibri"/>
        </w:rPr>
      </w:pPr>
      <w:r>
        <w:rPr>
          <w:rFonts w:ascii="Calibri" w:hAnsi="Calibri" w:cs="Calibri"/>
        </w:rPr>
        <w:t>Total</w:t>
      </w:r>
      <w:r>
        <w:rPr>
          <w:rFonts w:ascii="Calibri" w:hAnsi="Calibri" w:cs="Calibri"/>
        </w:rPr>
        <w:tab/>
        <w:t>36</w:t>
      </w:r>
    </w:p>
    <w:p w14:paraId="0FE01BBD" w14:textId="77777777" w:rsidR="00302A43" w:rsidRDefault="00302A43" w:rsidP="00302A43">
      <w:pPr>
        <w:pStyle w:val="ListParagraph"/>
        <w:tabs>
          <w:tab w:val="left" w:pos="5580"/>
        </w:tabs>
        <w:ind w:left="2610"/>
        <w:rPr>
          <w:rFonts w:ascii="Calibri" w:hAnsi="Calibri" w:cs="Calibri"/>
        </w:rPr>
      </w:pPr>
    </w:p>
    <w:p w14:paraId="504DD32D" w14:textId="77777777" w:rsidR="00302A43" w:rsidRPr="003544FC" w:rsidRDefault="00302A43" w:rsidP="00302A43">
      <w:pPr>
        <w:pStyle w:val="ListParagraph"/>
        <w:tabs>
          <w:tab w:val="left" w:pos="5580"/>
        </w:tabs>
        <w:ind w:left="2610"/>
        <w:rPr>
          <w:rFonts w:ascii="Calibri" w:hAnsi="Calibri" w:cs="Calibri"/>
        </w:rPr>
      </w:pPr>
    </w:p>
    <w:sectPr w:rsidR="00302A43" w:rsidRPr="003544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AE99" w14:textId="77777777" w:rsidR="00C3352D" w:rsidRDefault="00C3352D" w:rsidP="008321B4">
      <w:pPr>
        <w:spacing w:after="0" w:line="240" w:lineRule="auto"/>
      </w:pPr>
      <w:r>
        <w:separator/>
      </w:r>
    </w:p>
  </w:endnote>
  <w:endnote w:type="continuationSeparator" w:id="0">
    <w:p w14:paraId="655BF346" w14:textId="77777777" w:rsidR="00C3352D" w:rsidRDefault="00C3352D" w:rsidP="0083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069B" w14:textId="77777777" w:rsidR="00C3352D" w:rsidRDefault="00C3352D" w:rsidP="008321B4">
      <w:pPr>
        <w:spacing w:after="0" w:line="240" w:lineRule="auto"/>
      </w:pPr>
      <w:r>
        <w:separator/>
      </w:r>
    </w:p>
  </w:footnote>
  <w:footnote w:type="continuationSeparator" w:id="0">
    <w:p w14:paraId="7C84E844" w14:textId="77777777" w:rsidR="00C3352D" w:rsidRDefault="00C3352D" w:rsidP="00832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8E43" w14:textId="5C438977" w:rsidR="008321B4" w:rsidRDefault="008321B4">
    <w:pPr>
      <w:pStyle w:val="Header"/>
    </w:pPr>
    <w:r>
      <w:rPr>
        <w:noProof/>
      </w:rPr>
      <w:drawing>
        <wp:inline distT="0" distB="0" distL="0" distR="0" wp14:anchorId="25FD76D8" wp14:editId="07C5036E">
          <wp:extent cx="3105150" cy="372125"/>
          <wp:effectExtent l="0" t="0" r="0" b="8890"/>
          <wp:docPr id="694804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3581" name="Picture 40843581"/>
                  <pic:cNvPicPr/>
                </pic:nvPicPr>
                <pic:blipFill>
                  <a:blip r:embed="rId1"/>
                  <a:stretch>
                    <a:fillRect/>
                  </a:stretch>
                </pic:blipFill>
                <pic:spPr>
                  <a:xfrm>
                    <a:off x="0" y="0"/>
                    <a:ext cx="3174353" cy="380418"/>
                  </a:xfrm>
                  <a:prstGeom prst="rect">
                    <a:avLst/>
                  </a:prstGeom>
                </pic:spPr>
              </pic:pic>
            </a:graphicData>
          </a:graphic>
        </wp:inline>
      </w:drawing>
    </w:r>
  </w:p>
  <w:p w14:paraId="75BC32A0" w14:textId="77777777" w:rsidR="008321B4" w:rsidRDefault="008321B4">
    <w:pPr>
      <w:pStyle w:val="Header"/>
    </w:pPr>
  </w:p>
  <w:p w14:paraId="6A232C77" w14:textId="77777777" w:rsidR="008321B4" w:rsidRDefault="00832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4F57"/>
    <w:multiLevelType w:val="hybridMultilevel"/>
    <w:tmpl w:val="4F526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474BC"/>
    <w:multiLevelType w:val="hybridMultilevel"/>
    <w:tmpl w:val="F77C13AE"/>
    <w:lvl w:ilvl="0" w:tplc="CD7A7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CC0F2E"/>
    <w:multiLevelType w:val="hybridMultilevel"/>
    <w:tmpl w:val="4D04F16A"/>
    <w:lvl w:ilvl="0" w:tplc="846234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870F44"/>
    <w:multiLevelType w:val="hybridMultilevel"/>
    <w:tmpl w:val="DE18CF48"/>
    <w:lvl w:ilvl="0" w:tplc="886C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5D1B2C"/>
    <w:multiLevelType w:val="hybridMultilevel"/>
    <w:tmpl w:val="6A20DBF0"/>
    <w:lvl w:ilvl="0" w:tplc="ACAE1F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470733">
    <w:abstractNumId w:val="4"/>
  </w:num>
  <w:num w:numId="2" w16cid:durableId="1396509080">
    <w:abstractNumId w:val="3"/>
  </w:num>
  <w:num w:numId="3" w16cid:durableId="1302425538">
    <w:abstractNumId w:val="0"/>
  </w:num>
  <w:num w:numId="4" w16cid:durableId="105196027">
    <w:abstractNumId w:val="2"/>
  </w:num>
  <w:num w:numId="5" w16cid:durableId="40784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5F"/>
    <w:rsid w:val="000316DE"/>
    <w:rsid w:val="000954F2"/>
    <w:rsid w:val="000B2A5F"/>
    <w:rsid w:val="000B51D5"/>
    <w:rsid w:val="001577CF"/>
    <w:rsid w:val="00271210"/>
    <w:rsid w:val="00296C1D"/>
    <w:rsid w:val="00302A43"/>
    <w:rsid w:val="003544FC"/>
    <w:rsid w:val="003B6B37"/>
    <w:rsid w:val="003C4084"/>
    <w:rsid w:val="003D3AE0"/>
    <w:rsid w:val="003E5AC7"/>
    <w:rsid w:val="00413C23"/>
    <w:rsid w:val="004259EB"/>
    <w:rsid w:val="00560980"/>
    <w:rsid w:val="00563CB9"/>
    <w:rsid w:val="00582007"/>
    <w:rsid w:val="005D50C2"/>
    <w:rsid w:val="005D7978"/>
    <w:rsid w:val="006243A4"/>
    <w:rsid w:val="0068755C"/>
    <w:rsid w:val="00716D7F"/>
    <w:rsid w:val="007256FF"/>
    <w:rsid w:val="00774D5F"/>
    <w:rsid w:val="00786165"/>
    <w:rsid w:val="008321B4"/>
    <w:rsid w:val="008C4A1B"/>
    <w:rsid w:val="008D5D67"/>
    <w:rsid w:val="00902D6C"/>
    <w:rsid w:val="00912B6A"/>
    <w:rsid w:val="0092097A"/>
    <w:rsid w:val="00937450"/>
    <w:rsid w:val="009A059E"/>
    <w:rsid w:val="00A279EC"/>
    <w:rsid w:val="00A303BA"/>
    <w:rsid w:val="00BD7182"/>
    <w:rsid w:val="00C169A0"/>
    <w:rsid w:val="00C257AA"/>
    <w:rsid w:val="00C276B8"/>
    <w:rsid w:val="00C3352D"/>
    <w:rsid w:val="00C71541"/>
    <w:rsid w:val="00CD5E23"/>
    <w:rsid w:val="00D1322B"/>
    <w:rsid w:val="00D15E1E"/>
    <w:rsid w:val="00D34D4E"/>
    <w:rsid w:val="00D427BF"/>
    <w:rsid w:val="00D46DE9"/>
    <w:rsid w:val="00D707B2"/>
    <w:rsid w:val="00E71593"/>
    <w:rsid w:val="00EB31D2"/>
    <w:rsid w:val="00ED143A"/>
    <w:rsid w:val="00EE5123"/>
    <w:rsid w:val="00EE5E88"/>
    <w:rsid w:val="00EF7D98"/>
    <w:rsid w:val="00F2581E"/>
    <w:rsid w:val="00F361DE"/>
    <w:rsid w:val="00F66887"/>
    <w:rsid w:val="00F9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65C4"/>
  <w15:chartTrackingRefBased/>
  <w15:docId w15:val="{B77F823A-3C94-4330-972E-F1D5E4C3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5F"/>
    <w:rPr>
      <w:rFonts w:eastAsiaTheme="majorEastAsia" w:cstheme="majorBidi"/>
      <w:color w:val="272727" w:themeColor="text1" w:themeTint="D8"/>
    </w:rPr>
  </w:style>
  <w:style w:type="paragraph" w:styleId="Title">
    <w:name w:val="Title"/>
    <w:basedOn w:val="Normal"/>
    <w:next w:val="Normal"/>
    <w:link w:val="TitleChar"/>
    <w:uiPriority w:val="10"/>
    <w:qFormat/>
    <w:rsid w:val="000B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5F"/>
    <w:pPr>
      <w:spacing w:before="160"/>
      <w:jc w:val="center"/>
    </w:pPr>
    <w:rPr>
      <w:i/>
      <w:iCs/>
      <w:color w:val="404040" w:themeColor="text1" w:themeTint="BF"/>
    </w:rPr>
  </w:style>
  <w:style w:type="character" w:customStyle="1" w:styleId="QuoteChar">
    <w:name w:val="Quote Char"/>
    <w:basedOn w:val="DefaultParagraphFont"/>
    <w:link w:val="Quote"/>
    <w:uiPriority w:val="29"/>
    <w:rsid w:val="000B2A5F"/>
    <w:rPr>
      <w:i/>
      <w:iCs/>
      <w:color w:val="404040" w:themeColor="text1" w:themeTint="BF"/>
    </w:rPr>
  </w:style>
  <w:style w:type="paragraph" w:styleId="ListParagraph">
    <w:name w:val="List Paragraph"/>
    <w:basedOn w:val="Normal"/>
    <w:uiPriority w:val="34"/>
    <w:qFormat/>
    <w:rsid w:val="000B2A5F"/>
    <w:pPr>
      <w:ind w:left="720"/>
      <w:contextualSpacing/>
    </w:pPr>
  </w:style>
  <w:style w:type="character" w:styleId="IntenseEmphasis">
    <w:name w:val="Intense Emphasis"/>
    <w:basedOn w:val="DefaultParagraphFont"/>
    <w:uiPriority w:val="21"/>
    <w:qFormat/>
    <w:rsid w:val="000B2A5F"/>
    <w:rPr>
      <w:i/>
      <w:iCs/>
      <w:color w:val="0F4761" w:themeColor="accent1" w:themeShade="BF"/>
    </w:rPr>
  </w:style>
  <w:style w:type="paragraph" w:styleId="IntenseQuote">
    <w:name w:val="Intense Quote"/>
    <w:basedOn w:val="Normal"/>
    <w:next w:val="Normal"/>
    <w:link w:val="IntenseQuoteChar"/>
    <w:uiPriority w:val="30"/>
    <w:qFormat/>
    <w:rsid w:val="000B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A5F"/>
    <w:rPr>
      <w:i/>
      <w:iCs/>
      <w:color w:val="0F4761" w:themeColor="accent1" w:themeShade="BF"/>
    </w:rPr>
  </w:style>
  <w:style w:type="character" w:styleId="IntenseReference">
    <w:name w:val="Intense Reference"/>
    <w:basedOn w:val="DefaultParagraphFont"/>
    <w:uiPriority w:val="32"/>
    <w:qFormat/>
    <w:rsid w:val="000B2A5F"/>
    <w:rPr>
      <w:b/>
      <w:bCs/>
      <w:smallCaps/>
      <w:color w:val="0F4761" w:themeColor="accent1" w:themeShade="BF"/>
      <w:spacing w:val="5"/>
    </w:rPr>
  </w:style>
  <w:style w:type="paragraph" w:styleId="Header">
    <w:name w:val="header"/>
    <w:basedOn w:val="Normal"/>
    <w:link w:val="HeaderChar"/>
    <w:uiPriority w:val="99"/>
    <w:unhideWhenUsed/>
    <w:rsid w:val="0083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B4"/>
  </w:style>
  <w:style w:type="paragraph" w:styleId="Footer">
    <w:name w:val="footer"/>
    <w:basedOn w:val="Normal"/>
    <w:link w:val="FooterChar"/>
    <w:uiPriority w:val="99"/>
    <w:unhideWhenUsed/>
    <w:rsid w:val="0083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2026-05-01T13:53:22+00:00</StartDate>
    <_EndDate xmlns="http://schemas.microsoft.com/sharepoint/v3/fields">2026-05-01T13:53:22+00:00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489DB-074B-49C6-B7EC-C1F5C149B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94AD4-FC55-4529-936D-4AE5ADBA370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3.xml><?xml version="1.0" encoding="utf-8"?>
<ds:datastoreItem xmlns:ds="http://schemas.openxmlformats.org/officeDocument/2006/customXml" ds:itemID="{A875B4D8-291E-4373-A55C-C1537787F95C}">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3979</TotalTime>
  <Pages>5</Pages>
  <Words>1236</Words>
  <Characters>6684</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McNabb, Angela</dc:creator>
  <cp:keywords/>
  <dc:description/>
  <cp:lastModifiedBy>O'Neal, Scott</cp:lastModifiedBy>
  <cp:revision>19</cp:revision>
  <dcterms:created xsi:type="dcterms:W3CDTF">2026-05-01T18:53:00Z</dcterms:created>
  <dcterms:modified xsi:type="dcterms:W3CDTF">2026-05-07T17:49:00Z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