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5A2C" w14:textId="77777777" w:rsidR="00472421" w:rsidRPr="00472421" w:rsidRDefault="00472421" w:rsidP="00472421">
      <w:pPr>
        <w:spacing w:after="200" w:line="276" w:lineRule="auto"/>
        <w:rPr>
          <w:rFonts w:ascii="Segoe UI" w:eastAsia="Calibri" w:hAnsi="Segoe UI" w:cs="Segoe UI"/>
          <w:sz w:val="21"/>
          <w:szCs w:val="21"/>
        </w:rPr>
      </w:pPr>
      <w:r w:rsidRPr="00472421">
        <w:rPr>
          <w:rFonts w:ascii="Segoe UI" w:eastAsia="Calibri" w:hAnsi="Segoe UI" w:cs="Segoe UI"/>
          <w:sz w:val="21"/>
          <w:szCs w:val="21"/>
        </w:rPr>
        <w:t>Hi Reggie,</w:t>
      </w:r>
    </w:p>
    <w:p w14:paraId="7EC12A44" w14:textId="77777777" w:rsidR="00472421" w:rsidRPr="00472421" w:rsidRDefault="00472421" w:rsidP="00472421">
      <w:pPr>
        <w:spacing w:after="200" w:line="276" w:lineRule="auto"/>
        <w:rPr>
          <w:rFonts w:ascii="Calibri" w:eastAsia="Calibri" w:hAnsi="Calibri" w:cs="Calibri"/>
        </w:rPr>
      </w:pPr>
    </w:p>
    <w:p w14:paraId="537F5C34" w14:textId="77777777" w:rsidR="00472421" w:rsidRPr="00472421" w:rsidRDefault="00472421" w:rsidP="00472421">
      <w:pPr>
        <w:autoSpaceDE w:val="0"/>
        <w:autoSpaceDN w:val="0"/>
        <w:spacing w:after="200" w:line="276" w:lineRule="auto"/>
        <w:rPr>
          <w:rFonts w:ascii="Calibri" w:eastAsia="Calibri" w:hAnsi="Calibri" w:cs="Calibri"/>
        </w:rPr>
      </w:pPr>
      <w:r w:rsidRPr="00472421">
        <w:rPr>
          <w:rFonts w:ascii="Calibri" w:eastAsia="Calibri" w:hAnsi="Calibri" w:cs="Calibri"/>
        </w:rPr>
        <w:t>John Hancock appreciates the opportunity to ask questions on the PBR YRT Field Study Results published and discussed at the 2020 Summer NAIC meetings on Aug 3</w:t>
      </w:r>
      <w:r w:rsidRPr="00472421">
        <w:rPr>
          <w:rFonts w:ascii="Calibri" w:eastAsia="Calibri" w:hAnsi="Calibri" w:cs="Calibri"/>
          <w:vertAlign w:val="superscript"/>
        </w:rPr>
        <w:t>rd</w:t>
      </w:r>
      <w:r w:rsidRPr="00472421">
        <w:rPr>
          <w:rFonts w:ascii="Calibri" w:eastAsia="Calibri" w:hAnsi="Calibri" w:cs="Calibri"/>
        </w:rPr>
        <w:t xml:space="preserve"> and 6</w:t>
      </w:r>
      <w:r w:rsidRPr="00472421">
        <w:rPr>
          <w:rFonts w:ascii="Calibri" w:eastAsia="Calibri" w:hAnsi="Calibri" w:cs="Calibri"/>
          <w:vertAlign w:val="superscript"/>
        </w:rPr>
        <w:t>th</w:t>
      </w:r>
      <w:r w:rsidRPr="00472421">
        <w:rPr>
          <w:rFonts w:ascii="Calibri" w:eastAsia="Calibri" w:hAnsi="Calibri" w:cs="Calibri"/>
        </w:rPr>
        <w:t xml:space="preserve">.  </w:t>
      </w:r>
    </w:p>
    <w:p w14:paraId="58010723" w14:textId="77777777" w:rsidR="00472421" w:rsidRPr="00472421" w:rsidRDefault="00472421" w:rsidP="00472421">
      <w:pPr>
        <w:autoSpaceDE w:val="0"/>
        <w:autoSpaceDN w:val="0"/>
        <w:spacing w:after="200" w:line="276" w:lineRule="auto"/>
        <w:rPr>
          <w:rFonts w:ascii="Calibri" w:eastAsia="Calibri" w:hAnsi="Calibri" w:cs="Calibri"/>
        </w:rPr>
      </w:pPr>
      <w:r w:rsidRPr="00472421">
        <w:rPr>
          <w:rFonts w:ascii="Calibri" w:eastAsia="Calibri" w:hAnsi="Calibri" w:cs="Calibri"/>
        </w:rPr>
        <w:t>Please see below.  We look forward to more discussions on this topic in the subsequent LATF calls.</w:t>
      </w:r>
    </w:p>
    <w:p w14:paraId="3A7BB829" w14:textId="77777777" w:rsidR="00472421" w:rsidRPr="00472421" w:rsidRDefault="00472421" w:rsidP="00472421">
      <w:pPr>
        <w:spacing w:after="200" w:line="276" w:lineRule="auto"/>
        <w:rPr>
          <w:rFonts w:ascii="Segoe UI" w:eastAsia="Calibri" w:hAnsi="Segoe UI" w:cs="Segoe UI"/>
          <w:sz w:val="21"/>
          <w:szCs w:val="21"/>
        </w:rPr>
      </w:pPr>
    </w:p>
    <w:p w14:paraId="3754CCB2" w14:textId="77777777" w:rsidR="00472421" w:rsidRPr="00472421" w:rsidRDefault="00472421" w:rsidP="00472421">
      <w:pPr>
        <w:numPr>
          <w:ilvl w:val="0"/>
          <w:numId w:val="1"/>
        </w:numPr>
        <w:spacing w:after="200" w:line="252" w:lineRule="auto"/>
        <w:contextualSpacing/>
        <w:rPr>
          <w:rFonts w:ascii="Segoe UI" w:eastAsia="Times New Roman" w:hAnsi="Segoe UI" w:cs="Segoe UI"/>
          <w:sz w:val="21"/>
          <w:szCs w:val="21"/>
        </w:rPr>
      </w:pPr>
      <w:r w:rsidRPr="00472421">
        <w:rPr>
          <w:rFonts w:ascii="Segoe UI" w:eastAsia="Times New Roman" w:hAnsi="Segoe UI" w:cs="Segoe UI"/>
          <w:sz w:val="21"/>
          <w:szCs w:val="21"/>
        </w:rPr>
        <w:t>As illustrated on page 16, OW had six representative PBR models reflecting different combinations of YRT rate scales and mortality credibility. Throughout the report, they compared results leveraging their “Baseline” model (YRT scale without FMI and high mortality credibility).  How would the interpretation survey graphs look if the results were based on different PBR models, for e.g., the “YRT scale with FMI and high mortality credibility” model?  Would it be beneficial to demonstrate and examine survey results based on alternate scenarios that could also be realistic, i.e. low/(high) YRT rates with high/(low) credibility?</w:t>
      </w:r>
    </w:p>
    <w:p w14:paraId="4B3D8D4C" w14:textId="77777777" w:rsidR="00472421" w:rsidRPr="00472421" w:rsidRDefault="00472421" w:rsidP="00472421">
      <w:pPr>
        <w:spacing w:line="252" w:lineRule="auto"/>
        <w:ind w:left="720"/>
        <w:contextualSpacing/>
        <w:rPr>
          <w:rFonts w:ascii="Segoe UI" w:eastAsia="Calibri" w:hAnsi="Segoe UI" w:cs="Segoe UI"/>
          <w:sz w:val="21"/>
          <w:szCs w:val="21"/>
        </w:rPr>
      </w:pPr>
    </w:p>
    <w:p w14:paraId="13628523" w14:textId="77777777" w:rsidR="00472421" w:rsidRPr="00472421" w:rsidRDefault="00472421" w:rsidP="00472421">
      <w:pPr>
        <w:numPr>
          <w:ilvl w:val="0"/>
          <w:numId w:val="1"/>
        </w:numPr>
        <w:spacing w:after="0" w:line="240" w:lineRule="auto"/>
        <w:contextualSpacing/>
        <w:rPr>
          <w:rFonts w:ascii="Segoe UI" w:eastAsia="Times New Roman" w:hAnsi="Segoe UI" w:cs="Segoe UI"/>
          <w:sz w:val="21"/>
          <w:szCs w:val="21"/>
        </w:rPr>
      </w:pPr>
      <w:r w:rsidRPr="00472421">
        <w:rPr>
          <w:rFonts w:ascii="Segoe UI" w:eastAsia="Times New Roman" w:hAnsi="Segoe UI" w:cs="Segoe UI"/>
          <w:sz w:val="21"/>
          <w:szCs w:val="21"/>
        </w:rPr>
        <w:t>Under a Principle-based reserving regime, we should expect a reasonable level of variability, reflecting different companies’ risk profiles and YRT treaties characteristics.   What are the regulators’ criteria on the level of variability? How much “reasonable variability” is expected?  How much is deemed as “excessive variability” that the regulators are looking to control or eliminate?</w:t>
      </w:r>
    </w:p>
    <w:p w14:paraId="459A521A" w14:textId="77777777" w:rsidR="00472421" w:rsidRPr="00472421" w:rsidRDefault="00472421" w:rsidP="00472421">
      <w:pPr>
        <w:spacing w:line="252" w:lineRule="auto"/>
        <w:ind w:left="720"/>
        <w:contextualSpacing/>
        <w:rPr>
          <w:rFonts w:ascii="Segoe UI" w:eastAsia="Calibri" w:hAnsi="Segoe UI" w:cs="Segoe UI"/>
          <w:sz w:val="21"/>
          <w:szCs w:val="21"/>
        </w:rPr>
      </w:pPr>
    </w:p>
    <w:p w14:paraId="4C4C86BD" w14:textId="77777777" w:rsidR="00472421" w:rsidRPr="00472421" w:rsidRDefault="00472421" w:rsidP="00472421">
      <w:pPr>
        <w:numPr>
          <w:ilvl w:val="0"/>
          <w:numId w:val="1"/>
        </w:numPr>
        <w:spacing w:after="0" w:line="240" w:lineRule="auto"/>
        <w:contextualSpacing/>
        <w:rPr>
          <w:rFonts w:ascii="Segoe UI" w:eastAsia="Times New Roman" w:hAnsi="Segoe UI" w:cs="Segoe UI"/>
          <w:sz w:val="21"/>
          <w:szCs w:val="21"/>
        </w:rPr>
      </w:pPr>
      <w:r w:rsidRPr="00472421">
        <w:rPr>
          <w:rFonts w:ascii="Segoe UI" w:eastAsia="Times New Roman" w:hAnsi="Segoe UI" w:cs="Segoe UI"/>
          <w:sz w:val="21"/>
          <w:szCs w:val="21"/>
        </w:rPr>
        <w:t>Page 8 shows a comparison of proposed solutions.  Can regulators discuss how they would define success for the YRT long-term solution?</w:t>
      </w:r>
    </w:p>
    <w:p w14:paraId="2ED9CB97" w14:textId="77777777" w:rsidR="00472421" w:rsidRPr="00472421" w:rsidRDefault="00472421" w:rsidP="00472421">
      <w:pPr>
        <w:autoSpaceDE w:val="0"/>
        <w:autoSpaceDN w:val="0"/>
        <w:spacing w:after="200" w:line="276" w:lineRule="auto"/>
        <w:rPr>
          <w:rFonts w:ascii="Calibri" w:eastAsia="Calibri" w:hAnsi="Calibri" w:cs="Calibri"/>
        </w:rPr>
      </w:pPr>
    </w:p>
    <w:p w14:paraId="74642BE8" w14:textId="77777777" w:rsidR="00472421" w:rsidRPr="00472421" w:rsidRDefault="00472421" w:rsidP="00472421">
      <w:pPr>
        <w:autoSpaceDE w:val="0"/>
        <w:autoSpaceDN w:val="0"/>
        <w:spacing w:after="200" w:line="276" w:lineRule="auto"/>
        <w:rPr>
          <w:rFonts w:ascii="Calibri" w:eastAsia="Calibri" w:hAnsi="Calibri" w:cs="Calibri"/>
        </w:rPr>
      </w:pPr>
    </w:p>
    <w:p w14:paraId="41F54B22" w14:textId="77777777" w:rsidR="00472421" w:rsidRPr="00472421" w:rsidRDefault="00472421" w:rsidP="00472421">
      <w:pPr>
        <w:autoSpaceDE w:val="0"/>
        <w:autoSpaceDN w:val="0"/>
        <w:spacing w:after="200" w:line="276" w:lineRule="auto"/>
        <w:rPr>
          <w:rFonts w:ascii="Calibri" w:eastAsia="Calibri" w:hAnsi="Calibri" w:cs="Calibri"/>
        </w:rPr>
      </w:pPr>
      <w:r w:rsidRPr="00472421">
        <w:rPr>
          <w:rFonts w:ascii="Calibri" w:eastAsia="Calibri" w:hAnsi="Calibri" w:cs="Calibri"/>
        </w:rPr>
        <w:t>Thank you!</w:t>
      </w:r>
    </w:p>
    <w:p w14:paraId="7A5027E5" w14:textId="77777777" w:rsidR="00472421" w:rsidRPr="00472421" w:rsidRDefault="00472421" w:rsidP="00472421">
      <w:pPr>
        <w:spacing w:after="200" w:line="276" w:lineRule="auto"/>
        <w:rPr>
          <w:rFonts w:ascii="Calibri" w:eastAsia="Calibri" w:hAnsi="Calibri" w:cs="Calibri"/>
        </w:rPr>
      </w:pPr>
    </w:p>
    <w:p w14:paraId="70178682" w14:textId="77777777" w:rsidR="00472421" w:rsidRPr="00472421" w:rsidRDefault="00472421" w:rsidP="00472421">
      <w:pPr>
        <w:spacing w:after="200" w:line="276" w:lineRule="auto"/>
        <w:rPr>
          <w:rFonts w:ascii="Calibri" w:eastAsia="Calibri" w:hAnsi="Calibri" w:cs="Calibri"/>
        </w:rPr>
      </w:pPr>
    </w:p>
    <w:p w14:paraId="51900F0E" w14:textId="77777777" w:rsidR="00472421" w:rsidRPr="00472421" w:rsidRDefault="00472421" w:rsidP="00472421">
      <w:pPr>
        <w:spacing w:after="20" w:line="276" w:lineRule="auto"/>
        <w:rPr>
          <w:rFonts w:ascii="Manulife JH Sans" w:eastAsia="Calibri" w:hAnsi="Manulife JH Sans" w:cs="Calibri"/>
          <w:color w:val="000000"/>
          <w:sz w:val="24"/>
          <w:szCs w:val="24"/>
        </w:rPr>
      </w:pPr>
      <w:proofErr w:type="spellStart"/>
      <w:r w:rsidRPr="00472421">
        <w:rPr>
          <w:rFonts w:ascii="Manulife JH Sans" w:eastAsia="Calibri" w:hAnsi="Manulife JH Sans" w:cs="Calibri"/>
          <w:b/>
          <w:bCs/>
          <w:color w:val="000000"/>
          <w:sz w:val="24"/>
          <w:szCs w:val="24"/>
        </w:rPr>
        <w:t>Shuyin</w:t>
      </w:r>
      <w:proofErr w:type="spellEnd"/>
      <w:r w:rsidRPr="00472421">
        <w:rPr>
          <w:rFonts w:ascii="Manulife JH Sans" w:eastAsia="Calibri" w:hAnsi="Manulife JH Sans" w:cs="Calibri"/>
          <w:b/>
          <w:bCs/>
          <w:color w:val="000000"/>
          <w:sz w:val="24"/>
          <w:szCs w:val="24"/>
        </w:rPr>
        <w:t xml:space="preserve"> Mai, FSA, FCIA</w:t>
      </w:r>
    </w:p>
    <w:p w14:paraId="1E9E603C" w14:textId="77777777" w:rsidR="00472421" w:rsidRPr="00472421" w:rsidRDefault="00472421" w:rsidP="00472421">
      <w:pPr>
        <w:spacing w:after="120" w:line="276" w:lineRule="auto"/>
        <w:rPr>
          <w:rFonts w:ascii="Manulife JH Sans" w:eastAsia="Calibri" w:hAnsi="Manulife JH Sans" w:cs="Calibri"/>
          <w:color w:val="000000"/>
          <w:sz w:val="17"/>
          <w:szCs w:val="17"/>
        </w:rPr>
      </w:pPr>
      <w:r w:rsidRPr="00472421">
        <w:rPr>
          <w:rFonts w:ascii="Manulife JH Sans" w:eastAsia="Calibri" w:hAnsi="Manulife JH Sans" w:cs="Calibri"/>
          <w:color w:val="000000"/>
          <w:sz w:val="17"/>
          <w:szCs w:val="17"/>
        </w:rPr>
        <w:t>Director and Actuary, NAIC PBR &amp; Projects</w:t>
      </w:r>
    </w:p>
    <w:p w14:paraId="3CDE9099" w14:textId="77777777" w:rsidR="00472421" w:rsidRPr="00472421" w:rsidRDefault="00472421" w:rsidP="00472421">
      <w:pPr>
        <w:spacing w:after="60" w:line="276" w:lineRule="auto"/>
        <w:rPr>
          <w:rFonts w:ascii="Manulife JH Sans" w:eastAsia="Calibri" w:hAnsi="Manulife JH Sans" w:cs="Calibri"/>
          <w:color w:val="000000"/>
          <w:sz w:val="17"/>
          <w:szCs w:val="17"/>
          <w:lang w:val="fr-FR"/>
        </w:rPr>
      </w:pPr>
      <w:r w:rsidRPr="00472421">
        <w:rPr>
          <w:rFonts w:ascii="Manulife JH Sans" w:eastAsia="Calibri" w:hAnsi="Manulife JH Sans" w:cs="Calibri"/>
          <w:b/>
          <w:bCs/>
          <w:color w:val="000000"/>
          <w:sz w:val="17"/>
          <w:szCs w:val="17"/>
          <w:lang w:val="fr-FR"/>
        </w:rPr>
        <w:t>E</w:t>
      </w:r>
      <w:r w:rsidRPr="00472421">
        <w:rPr>
          <w:rFonts w:ascii="Manulife JH Sans" w:eastAsia="Calibri" w:hAnsi="Manulife JH Sans" w:cs="Calibri"/>
          <w:color w:val="000000"/>
          <w:sz w:val="17"/>
          <w:szCs w:val="17"/>
          <w:lang w:val="fr-FR"/>
        </w:rPr>
        <w:t xml:space="preserve"> </w:t>
      </w:r>
      <w:hyperlink r:id="rId7" w:history="1">
        <w:r w:rsidRPr="00472421">
          <w:rPr>
            <w:rFonts w:ascii="Manulife JH Sans" w:eastAsia="Calibri" w:hAnsi="Manulife JH Sans" w:cs="Calibri"/>
            <w:color w:val="0563C1"/>
            <w:sz w:val="17"/>
            <w:szCs w:val="17"/>
            <w:u w:val="single"/>
            <w:lang w:val="fr-FR"/>
          </w:rPr>
          <w:t>Shuyin_mai@jhancock.com</w:t>
        </w:r>
      </w:hyperlink>
      <w:r w:rsidRPr="00472421">
        <w:rPr>
          <w:rFonts w:ascii="Calibri" w:eastAsia="Calibri" w:hAnsi="Calibri" w:cs="Calibri"/>
          <w:color w:val="000000"/>
          <w:sz w:val="17"/>
          <w:szCs w:val="17"/>
          <w:lang w:val="fr-FR"/>
        </w:rPr>
        <w:t>   </w:t>
      </w:r>
      <w:r w:rsidRPr="00472421">
        <w:rPr>
          <w:rFonts w:ascii="Manulife JH Sans" w:eastAsia="Calibri" w:hAnsi="Manulife JH Sans" w:cs="Calibri"/>
          <w:color w:val="000000"/>
          <w:sz w:val="17"/>
          <w:szCs w:val="17"/>
          <w:lang w:val="fr-FR"/>
        </w:rPr>
        <w:t xml:space="preserve"> </w:t>
      </w:r>
    </w:p>
    <w:p w14:paraId="415E1D44" w14:textId="77777777" w:rsidR="00472421" w:rsidRPr="00472421" w:rsidRDefault="00472421" w:rsidP="00472421">
      <w:pPr>
        <w:spacing w:after="120" w:line="276" w:lineRule="auto"/>
        <w:rPr>
          <w:rFonts w:ascii="Manulife JH Sans" w:eastAsia="Calibri" w:hAnsi="Manulife JH Sans" w:cs="Calibri"/>
          <w:color w:val="000000"/>
          <w:sz w:val="17"/>
          <w:szCs w:val="17"/>
          <w:lang w:val="fr-FR"/>
        </w:rPr>
      </w:pPr>
      <w:r w:rsidRPr="00472421">
        <w:rPr>
          <w:rFonts w:ascii="Manulife JH Sans" w:eastAsia="Calibri" w:hAnsi="Manulife JH Sans" w:cs="Calibri"/>
          <w:b/>
          <w:bCs/>
          <w:color w:val="000000"/>
          <w:sz w:val="17"/>
          <w:szCs w:val="17"/>
          <w:lang w:val="fr-FR"/>
        </w:rPr>
        <w:t>T</w:t>
      </w:r>
      <w:r w:rsidRPr="00472421">
        <w:rPr>
          <w:rFonts w:ascii="Manulife JH Sans" w:eastAsia="Calibri" w:hAnsi="Manulife JH Sans" w:cs="Calibri"/>
          <w:color w:val="000000"/>
          <w:sz w:val="17"/>
          <w:szCs w:val="17"/>
          <w:lang w:val="fr-FR"/>
        </w:rPr>
        <w:t xml:space="preserve"> 416 852 </w:t>
      </w:r>
      <w:proofErr w:type="gramStart"/>
      <w:r w:rsidRPr="00472421">
        <w:rPr>
          <w:rFonts w:ascii="Manulife JH Sans" w:eastAsia="Calibri" w:hAnsi="Manulife JH Sans" w:cs="Calibri"/>
          <w:color w:val="000000"/>
          <w:sz w:val="17"/>
          <w:szCs w:val="17"/>
          <w:lang w:val="fr-FR"/>
        </w:rPr>
        <w:t>1924</w:t>
      </w:r>
      <w:r w:rsidRPr="00472421">
        <w:rPr>
          <w:rFonts w:ascii="Calibri" w:eastAsia="Calibri" w:hAnsi="Calibri" w:cs="Calibri"/>
          <w:color w:val="000000"/>
          <w:sz w:val="17"/>
          <w:szCs w:val="17"/>
          <w:lang w:val="fr-FR"/>
        </w:rPr>
        <w:t> </w:t>
      </w:r>
      <w:r w:rsidRPr="00472421">
        <w:rPr>
          <w:rFonts w:ascii="Manulife JH Sans" w:eastAsia="Calibri" w:hAnsi="Manulife JH Sans" w:cs="Calibri"/>
          <w:color w:val="000000"/>
          <w:sz w:val="17"/>
          <w:szCs w:val="17"/>
          <w:lang w:val="fr-FR"/>
        </w:rPr>
        <w:t xml:space="preserve"> </w:t>
      </w:r>
      <w:proofErr w:type="spellStart"/>
      <w:r w:rsidRPr="00472421">
        <w:rPr>
          <w:rFonts w:ascii="Manulife JH Sans" w:eastAsia="Calibri" w:hAnsi="Manulife JH Sans" w:cs="Calibri"/>
          <w:color w:val="000000"/>
          <w:sz w:val="17"/>
          <w:szCs w:val="17"/>
          <w:lang w:val="fr-FR"/>
        </w:rPr>
        <w:t>ext</w:t>
      </w:r>
      <w:proofErr w:type="spellEnd"/>
      <w:r w:rsidRPr="00472421">
        <w:rPr>
          <w:rFonts w:ascii="Manulife JH Sans" w:eastAsia="Calibri" w:hAnsi="Manulife JH Sans" w:cs="Calibri"/>
          <w:color w:val="000000"/>
          <w:sz w:val="17"/>
          <w:szCs w:val="17"/>
          <w:lang w:val="fr-FR"/>
        </w:rPr>
        <w:t>.</w:t>
      </w:r>
      <w:proofErr w:type="gramEnd"/>
      <w:r w:rsidRPr="00472421">
        <w:rPr>
          <w:rFonts w:ascii="Manulife JH Sans" w:eastAsia="Calibri" w:hAnsi="Manulife JH Sans" w:cs="Calibri"/>
          <w:color w:val="000000"/>
          <w:sz w:val="17"/>
          <w:szCs w:val="17"/>
          <w:lang w:val="fr-FR"/>
        </w:rPr>
        <w:t xml:space="preserve"> 821924</w:t>
      </w:r>
      <w:r w:rsidRPr="00472421">
        <w:rPr>
          <w:rFonts w:ascii="Calibri" w:eastAsia="Calibri" w:hAnsi="Calibri" w:cs="Calibri"/>
          <w:color w:val="000000"/>
          <w:sz w:val="17"/>
          <w:szCs w:val="17"/>
          <w:lang w:val="fr-FR"/>
        </w:rPr>
        <w:t>       </w:t>
      </w:r>
      <w:r w:rsidRPr="00472421">
        <w:rPr>
          <w:rFonts w:ascii="Manulife JH Sans" w:eastAsia="Calibri" w:hAnsi="Manulife JH Sans" w:cs="Calibri"/>
          <w:color w:val="000000"/>
          <w:sz w:val="17"/>
          <w:szCs w:val="17"/>
          <w:lang w:val="fr-FR"/>
        </w:rPr>
        <w:t xml:space="preserve"> </w:t>
      </w:r>
    </w:p>
    <w:p w14:paraId="529591D1" w14:textId="77777777" w:rsidR="00472421" w:rsidRPr="00472421" w:rsidRDefault="00472421" w:rsidP="00472421">
      <w:pPr>
        <w:spacing w:after="200" w:line="276" w:lineRule="auto"/>
        <w:rPr>
          <w:rFonts w:ascii="Manulife JH Sans" w:eastAsia="Calibri" w:hAnsi="Manulife JH Sans" w:cs="Calibri"/>
          <w:color w:val="000000"/>
          <w:sz w:val="17"/>
          <w:szCs w:val="17"/>
        </w:rPr>
      </w:pPr>
      <w:r w:rsidRPr="00472421">
        <w:rPr>
          <w:rFonts w:ascii="Manulife JH Sans" w:eastAsia="Calibri" w:hAnsi="Manulife JH Sans" w:cs="Calibri"/>
          <w:noProof/>
          <w:color w:val="000000"/>
          <w:sz w:val="17"/>
          <w:szCs w:val="17"/>
        </w:rPr>
        <w:drawing>
          <wp:inline distT="0" distB="0" distL="0" distR="0" wp14:anchorId="7E948086" wp14:editId="221380A7">
            <wp:extent cx="1219200" cy="457200"/>
            <wp:effectExtent l="0" t="0" r="0" b="0"/>
            <wp:docPr id="3"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721B839E" w14:textId="24918BC2" w:rsidR="00427D55" w:rsidRPr="00472421" w:rsidRDefault="00472421" w:rsidP="00472421">
      <w:pPr>
        <w:spacing w:before="80" w:after="200" w:line="276" w:lineRule="auto"/>
        <w:rPr>
          <w:rFonts w:ascii="Manulife JH Sans" w:eastAsia="Calibri" w:hAnsi="Manulife JH Sans" w:cs="Calibri"/>
          <w:color w:val="000000"/>
          <w:sz w:val="17"/>
          <w:szCs w:val="17"/>
        </w:rPr>
      </w:pPr>
      <w:r w:rsidRPr="00472421">
        <w:rPr>
          <w:rFonts w:ascii="Manulife JH Sans" w:eastAsia="Calibri" w:hAnsi="Manulife JH Sans" w:cs="Calibri"/>
          <w:color w:val="000000"/>
          <w:sz w:val="17"/>
          <w:szCs w:val="17"/>
        </w:rPr>
        <w:t>200 Bloor Street East, ST9–C14, Toronto, Ontario, Canada, M4W 1E5</w:t>
      </w:r>
    </w:p>
    <w:sectPr w:rsidR="00427D55" w:rsidRPr="004724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228B" w14:textId="77777777" w:rsidR="00472421" w:rsidRDefault="00472421" w:rsidP="00472421">
      <w:pPr>
        <w:spacing w:after="0" w:line="240" w:lineRule="auto"/>
      </w:pPr>
      <w:r>
        <w:separator/>
      </w:r>
    </w:p>
  </w:endnote>
  <w:endnote w:type="continuationSeparator" w:id="0">
    <w:p w14:paraId="3FF3726C" w14:textId="77777777" w:rsidR="00472421" w:rsidRDefault="00472421" w:rsidP="0047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life JH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7EBC" w14:textId="77777777" w:rsidR="00472421" w:rsidRDefault="0047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EC13" w14:textId="77777777" w:rsidR="00472421" w:rsidRDefault="0047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ED88" w14:textId="77777777" w:rsidR="00472421" w:rsidRDefault="0047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8947" w14:textId="77777777" w:rsidR="00472421" w:rsidRDefault="00472421" w:rsidP="00472421">
      <w:pPr>
        <w:spacing w:after="0" w:line="240" w:lineRule="auto"/>
      </w:pPr>
      <w:r>
        <w:separator/>
      </w:r>
    </w:p>
  </w:footnote>
  <w:footnote w:type="continuationSeparator" w:id="0">
    <w:p w14:paraId="26BD3B2A" w14:textId="77777777" w:rsidR="00472421" w:rsidRDefault="00472421" w:rsidP="0047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8653" w14:textId="77777777" w:rsidR="00472421" w:rsidRDefault="00472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747B" w14:textId="33CB8369" w:rsidR="00472421" w:rsidRDefault="00472421">
    <w:pPr>
      <w:pStyle w:val="Header"/>
    </w:pPr>
    <w:r>
      <w:t xml:space="preserve">Received via email </w:t>
    </w:r>
    <w:r>
      <w:t>8/14/20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AE7B" w14:textId="77777777" w:rsidR="00472421" w:rsidRDefault="0047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035BD"/>
    <w:multiLevelType w:val="hybridMultilevel"/>
    <w:tmpl w:val="749E5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21"/>
    <w:rsid w:val="00427D55"/>
    <w:rsid w:val="0047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4CC86"/>
  <w15:chartTrackingRefBased/>
  <w15:docId w15:val="{01CF318D-4D1D-4ACF-A5A7-4144221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21"/>
  </w:style>
  <w:style w:type="paragraph" w:styleId="Footer">
    <w:name w:val="footer"/>
    <w:basedOn w:val="Normal"/>
    <w:link w:val="FooterChar"/>
    <w:uiPriority w:val="99"/>
    <w:unhideWhenUsed/>
    <w:rsid w:val="0047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uyin_mai@jhancoc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7191.EB6093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1</cp:revision>
  <dcterms:created xsi:type="dcterms:W3CDTF">2020-08-17T15:19:00Z</dcterms:created>
  <dcterms:modified xsi:type="dcterms:W3CDTF">2020-08-17T15:21:00Z</dcterms:modified>
</cp:coreProperties>
</file>