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FA1F" w14:textId="35C33094" w:rsidR="0068078A" w:rsidRPr="00B12204" w:rsidRDefault="00B12204" w:rsidP="00B12204">
      <w:pPr>
        <w:spacing w:after="0" w:line="240" w:lineRule="auto"/>
        <w:jc w:val="center"/>
        <w:rPr>
          <w:b/>
          <w:bCs/>
        </w:rPr>
      </w:pPr>
      <w:r w:rsidRPr="00B12204">
        <w:rPr>
          <w:b/>
          <w:bCs/>
        </w:rPr>
        <w:t>Comments on AG 55 Proposed Template</w:t>
      </w:r>
    </w:p>
    <w:p w14:paraId="57FB3462" w14:textId="6594D1E8" w:rsidR="003D5E01" w:rsidRDefault="003D5E01" w:rsidP="003D5E01">
      <w:pPr>
        <w:spacing w:after="0" w:line="240" w:lineRule="auto"/>
        <w:jc w:val="center"/>
      </w:pPr>
      <w:r>
        <w:t xml:space="preserve">These comments are on the </w:t>
      </w:r>
      <w:r w:rsidR="00E33A99">
        <w:t xml:space="preserve">AG 55 </w:t>
      </w:r>
      <w:r>
        <w:t>template as it was presented in slide format.</w:t>
      </w:r>
    </w:p>
    <w:p w14:paraId="66472E0E" w14:textId="77777777" w:rsidR="003D5E01" w:rsidRDefault="003D5E01" w:rsidP="00B12204">
      <w:pPr>
        <w:spacing w:after="0" w:line="240" w:lineRule="auto"/>
      </w:pPr>
    </w:p>
    <w:p w14:paraId="4998727D" w14:textId="08675639" w:rsidR="00B12204" w:rsidRPr="00B12204" w:rsidRDefault="00B12204" w:rsidP="00B12204">
      <w:pPr>
        <w:spacing w:after="0" w:line="240" w:lineRule="auto"/>
        <w:rPr>
          <w:u w:val="single"/>
        </w:rPr>
      </w:pPr>
      <w:r w:rsidRPr="00B12204">
        <w:rPr>
          <w:u w:val="single"/>
        </w:rPr>
        <w:t>Slide 4: Counterparty Agreements</w:t>
      </w:r>
    </w:p>
    <w:p w14:paraId="1C3AD939" w14:textId="5497BE91" w:rsidR="00B12204" w:rsidRDefault="00B12204" w:rsidP="00B12204">
      <w:pPr>
        <w:spacing w:after="0" w:line="240" w:lineRule="auto"/>
        <w:jc w:val="both"/>
      </w:pPr>
      <w:r>
        <w:t xml:space="preserve">“FWH” is not a type of </w:t>
      </w:r>
      <w:r w:rsidR="00744485">
        <w:t xml:space="preserve">reinsurance </w:t>
      </w:r>
      <w:r>
        <w:t xml:space="preserve">agreement. </w:t>
      </w:r>
      <w:r w:rsidR="00744485">
        <w:t>I</w:t>
      </w:r>
      <w:r>
        <w:t>t is “</w:t>
      </w:r>
      <w:r w:rsidR="00F85469">
        <w:t>C</w:t>
      </w:r>
      <w:r>
        <w:t>oinsurance with Funds Withheld”.</w:t>
      </w:r>
    </w:p>
    <w:p w14:paraId="4FB94D5A" w14:textId="77777777" w:rsidR="00B12204" w:rsidRDefault="00B12204" w:rsidP="00B12204">
      <w:pPr>
        <w:spacing w:after="0" w:line="240" w:lineRule="auto"/>
      </w:pPr>
    </w:p>
    <w:p w14:paraId="04F45E58" w14:textId="5AF6E810" w:rsidR="00B12204" w:rsidRDefault="00B12204" w:rsidP="00B12204">
      <w:pPr>
        <w:spacing w:after="0" w:line="240" w:lineRule="auto"/>
        <w:jc w:val="both"/>
      </w:pPr>
      <w:r>
        <w:t xml:space="preserve">Generally, if an agreement is coinsurance with funds withheld there is a trust to hold the funds withheld and, if it exists, a separate overcollateralization trust. The conditions under which the ceding company can access these </w:t>
      </w:r>
      <w:r w:rsidR="00372671">
        <w:t xml:space="preserve">funds </w:t>
      </w:r>
      <w:r>
        <w:t>varies depending on whether it is the funds withheld portion or the overcollateralization portion.</w:t>
      </w:r>
    </w:p>
    <w:p w14:paraId="7B3330E7" w14:textId="77777777" w:rsidR="00B12204" w:rsidRDefault="00B12204" w:rsidP="00B12204">
      <w:pPr>
        <w:spacing w:after="0" w:line="240" w:lineRule="auto"/>
        <w:jc w:val="both"/>
      </w:pPr>
    </w:p>
    <w:p w14:paraId="15DCEE86" w14:textId="2FC09829" w:rsidR="00B12204" w:rsidRDefault="00372671" w:rsidP="00B12204">
      <w:pPr>
        <w:spacing w:after="0" w:line="240" w:lineRule="auto"/>
        <w:jc w:val="both"/>
      </w:pPr>
      <w:r>
        <w:t>In the “</w:t>
      </w:r>
      <w:r w:rsidRPr="00B32A02">
        <w:rPr>
          <w:i/>
          <w:iCs/>
        </w:rPr>
        <w:t>Description of Collateral</w:t>
      </w:r>
      <w:r>
        <w:t xml:space="preserve">” section it would be </w:t>
      </w:r>
      <w:r w:rsidR="00744485">
        <w:t>better</w:t>
      </w:r>
      <w:r>
        <w:t xml:space="preserve"> to list the two collateral</w:t>
      </w:r>
      <w:r w:rsidR="00744485">
        <w:t xml:space="preserve"> portions </w:t>
      </w:r>
      <w:r>
        <w:t xml:space="preserve">separately, the funds withheld and the overcollateralization trust. In the current version a company just </w:t>
      </w:r>
      <w:r w:rsidR="00D9741C">
        <w:t>must</w:t>
      </w:r>
      <w:r>
        <w:t xml:space="preserve"> remember and describe the overcollateralization trust</w:t>
      </w:r>
      <w:r w:rsidR="00B32A02">
        <w:t xml:space="preserve"> </w:t>
      </w:r>
      <w:r w:rsidR="00C319C4">
        <w:t>in this section</w:t>
      </w:r>
      <w:r>
        <w:t>.</w:t>
      </w:r>
      <w:r w:rsidR="00744485">
        <w:t xml:space="preserve"> </w:t>
      </w:r>
    </w:p>
    <w:p w14:paraId="139B79F5" w14:textId="77777777" w:rsidR="00B12204" w:rsidRDefault="00B12204" w:rsidP="00B12204">
      <w:pPr>
        <w:spacing w:after="0" w:line="240" w:lineRule="auto"/>
        <w:jc w:val="both"/>
      </w:pPr>
    </w:p>
    <w:p w14:paraId="5F958DE9" w14:textId="2D700CF0" w:rsidR="00B12204" w:rsidRDefault="00B12204" w:rsidP="00B12204">
      <w:pPr>
        <w:spacing w:after="0" w:line="240" w:lineRule="auto"/>
        <w:jc w:val="both"/>
      </w:pPr>
      <w:r>
        <w:t>In the “</w:t>
      </w:r>
      <w:r w:rsidRPr="00B32A02">
        <w:rPr>
          <w:i/>
          <w:iCs/>
        </w:rPr>
        <w:t>Total Size of Agreements</w:t>
      </w:r>
      <w:r>
        <w:t>” section the overcollateralization trust amount apparently belongs on the “</w:t>
      </w:r>
      <w:r w:rsidRPr="00B32A02">
        <w:rPr>
          <w:i/>
          <w:iCs/>
        </w:rPr>
        <w:t>Trust Amount</w:t>
      </w:r>
      <w:r>
        <w:t xml:space="preserve">” line.  Hopefully that was what was intended. </w:t>
      </w:r>
    </w:p>
    <w:p w14:paraId="77C6217A" w14:textId="77777777" w:rsidR="00B12204" w:rsidRDefault="00B12204" w:rsidP="00B12204">
      <w:pPr>
        <w:spacing w:after="0" w:line="240" w:lineRule="auto"/>
      </w:pPr>
    </w:p>
    <w:p w14:paraId="6B55D096" w14:textId="21096141" w:rsidR="00372671" w:rsidRDefault="00372671" w:rsidP="00372671">
      <w:pPr>
        <w:spacing w:after="0" w:line="240" w:lineRule="auto"/>
        <w:jc w:val="both"/>
      </w:pPr>
      <w:r>
        <w:t>The “</w:t>
      </w:r>
      <w:r w:rsidRPr="00B32A02">
        <w:rPr>
          <w:i/>
          <w:iCs/>
        </w:rPr>
        <w:t>Funds Withheld Amount</w:t>
      </w:r>
      <w:r>
        <w:t xml:space="preserve">” can include an overage where the reinsurer could unilaterally remove the amount over the required amount, so it should be the </w:t>
      </w:r>
      <w:r w:rsidRPr="003D5E01">
        <w:rPr>
          <w:u w:val="single"/>
        </w:rPr>
        <w:t>required</w:t>
      </w:r>
      <w:r>
        <w:t xml:space="preserve"> amount to be in the funds withheld account not the </w:t>
      </w:r>
      <w:r w:rsidRPr="003D5E01">
        <w:rPr>
          <w:u w:val="single"/>
        </w:rPr>
        <w:t>actual</w:t>
      </w:r>
      <w:r>
        <w:t xml:space="preserve"> amount (which may be higher).  Many reinsurers withdraw any overage once a year.</w:t>
      </w:r>
      <w:r w:rsidR="00744485">
        <w:t xml:space="preserve"> No one would want a ceding company to use the amount of funds withheld greater than the required amount</w:t>
      </w:r>
      <w:r w:rsidR="00C319C4">
        <w:t xml:space="preserve"> in an AAT</w:t>
      </w:r>
      <w:r w:rsidR="00744485">
        <w:t>.</w:t>
      </w:r>
    </w:p>
    <w:p w14:paraId="764F42AF" w14:textId="77777777" w:rsidR="00372671" w:rsidRDefault="00372671" w:rsidP="00372671">
      <w:pPr>
        <w:spacing w:after="0" w:line="240" w:lineRule="auto"/>
        <w:jc w:val="both"/>
      </w:pPr>
    </w:p>
    <w:p w14:paraId="6EE9A114" w14:textId="0CB905FF" w:rsidR="00372671" w:rsidRPr="00372671" w:rsidRDefault="00372671" w:rsidP="00372671">
      <w:pPr>
        <w:spacing w:after="0" w:line="240" w:lineRule="auto"/>
        <w:jc w:val="both"/>
        <w:rPr>
          <w:u w:val="single"/>
        </w:rPr>
      </w:pPr>
      <w:r w:rsidRPr="00372671">
        <w:rPr>
          <w:u w:val="single"/>
        </w:rPr>
        <w:t>Slide 5: Risk Information</w:t>
      </w:r>
    </w:p>
    <w:p w14:paraId="0FCBDD2C" w14:textId="4FEDAADD" w:rsidR="00A003E8" w:rsidRDefault="00372671" w:rsidP="00A003E8">
      <w:pPr>
        <w:spacing w:after="0" w:line="240" w:lineRule="auto"/>
        <w:jc w:val="both"/>
      </w:pPr>
      <w:r>
        <w:t xml:space="preserve">It is important to include risk information whether performing cash-flow testing or not. While we have every expectation we </w:t>
      </w:r>
      <w:r w:rsidR="0063492D">
        <w:t xml:space="preserve">will </w:t>
      </w:r>
      <w:r>
        <w:t xml:space="preserve">be exempted from having to perform cash-flow testing </w:t>
      </w:r>
      <w:r w:rsidR="00A003E8">
        <w:t xml:space="preserve">due to </w:t>
      </w:r>
      <w:r w:rsidR="0063492D">
        <w:t>having a</w:t>
      </w:r>
      <w:r w:rsidR="00A003E8">
        <w:t xml:space="preserve"> very low-risk treaty, </w:t>
      </w:r>
      <w:r w:rsidR="00B32A02">
        <w:t xml:space="preserve">collecting that case </w:t>
      </w:r>
      <w:r w:rsidR="0063492D">
        <w:t xml:space="preserve">also </w:t>
      </w:r>
      <w:r w:rsidR="00B32A02">
        <w:t>in a template is preferable</w:t>
      </w:r>
      <w:r w:rsidR="00A003E8">
        <w:t xml:space="preserve">. </w:t>
      </w:r>
    </w:p>
    <w:p w14:paraId="1DE33D5B" w14:textId="77777777" w:rsidR="00A003E8" w:rsidRDefault="00A003E8" w:rsidP="00A003E8">
      <w:pPr>
        <w:spacing w:after="0" w:line="240" w:lineRule="auto"/>
        <w:jc w:val="both"/>
      </w:pPr>
    </w:p>
    <w:p w14:paraId="5F5E5562" w14:textId="2B86C504" w:rsidR="00372671" w:rsidRDefault="00A003E8" w:rsidP="00A003E8">
      <w:pPr>
        <w:spacing w:after="0" w:line="240" w:lineRule="auto"/>
        <w:jc w:val="both"/>
      </w:pPr>
      <w:r>
        <w:t xml:space="preserve">The one </w:t>
      </w:r>
      <w:r w:rsidR="009B1564">
        <w:t xml:space="preserve">flow </w:t>
      </w:r>
      <w:r>
        <w:t xml:space="preserve">treaty </w:t>
      </w:r>
      <w:r w:rsidR="00C319C4">
        <w:t xml:space="preserve">we have </w:t>
      </w:r>
      <w:r>
        <w:t xml:space="preserve">within scope </w:t>
      </w:r>
      <w:r w:rsidR="00C319C4">
        <w:t xml:space="preserve">is </w:t>
      </w:r>
      <w:r w:rsidR="00B00C55" w:rsidRPr="00F00AD7">
        <w:rPr>
          <w:u w:val="single"/>
        </w:rPr>
        <w:t>only</w:t>
      </w:r>
      <w:r w:rsidR="00B00C55">
        <w:t xml:space="preserve"> </w:t>
      </w:r>
      <w:r w:rsidR="00C319C4">
        <w:t xml:space="preserve">in scope </w:t>
      </w:r>
      <w:r>
        <w:t>because it is from a smaller entity</w:t>
      </w:r>
      <w:r w:rsidR="009B1564">
        <w:t xml:space="preserve"> </w:t>
      </w:r>
      <w:r>
        <w:t xml:space="preserve">instead of the largest entity in the group. </w:t>
      </w:r>
      <w:r w:rsidR="00744485">
        <w:t xml:space="preserve">If it were from the </w:t>
      </w:r>
      <w:r w:rsidR="00B00C55">
        <w:t>largest entity or considered to be from the group</w:t>
      </w:r>
      <w:r w:rsidR="00744485">
        <w:t>, i</w:t>
      </w:r>
      <w:r>
        <w:t>t would drop out of scope</w:t>
      </w:r>
      <w:r w:rsidR="00744485">
        <w:t xml:space="preserve"> based on a low percentage reinsured</w:t>
      </w:r>
      <w:r>
        <w:t>.</w:t>
      </w:r>
      <w:r w:rsidR="00B00C55">
        <w:t xml:space="preserve"> </w:t>
      </w:r>
      <w:r w:rsidR="00C319C4">
        <w:t>I</w:t>
      </w:r>
      <w:r w:rsidR="00B00C55">
        <w:t>t is problem</w:t>
      </w:r>
      <w:r w:rsidR="00C319C4">
        <w:t>atic</w:t>
      </w:r>
      <w:r w:rsidR="00B00C55">
        <w:t xml:space="preserve"> that AG 55 </w:t>
      </w:r>
      <w:r w:rsidR="00C319C4">
        <w:t xml:space="preserve">is </w:t>
      </w:r>
      <w:r w:rsidR="00B00C55">
        <w:t>entity-by-entity.</w:t>
      </w:r>
      <w:r w:rsidR="00785CBF">
        <w:t xml:space="preserve"> </w:t>
      </w:r>
      <w:r w:rsidR="00C319C4">
        <w:t>In the group a</w:t>
      </w:r>
      <w:r w:rsidR="00785CBF">
        <w:t xml:space="preserve">ll the </w:t>
      </w:r>
      <w:r w:rsidR="0078655E">
        <w:t xml:space="preserve">other </w:t>
      </w:r>
      <w:r w:rsidR="00785CBF">
        <w:t xml:space="preserve">entities are 100% owned by the largest entity </w:t>
      </w:r>
      <w:r w:rsidR="00C319C4">
        <w:t>and the treaty is a decreasing percentage over time of the whole group</w:t>
      </w:r>
      <w:r w:rsidR="00785CBF">
        <w:t>.</w:t>
      </w:r>
    </w:p>
    <w:p w14:paraId="0A318280" w14:textId="77777777" w:rsidR="00B32A02" w:rsidRDefault="00B32A02" w:rsidP="00A003E8">
      <w:pPr>
        <w:spacing w:after="0" w:line="240" w:lineRule="auto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1782"/>
        <w:gridCol w:w="1589"/>
        <w:gridCol w:w="1749"/>
        <w:gridCol w:w="1564"/>
      </w:tblGrid>
      <w:tr w:rsidR="00785CBF" w14:paraId="18B26F0A" w14:textId="1D1AADC1" w:rsidTr="00785CBF">
        <w:trPr>
          <w:jc w:val="center"/>
        </w:trPr>
        <w:tc>
          <w:tcPr>
            <w:tcW w:w="0" w:type="auto"/>
          </w:tcPr>
          <w:p w14:paraId="7DB96978" w14:textId="3B1BDBB2" w:rsidR="00785CBF" w:rsidRDefault="00785CBF" w:rsidP="00A003E8">
            <w:pPr>
              <w:jc w:val="both"/>
            </w:pPr>
            <w:r>
              <w:t>As of 6/30/2025</w:t>
            </w:r>
          </w:p>
        </w:tc>
        <w:tc>
          <w:tcPr>
            <w:tcW w:w="0" w:type="auto"/>
          </w:tcPr>
          <w:p w14:paraId="4D10193A" w14:textId="36C81B33" w:rsidR="00785CBF" w:rsidRDefault="00785CBF" w:rsidP="00A003E8">
            <w:pPr>
              <w:jc w:val="both"/>
            </w:pPr>
            <w:r>
              <w:t xml:space="preserve">Ceded Reserve </w:t>
            </w:r>
          </w:p>
        </w:tc>
        <w:tc>
          <w:tcPr>
            <w:tcW w:w="0" w:type="auto"/>
          </w:tcPr>
          <w:p w14:paraId="7DA4B0FD" w14:textId="611AACFC" w:rsidR="00785CBF" w:rsidRDefault="00785CBF" w:rsidP="00A003E8">
            <w:pPr>
              <w:jc w:val="both"/>
            </w:pPr>
            <w:r>
              <w:t xml:space="preserve">Total Reserve </w:t>
            </w:r>
          </w:p>
        </w:tc>
        <w:tc>
          <w:tcPr>
            <w:tcW w:w="0" w:type="auto"/>
          </w:tcPr>
          <w:p w14:paraId="3226E1D5" w14:textId="65224B16" w:rsidR="00785CBF" w:rsidRDefault="00785CBF" w:rsidP="00A003E8">
            <w:pPr>
              <w:jc w:val="both"/>
            </w:pPr>
            <w:r>
              <w:t>Percent Ceded</w:t>
            </w:r>
          </w:p>
        </w:tc>
        <w:tc>
          <w:tcPr>
            <w:tcW w:w="0" w:type="auto"/>
          </w:tcPr>
          <w:p w14:paraId="23888CBF" w14:textId="6DC0A6B4" w:rsidR="00785CBF" w:rsidRDefault="00785CBF" w:rsidP="00785CBF">
            <w:pPr>
              <w:jc w:val="center"/>
            </w:pPr>
            <w:r>
              <w:t>Would be</w:t>
            </w:r>
          </w:p>
        </w:tc>
      </w:tr>
      <w:tr w:rsidR="00785CBF" w14:paraId="260CBAE0" w14:textId="488C47BD" w:rsidTr="00785CBF">
        <w:trPr>
          <w:jc w:val="center"/>
        </w:trPr>
        <w:tc>
          <w:tcPr>
            <w:tcW w:w="0" w:type="auto"/>
          </w:tcPr>
          <w:p w14:paraId="105A9120" w14:textId="558276AC" w:rsidR="00785CBF" w:rsidRDefault="00785CBF" w:rsidP="00A003E8">
            <w:pPr>
              <w:jc w:val="both"/>
            </w:pPr>
            <w:r>
              <w:t>Current</w:t>
            </w:r>
            <w:r w:rsidR="006020B3">
              <w:t xml:space="preserve"> Entity</w:t>
            </w:r>
          </w:p>
        </w:tc>
        <w:tc>
          <w:tcPr>
            <w:tcW w:w="0" w:type="auto"/>
          </w:tcPr>
          <w:p w14:paraId="7D7E3ED4" w14:textId="0EB58711" w:rsidR="00785CBF" w:rsidRDefault="00785CBF" w:rsidP="00785CBF">
            <w:pPr>
              <w:jc w:val="right"/>
            </w:pPr>
            <w:r>
              <w:t>236</w:t>
            </w:r>
          </w:p>
        </w:tc>
        <w:tc>
          <w:tcPr>
            <w:tcW w:w="0" w:type="auto"/>
          </w:tcPr>
          <w:p w14:paraId="6F3D52C8" w14:textId="7FADCF79" w:rsidR="00785CBF" w:rsidRDefault="00785CBF" w:rsidP="00785CBF">
            <w:pPr>
              <w:jc w:val="right"/>
            </w:pPr>
            <w:r>
              <w:t>669</w:t>
            </w:r>
          </w:p>
        </w:tc>
        <w:tc>
          <w:tcPr>
            <w:tcW w:w="0" w:type="auto"/>
          </w:tcPr>
          <w:p w14:paraId="1E9DC7F5" w14:textId="2EC97607" w:rsidR="00785CBF" w:rsidRDefault="00785CBF" w:rsidP="00785CBF">
            <w:pPr>
              <w:jc w:val="right"/>
            </w:pPr>
            <w:r>
              <w:t>35%</w:t>
            </w:r>
          </w:p>
        </w:tc>
        <w:tc>
          <w:tcPr>
            <w:tcW w:w="0" w:type="auto"/>
          </w:tcPr>
          <w:p w14:paraId="48A8FB05" w14:textId="0253034E" w:rsidR="00785CBF" w:rsidRDefault="00785CBF" w:rsidP="00785CBF">
            <w:pPr>
              <w:jc w:val="right"/>
            </w:pPr>
            <w:r>
              <w:t>In Scope</w:t>
            </w:r>
          </w:p>
        </w:tc>
      </w:tr>
      <w:tr w:rsidR="00785CBF" w14:paraId="5DC31D23" w14:textId="15B2D519" w:rsidTr="00785CBF">
        <w:trPr>
          <w:jc w:val="center"/>
        </w:trPr>
        <w:tc>
          <w:tcPr>
            <w:tcW w:w="0" w:type="auto"/>
          </w:tcPr>
          <w:p w14:paraId="5169F80B" w14:textId="6677BEB2" w:rsidR="00785CBF" w:rsidRDefault="00785CBF" w:rsidP="00A003E8">
            <w:pPr>
              <w:jc w:val="both"/>
            </w:pPr>
            <w:r>
              <w:t>Largest</w:t>
            </w:r>
            <w:r w:rsidR="006020B3">
              <w:t xml:space="preserve"> Entity</w:t>
            </w:r>
          </w:p>
        </w:tc>
        <w:tc>
          <w:tcPr>
            <w:tcW w:w="0" w:type="auto"/>
          </w:tcPr>
          <w:p w14:paraId="695DA193" w14:textId="7E91CAF2" w:rsidR="00785CBF" w:rsidRDefault="00785CBF" w:rsidP="00785CBF">
            <w:pPr>
              <w:jc w:val="right"/>
            </w:pPr>
            <w:r>
              <w:t>236</w:t>
            </w:r>
          </w:p>
        </w:tc>
        <w:tc>
          <w:tcPr>
            <w:tcW w:w="0" w:type="auto"/>
          </w:tcPr>
          <w:p w14:paraId="480C6D9A" w14:textId="458DFCCB" w:rsidR="00785CBF" w:rsidRDefault="00785CBF" w:rsidP="00785CBF">
            <w:pPr>
              <w:jc w:val="right"/>
            </w:pPr>
            <w:r>
              <w:t>2,212</w:t>
            </w:r>
          </w:p>
        </w:tc>
        <w:tc>
          <w:tcPr>
            <w:tcW w:w="0" w:type="auto"/>
          </w:tcPr>
          <w:p w14:paraId="1FD587B0" w14:textId="617473A0" w:rsidR="00785CBF" w:rsidRDefault="00785CBF" w:rsidP="00785CBF">
            <w:pPr>
              <w:jc w:val="right"/>
            </w:pPr>
            <w:r>
              <w:t>1</w:t>
            </w:r>
            <w:r w:rsidR="009345E0">
              <w:t>1</w:t>
            </w:r>
            <w:r>
              <w:t>%</w:t>
            </w:r>
          </w:p>
        </w:tc>
        <w:tc>
          <w:tcPr>
            <w:tcW w:w="0" w:type="auto"/>
          </w:tcPr>
          <w:p w14:paraId="08A5D13D" w14:textId="79A7395C" w:rsidR="00785CBF" w:rsidRDefault="00785CBF" w:rsidP="00785CBF">
            <w:pPr>
              <w:jc w:val="right"/>
            </w:pPr>
            <w:r>
              <w:t>Out of Scope</w:t>
            </w:r>
          </w:p>
        </w:tc>
      </w:tr>
      <w:tr w:rsidR="00785CBF" w14:paraId="3C9963AD" w14:textId="5C58CAA1" w:rsidTr="00785CBF">
        <w:trPr>
          <w:jc w:val="center"/>
        </w:trPr>
        <w:tc>
          <w:tcPr>
            <w:tcW w:w="0" w:type="auto"/>
          </w:tcPr>
          <w:p w14:paraId="2141BC61" w14:textId="41862C4E" w:rsidR="00785CBF" w:rsidRDefault="00785CBF" w:rsidP="00A003E8">
            <w:pPr>
              <w:jc w:val="both"/>
            </w:pPr>
            <w:r>
              <w:t>Whole Group</w:t>
            </w:r>
          </w:p>
        </w:tc>
        <w:tc>
          <w:tcPr>
            <w:tcW w:w="0" w:type="auto"/>
          </w:tcPr>
          <w:p w14:paraId="71E4A7F5" w14:textId="05D670FF" w:rsidR="00785CBF" w:rsidRDefault="00785CBF" w:rsidP="00785CBF">
            <w:pPr>
              <w:jc w:val="right"/>
            </w:pPr>
            <w:r>
              <w:t>236</w:t>
            </w:r>
          </w:p>
        </w:tc>
        <w:tc>
          <w:tcPr>
            <w:tcW w:w="0" w:type="auto"/>
          </w:tcPr>
          <w:p w14:paraId="6C0C5039" w14:textId="59192AB5" w:rsidR="00785CBF" w:rsidRDefault="00785CBF" w:rsidP="00785CBF">
            <w:pPr>
              <w:jc w:val="right"/>
            </w:pPr>
            <w:r>
              <w:t>3,113</w:t>
            </w:r>
          </w:p>
        </w:tc>
        <w:tc>
          <w:tcPr>
            <w:tcW w:w="0" w:type="auto"/>
          </w:tcPr>
          <w:p w14:paraId="2F6E7C0A" w14:textId="0B5EEF21" w:rsidR="00785CBF" w:rsidRDefault="009345E0" w:rsidP="00785CBF">
            <w:pPr>
              <w:jc w:val="right"/>
            </w:pPr>
            <w:r>
              <w:t>8</w:t>
            </w:r>
            <w:r w:rsidR="00785CBF">
              <w:t>%</w:t>
            </w:r>
          </w:p>
        </w:tc>
        <w:tc>
          <w:tcPr>
            <w:tcW w:w="0" w:type="auto"/>
          </w:tcPr>
          <w:p w14:paraId="5562688A" w14:textId="488CF93A" w:rsidR="00785CBF" w:rsidRDefault="00785CBF" w:rsidP="00785CBF">
            <w:pPr>
              <w:jc w:val="right"/>
            </w:pPr>
            <w:r>
              <w:t>Out of Scope</w:t>
            </w:r>
          </w:p>
        </w:tc>
      </w:tr>
      <w:tr w:rsidR="003D5E01" w14:paraId="7E3D4193" w14:textId="77777777" w:rsidTr="006F751F">
        <w:trPr>
          <w:jc w:val="center"/>
        </w:trPr>
        <w:tc>
          <w:tcPr>
            <w:tcW w:w="0" w:type="auto"/>
            <w:gridSpan w:val="5"/>
          </w:tcPr>
          <w:p w14:paraId="3A8AE9EF" w14:textId="7CA0D823" w:rsidR="003D5E01" w:rsidRPr="003D5E01" w:rsidRDefault="003D5E01" w:rsidP="003D5E01">
            <w:pPr>
              <w:jc w:val="center"/>
              <w:rPr>
                <w:i/>
                <w:iCs/>
                <w:sz w:val="20"/>
                <w:szCs w:val="20"/>
              </w:rPr>
            </w:pPr>
            <w:r w:rsidRPr="003D5E01">
              <w:rPr>
                <w:i/>
                <w:iCs/>
                <w:sz w:val="20"/>
                <w:szCs w:val="20"/>
              </w:rPr>
              <w:t xml:space="preserve">Note Ceded Reserve </w:t>
            </w:r>
            <w:r w:rsidR="009B1564">
              <w:rPr>
                <w:i/>
                <w:iCs/>
                <w:sz w:val="20"/>
                <w:szCs w:val="20"/>
              </w:rPr>
              <w:t xml:space="preserve">Amount </w:t>
            </w:r>
            <w:r w:rsidRPr="003D5E01">
              <w:rPr>
                <w:i/>
                <w:iCs/>
                <w:sz w:val="20"/>
                <w:szCs w:val="20"/>
              </w:rPr>
              <w:t>does not include the Overcollateralization Trust Amount.</w:t>
            </w:r>
          </w:p>
        </w:tc>
      </w:tr>
    </w:tbl>
    <w:p w14:paraId="6B9E542F" w14:textId="77777777" w:rsidR="003D5E01" w:rsidRDefault="003D5E01" w:rsidP="00A003E8">
      <w:pPr>
        <w:spacing w:after="0" w:line="240" w:lineRule="auto"/>
        <w:jc w:val="both"/>
      </w:pPr>
    </w:p>
    <w:p w14:paraId="2E3FBD3A" w14:textId="33242E87" w:rsidR="00F00AD7" w:rsidRDefault="003D5E01" w:rsidP="00A003E8">
      <w:pPr>
        <w:spacing w:after="0" w:line="240" w:lineRule="auto"/>
        <w:jc w:val="both"/>
      </w:pPr>
      <w:r>
        <w:t>The l</w:t>
      </w:r>
      <w:r w:rsidR="0078655E">
        <w:t>argest entity is in one domicile state and current entity is in another.</w:t>
      </w:r>
      <w:r w:rsidR="00B32A02">
        <w:t xml:space="preserve"> We believe exemption must come from the </w:t>
      </w:r>
      <w:r w:rsidR="00B32A02" w:rsidRPr="00B32A02">
        <w:rPr>
          <w:u w:val="single"/>
        </w:rPr>
        <w:t>current</w:t>
      </w:r>
      <w:r w:rsidR="00B32A02">
        <w:t xml:space="preserve"> entity domicile state even if group considerations are mentioned in the case for exemption.</w:t>
      </w:r>
      <w:r w:rsidR="0063492D">
        <w:t xml:space="preserve"> These nuances would be listed in risk information.</w:t>
      </w:r>
      <w:r w:rsidR="00B32A02">
        <w:t xml:space="preserve"> </w:t>
      </w:r>
    </w:p>
    <w:p w14:paraId="5CC0CA21" w14:textId="2A611D19" w:rsidR="00A003E8" w:rsidRDefault="00A003E8" w:rsidP="00A003E8">
      <w:pPr>
        <w:spacing w:after="0" w:line="240" w:lineRule="auto"/>
        <w:jc w:val="both"/>
        <w:rPr>
          <w:u w:val="single"/>
        </w:rPr>
      </w:pPr>
      <w:r w:rsidRPr="00A003E8">
        <w:rPr>
          <w:u w:val="single"/>
        </w:rPr>
        <w:lastRenderedPageBreak/>
        <w:t>Slide 6: Counterparty Portfolio and Assumptions</w:t>
      </w:r>
    </w:p>
    <w:p w14:paraId="4F847D7D" w14:textId="6BC0BA7F" w:rsidR="00A003E8" w:rsidRDefault="00744485" w:rsidP="00A003E8">
      <w:pPr>
        <w:spacing w:after="0" w:line="240" w:lineRule="auto"/>
        <w:jc w:val="both"/>
      </w:pPr>
      <w:r>
        <w:t>O</w:t>
      </w:r>
      <w:r w:rsidR="00A003E8">
        <w:t>nly complete</w:t>
      </w:r>
      <w:r>
        <w:t>d</w:t>
      </w:r>
      <w:r w:rsidR="00A003E8">
        <w:t xml:space="preserve"> if cash-flow testing is being performed. Most of these assumptions the reinsurer will not provide, so </w:t>
      </w:r>
      <w:r>
        <w:t xml:space="preserve">any assumptions listed </w:t>
      </w:r>
      <w:r w:rsidR="00A003E8">
        <w:t>will either be a clone of the ceding company assumptions or some best effort estimation.</w:t>
      </w:r>
      <w:r w:rsidR="009B1564">
        <w:t xml:space="preserve"> </w:t>
      </w:r>
    </w:p>
    <w:p w14:paraId="2E7F7008" w14:textId="77777777" w:rsidR="00C319C4" w:rsidRDefault="00C319C4" w:rsidP="00A003E8">
      <w:pPr>
        <w:spacing w:after="0" w:line="240" w:lineRule="auto"/>
        <w:jc w:val="both"/>
      </w:pPr>
    </w:p>
    <w:p w14:paraId="5AB05641" w14:textId="0147B956" w:rsidR="00A003E8" w:rsidRPr="00A003E8" w:rsidRDefault="00A003E8" w:rsidP="00A003E8">
      <w:pPr>
        <w:spacing w:after="0" w:line="240" w:lineRule="auto"/>
        <w:jc w:val="both"/>
        <w:rPr>
          <w:u w:val="single"/>
        </w:rPr>
      </w:pPr>
      <w:r w:rsidRPr="00A003E8">
        <w:rPr>
          <w:u w:val="single"/>
        </w:rPr>
        <w:t>Slide 7: Cash-Flow Testing Results</w:t>
      </w:r>
    </w:p>
    <w:p w14:paraId="41B64A85" w14:textId="6FE24B37" w:rsidR="00A003E8" w:rsidRDefault="00A003E8" w:rsidP="00A003E8">
      <w:pPr>
        <w:spacing w:after="0" w:line="240" w:lineRule="auto"/>
        <w:jc w:val="both"/>
      </w:pPr>
      <w:r>
        <w:t>Only completed if cash-flow testing is performed.</w:t>
      </w:r>
    </w:p>
    <w:p w14:paraId="735F7B9E" w14:textId="77777777" w:rsidR="00A003E8" w:rsidRDefault="00A003E8" w:rsidP="00A003E8">
      <w:pPr>
        <w:spacing w:after="0" w:line="240" w:lineRule="auto"/>
        <w:jc w:val="both"/>
      </w:pPr>
    </w:p>
    <w:p w14:paraId="41197B35" w14:textId="61AB0301" w:rsidR="00A003E8" w:rsidRDefault="00A003E8" w:rsidP="00A003E8">
      <w:pPr>
        <w:spacing w:after="0" w:line="240" w:lineRule="auto"/>
        <w:jc w:val="both"/>
        <w:rPr>
          <w:u w:val="single"/>
        </w:rPr>
      </w:pPr>
      <w:r w:rsidRPr="00A003E8">
        <w:rPr>
          <w:u w:val="single"/>
        </w:rPr>
        <w:t>Slide 8: Attribution Analys of Any Reserve Decrease</w:t>
      </w:r>
    </w:p>
    <w:p w14:paraId="425FF9D4" w14:textId="5BA7D0CE" w:rsidR="00A003E8" w:rsidRDefault="00A003E8" w:rsidP="00A003E8">
      <w:pPr>
        <w:spacing w:after="0" w:line="240" w:lineRule="auto"/>
        <w:jc w:val="both"/>
      </w:pPr>
      <w:r>
        <w:t xml:space="preserve">This is in the wrong place in terms of </w:t>
      </w:r>
      <w:r w:rsidR="00744485">
        <w:t xml:space="preserve">template </w:t>
      </w:r>
      <w:r>
        <w:t xml:space="preserve">order. It can be completed without cash-flow testing having been performed. It is simple for the situation where the Pre-Reinsurance Reserve is equal to the </w:t>
      </w:r>
      <w:r w:rsidR="0049278B">
        <w:t>Post-Reinsurance Reserve.</w:t>
      </w:r>
    </w:p>
    <w:p w14:paraId="02EB78D6" w14:textId="77777777" w:rsidR="0049278B" w:rsidRDefault="0049278B" w:rsidP="00A003E8">
      <w:pPr>
        <w:spacing w:after="0" w:line="240" w:lineRule="auto"/>
        <w:jc w:val="both"/>
      </w:pPr>
    </w:p>
    <w:p w14:paraId="4C2F4693" w14:textId="451B8332" w:rsidR="0049278B" w:rsidRDefault="0049278B" w:rsidP="00A003E8">
      <w:pPr>
        <w:spacing w:after="0" w:line="240" w:lineRule="auto"/>
        <w:jc w:val="both"/>
      </w:pPr>
      <w:r>
        <w:t xml:space="preserve">The right place for this in </w:t>
      </w:r>
      <w:r w:rsidR="00C319C4">
        <w:t xml:space="preserve">template </w:t>
      </w:r>
      <w:r>
        <w:t>order is after Slide 5.</w:t>
      </w:r>
    </w:p>
    <w:p w14:paraId="769CA05E" w14:textId="77777777" w:rsidR="0049278B" w:rsidRDefault="0049278B" w:rsidP="00A003E8">
      <w:pPr>
        <w:spacing w:after="0" w:line="240" w:lineRule="auto"/>
        <w:jc w:val="both"/>
      </w:pPr>
    </w:p>
    <w:p w14:paraId="799E2850" w14:textId="4116D03E" w:rsidR="0049278B" w:rsidRPr="0049278B" w:rsidRDefault="0049278B" w:rsidP="00A003E8">
      <w:pPr>
        <w:spacing w:after="0" w:line="240" w:lineRule="auto"/>
        <w:jc w:val="both"/>
        <w:rPr>
          <w:u w:val="single"/>
        </w:rPr>
      </w:pPr>
      <w:r w:rsidRPr="0049278B">
        <w:rPr>
          <w:u w:val="single"/>
        </w:rPr>
        <w:t>Slide 9: Margins in Assumptions</w:t>
      </w:r>
    </w:p>
    <w:p w14:paraId="4641B179" w14:textId="6EFD380C" w:rsidR="0049278B" w:rsidRDefault="0049278B" w:rsidP="00A003E8">
      <w:pPr>
        <w:spacing w:after="0" w:line="240" w:lineRule="auto"/>
        <w:jc w:val="both"/>
      </w:pPr>
      <w:r>
        <w:t>Only completed if cash-flow testing is performed.</w:t>
      </w:r>
      <w:r w:rsidR="00744485">
        <w:t xml:space="preserve"> Possibly more information than is </w:t>
      </w:r>
      <w:r w:rsidR="00A62700">
        <w:t>useful</w:t>
      </w:r>
      <w:r w:rsidR="00C319C4">
        <w:t xml:space="preserve"> to anyone</w:t>
      </w:r>
      <w:r w:rsidR="00A62700">
        <w:t>.</w:t>
      </w:r>
    </w:p>
    <w:p w14:paraId="0FF345D4" w14:textId="77777777" w:rsidR="00961C06" w:rsidRDefault="00961C06" w:rsidP="00A003E8">
      <w:pPr>
        <w:spacing w:after="0" w:line="240" w:lineRule="auto"/>
        <w:jc w:val="both"/>
      </w:pPr>
    </w:p>
    <w:sectPr w:rsidR="00961C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E6F6" w14:textId="77777777" w:rsidR="00A003E8" w:rsidRDefault="00A003E8" w:rsidP="00A003E8">
      <w:pPr>
        <w:spacing w:after="0" w:line="240" w:lineRule="auto"/>
      </w:pPr>
      <w:r>
        <w:separator/>
      </w:r>
    </w:p>
  </w:endnote>
  <w:endnote w:type="continuationSeparator" w:id="0">
    <w:p w14:paraId="0B8FD838" w14:textId="77777777" w:rsidR="00A003E8" w:rsidRDefault="00A003E8" w:rsidP="00A0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0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64058" w14:textId="6428B3EC" w:rsidR="00A003E8" w:rsidRDefault="00A00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66EB4" w14:textId="77777777" w:rsidR="00A003E8" w:rsidRDefault="00A00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731F" w14:textId="77777777" w:rsidR="00A003E8" w:rsidRDefault="00A003E8" w:rsidP="00A003E8">
      <w:pPr>
        <w:spacing w:after="0" w:line="240" w:lineRule="auto"/>
      </w:pPr>
      <w:r>
        <w:separator/>
      </w:r>
    </w:p>
  </w:footnote>
  <w:footnote w:type="continuationSeparator" w:id="0">
    <w:p w14:paraId="3002AC65" w14:textId="77777777" w:rsidR="00A003E8" w:rsidRDefault="00A003E8" w:rsidP="00A0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2D60" w14:textId="08B142FD" w:rsidR="00A003E8" w:rsidRDefault="00A003E8">
    <w:pPr>
      <w:pStyle w:val="Header"/>
      <w:jc w:val="right"/>
    </w:pPr>
  </w:p>
  <w:p w14:paraId="5DFDBE5A" w14:textId="77777777" w:rsidR="00A003E8" w:rsidRDefault="00A00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E1026"/>
    <w:multiLevelType w:val="hybridMultilevel"/>
    <w:tmpl w:val="70D07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46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D"/>
    <w:rsid w:val="00064B2C"/>
    <w:rsid w:val="0009010F"/>
    <w:rsid w:val="000C6B71"/>
    <w:rsid w:val="001E10F0"/>
    <w:rsid w:val="00372671"/>
    <w:rsid w:val="003D5E01"/>
    <w:rsid w:val="0049278B"/>
    <w:rsid w:val="005156E9"/>
    <w:rsid w:val="005511B9"/>
    <w:rsid w:val="006020B3"/>
    <w:rsid w:val="0063492D"/>
    <w:rsid w:val="0068078A"/>
    <w:rsid w:val="00744485"/>
    <w:rsid w:val="00785CBF"/>
    <w:rsid w:val="0078655E"/>
    <w:rsid w:val="009345E0"/>
    <w:rsid w:val="00961C06"/>
    <w:rsid w:val="009B1564"/>
    <w:rsid w:val="00A003E8"/>
    <w:rsid w:val="00A62700"/>
    <w:rsid w:val="00B00C55"/>
    <w:rsid w:val="00B054AD"/>
    <w:rsid w:val="00B12204"/>
    <w:rsid w:val="00B32A02"/>
    <w:rsid w:val="00B5531B"/>
    <w:rsid w:val="00B83F3B"/>
    <w:rsid w:val="00C319C4"/>
    <w:rsid w:val="00D22091"/>
    <w:rsid w:val="00D9741C"/>
    <w:rsid w:val="00E33A99"/>
    <w:rsid w:val="00E970F5"/>
    <w:rsid w:val="00F00AD7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165A"/>
  <w15:chartTrackingRefBased/>
  <w15:docId w15:val="{7E5C710C-4BDB-459C-AB10-620D5FF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4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3E8"/>
  </w:style>
  <w:style w:type="paragraph" w:styleId="Footer">
    <w:name w:val="footer"/>
    <w:basedOn w:val="Normal"/>
    <w:link w:val="FooterChar"/>
    <w:uiPriority w:val="99"/>
    <w:unhideWhenUsed/>
    <w:rsid w:val="00A0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E8"/>
  </w:style>
  <w:style w:type="table" w:styleId="TableGrid">
    <w:name w:val="Table Grid"/>
    <w:basedOn w:val="TableNormal"/>
    <w:uiPriority w:val="39"/>
    <w:rsid w:val="00F0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2025-09-04T16:46:36+00:00</_EndDate>
    <StartDate xmlns="http://schemas.microsoft.com/sharepoint/v3">2025-09-04T16:46:36+00:00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E6C6F941-32C8-4135-9FD0-D0FACCB6749C}"/>
</file>

<file path=customXml/itemProps2.xml><?xml version="1.0" encoding="utf-8"?>
<ds:datastoreItem xmlns:ds="http://schemas.openxmlformats.org/officeDocument/2006/customXml" ds:itemID="{F266FC4F-18B5-4F85-84C3-718D77A8D2C9}"/>
</file>

<file path=customXml/itemProps3.xml><?xml version="1.0" encoding="utf-8"?>
<ds:datastoreItem xmlns:ds="http://schemas.openxmlformats.org/officeDocument/2006/customXml" ds:itemID="{5DB49B7A-9CE2-4D9E-9D91-2D4B13EDE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Blocher</dc:creator>
  <cp:keywords/>
  <dc:description/>
  <cp:lastModifiedBy>John Blocher</cp:lastModifiedBy>
  <cp:revision>14</cp:revision>
  <dcterms:created xsi:type="dcterms:W3CDTF">2025-08-26T14:26:00Z</dcterms:created>
  <dcterms:modified xsi:type="dcterms:W3CDTF">2025-09-04T16:23:00Z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