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70"/>
      </w:tblGrid>
      <w:tr w:rsidR="00CF1FC4" w:rsidRPr="005E1AC7" w14:paraId="72127CE0" w14:textId="77777777" w:rsidTr="00760363">
        <w:tc>
          <w:tcPr>
            <w:tcW w:w="1080" w:type="dxa"/>
            <w:tcMar>
              <w:left w:w="0" w:type="dxa"/>
              <w:right w:w="115" w:type="dxa"/>
            </w:tcMar>
          </w:tcPr>
          <w:p w14:paraId="1DD2B5B7" w14:textId="77777777" w:rsidR="00CF1FC4" w:rsidRPr="005E1AC7" w:rsidRDefault="00CF1FC4" w:rsidP="00CF1FC4">
            <w:pPr>
              <w:pStyle w:val="Memoaddress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E1AC7">
              <w:rPr>
                <w:rFonts w:asciiTheme="majorHAnsi" w:hAnsiTheme="majorHAnsi" w:cstheme="majorHAnsi"/>
                <w:b/>
                <w:bCs/>
                <w:szCs w:val="20"/>
              </w:rPr>
              <w:t>To:</w:t>
            </w:r>
          </w:p>
        </w:tc>
        <w:tc>
          <w:tcPr>
            <w:tcW w:w="8270" w:type="dxa"/>
          </w:tcPr>
          <w:p w14:paraId="3791DE86" w14:textId="22EC2F21" w:rsidR="00CF1FC4" w:rsidRPr="005E1AC7" w:rsidRDefault="001E0789" w:rsidP="00CF1FC4">
            <w:pPr>
              <w:pStyle w:val="Memoaddress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Scott O’Neal</w:t>
            </w:r>
          </w:p>
        </w:tc>
      </w:tr>
      <w:tr w:rsidR="00CF1FC4" w:rsidRPr="005E1AC7" w14:paraId="3280FD48" w14:textId="77777777" w:rsidTr="00760363">
        <w:tc>
          <w:tcPr>
            <w:tcW w:w="1080" w:type="dxa"/>
            <w:tcMar>
              <w:left w:w="0" w:type="dxa"/>
              <w:right w:w="115" w:type="dxa"/>
            </w:tcMar>
          </w:tcPr>
          <w:p w14:paraId="4A4D9CC1" w14:textId="77777777" w:rsidR="00CF1FC4" w:rsidRPr="005E1AC7" w:rsidRDefault="00CF1FC4" w:rsidP="00CF1FC4">
            <w:pPr>
              <w:pStyle w:val="Memoaddress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E1AC7">
              <w:rPr>
                <w:rFonts w:asciiTheme="majorHAnsi" w:hAnsiTheme="majorHAnsi" w:cstheme="majorHAnsi"/>
                <w:b/>
                <w:bCs/>
                <w:szCs w:val="20"/>
              </w:rPr>
              <w:t>From:</w:t>
            </w:r>
          </w:p>
        </w:tc>
        <w:tc>
          <w:tcPr>
            <w:tcW w:w="8270" w:type="dxa"/>
          </w:tcPr>
          <w:p w14:paraId="1E8369DD" w14:textId="2F2E9A64" w:rsidR="00CF1FC4" w:rsidRPr="005E1AC7" w:rsidRDefault="000A006A" w:rsidP="00CF1FC4">
            <w:pPr>
              <w:pStyle w:val="Memoaddress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LIMRA</w:t>
            </w:r>
          </w:p>
        </w:tc>
      </w:tr>
      <w:tr w:rsidR="00CF1FC4" w:rsidRPr="005E1AC7" w14:paraId="3922A70D" w14:textId="77777777" w:rsidTr="00760363">
        <w:tc>
          <w:tcPr>
            <w:tcW w:w="1080" w:type="dxa"/>
            <w:tcMar>
              <w:left w:w="0" w:type="dxa"/>
              <w:right w:w="115" w:type="dxa"/>
            </w:tcMar>
          </w:tcPr>
          <w:p w14:paraId="19817D43" w14:textId="77777777" w:rsidR="00CF1FC4" w:rsidRPr="005E1AC7" w:rsidRDefault="00CF1FC4" w:rsidP="00CF1FC4">
            <w:pPr>
              <w:pStyle w:val="Memoaddress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E1AC7">
              <w:rPr>
                <w:rFonts w:asciiTheme="majorHAnsi" w:hAnsiTheme="majorHAnsi" w:cstheme="majorHAnsi"/>
                <w:b/>
                <w:bCs/>
                <w:szCs w:val="20"/>
              </w:rPr>
              <w:t>Date:</w:t>
            </w:r>
          </w:p>
        </w:tc>
        <w:tc>
          <w:tcPr>
            <w:tcW w:w="8270" w:type="dxa"/>
          </w:tcPr>
          <w:p w14:paraId="17AF3F78" w14:textId="138597C2" w:rsidR="00CF1FC4" w:rsidRPr="005E1AC7" w:rsidRDefault="00574F22" w:rsidP="00CF1FC4">
            <w:pPr>
              <w:pStyle w:val="Memoaddress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May 8, 2024</w:t>
            </w:r>
          </w:p>
        </w:tc>
      </w:tr>
      <w:tr w:rsidR="00CF1FC4" w:rsidRPr="005E1AC7" w14:paraId="4E45DEBA" w14:textId="77777777" w:rsidTr="00574F22">
        <w:trPr>
          <w:trHeight w:val="432"/>
        </w:trPr>
        <w:tc>
          <w:tcPr>
            <w:tcW w:w="1080" w:type="dxa"/>
            <w:tcMar>
              <w:left w:w="0" w:type="dxa"/>
              <w:right w:w="115" w:type="dxa"/>
            </w:tcMar>
          </w:tcPr>
          <w:p w14:paraId="016F6A01" w14:textId="77777777" w:rsidR="00CF1FC4" w:rsidRPr="005E1AC7" w:rsidRDefault="00CF1FC4" w:rsidP="00CF1FC4">
            <w:pPr>
              <w:pStyle w:val="Memoaddress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E1AC7">
              <w:rPr>
                <w:rFonts w:asciiTheme="majorHAnsi" w:hAnsiTheme="majorHAnsi" w:cstheme="majorHAnsi"/>
                <w:b/>
                <w:bCs/>
                <w:szCs w:val="20"/>
              </w:rPr>
              <w:t>Subject:</w:t>
            </w:r>
          </w:p>
        </w:tc>
        <w:tc>
          <w:tcPr>
            <w:tcW w:w="8270" w:type="dxa"/>
          </w:tcPr>
          <w:p w14:paraId="2A425865" w14:textId="0BE7FE40" w:rsidR="00CF1FC4" w:rsidRPr="005E1AC7" w:rsidRDefault="00574F22" w:rsidP="00CF1FC4">
            <w:pPr>
              <w:pStyle w:val="Memoaddress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Comments on Exposure of APF 2024-07</w:t>
            </w:r>
          </w:p>
        </w:tc>
      </w:tr>
    </w:tbl>
    <w:p w14:paraId="15EAFF93" w14:textId="77777777" w:rsidR="00A952D2" w:rsidRPr="005E1AC7" w:rsidRDefault="00A952D2" w:rsidP="00A952D2">
      <w:pPr>
        <w:rPr>
          <w:rFonts w:asciiTheme="majorHAnsi" w:hAnsiTheme="majorHAnsi" w:cstheme="majorHAnsi"/>
          <w:szCs w:val="20"/>
        </w:rPr>
      </w:pPr>
    </w:p>
    <w:p w14:paraId="0B50EE7C" w14:textId="04DB15E2" w:rsidR="001E0789" w:rsidRPr="005E1AC7" w:rsidRDefault="001E0789" w:rsidP="00574F22">
      <w:pPr>
        <w:pStyle w:val="elementtoproof"/>
        <w:rPr>
          <w:rFonts w:asciiTheme="majorHAnsi" w:hAnsiTheme="majorHAnsi" w:cstheme="majorHAnsi"/>
          <w:color w:val="000000"/>
          <w:sz w:val="20"/>
          <w:szCs w:val="20"/>
        </w:rPr>
      </w:pPr>
      <w:r w:rsidRPr="005E1AC7">
        <w:rPr>
          <w:rFonts w:asciiTheme="majorHAnsi" w:hAnsiTheme="majorHAnsi" w:cstheme="majorHAnsi"/>
          <w:color w:val="000000"/>
          <w:sz w:val="20"/>
          <w:szCs w:val="20"/>
        </w:rPr>
        <w:t xml:space="preserve">The </w:t>
      </w:r>
      <w:r w:rsidR="00574F22" w:rsidRPr="005E1AC7">
        <w:rPr>
          <w:rFonts w:asciiTheme="majorHAnsi" w:hAnsiTheme="majorHAnsi" w:cstheme="majorHAnsi"/>
          <w:color w:val="000000"/>
          <w:sz w:val="20"/>
          <w:szCs w:val="20"/>
        </w:rPr>
        <w:t>Variable Annuities Capital and Reserve Subgroup (VACRSG)</w:t>
      </w:r>
      <w:r w:rsidRPr="005E1AC7">
        <w:rPr>
          <w:rFonts w:asciiTheme="majorHAnsi" w:hAnsiTheme="majorHAnsi" w:cstheme="majorHAnsi"/>
          <w:color w:val="000000"/>
          <w:sz w:val="20"/>
          <w:szCs w:val="20"/>
        </w:rPr>
        <w:t xml:space="preserve"> has requested comments by </w:t>
      </w:r>
      <w:r w:rsidR="00574F22" w:rsidRPr="005E1AC7">
        <w:rPr>
          <w:rFonts w:asciiTheme="majorHAnsi" w:hAnsiTheme="majorHAnsi" w:cstheme="majorHAnsi"/>
          <w:color w:val="000000"/>
          <w:sz w:val="20"/>
          <w:szCs w:val="20"/>
        </w:rPr>
        <w:t xml:space="preserve">May 9, </w:t>
      </w:r>
      <w:r w:rsidR="00E8373B">
        <w:rPr>
          <w:rFonts w:asciiTheme="majorHAnsi" w:hAnsiTheme="majorHAnsi" w:cstheme="majorHAnsi"/>
          <w:color w:val="000000"/>
          <w:sz w:val="20"/>
          <w:szCs w:val="20"/>
        </w:rPr>
        <w:t>2024,</w:t>
      </w:r>
      <w:r w:rsidR="006D6889">
        <w:rPr>
          <w:rFonts w:asciiTheme="majorHAnsi" w:hAnsiTheme="majorHAnsi" w:cstheme="majorHAnsi"/>
          <w:color w:val="000000"/>
          <w:sz w:val="20"/>
          <w:szCs w:val="20"/>
        </w:rPr>
        <w:t xml:space="preserve"> regarding</w:t>
      </w:r>
      <w:r w:rsidR="00574F22" w:rsidRPr="005E1AC7">
        <w:rPr>
          <w:rFonts w:asciiTheme="majorHAnsi" w:hAnsiTheme="majorHAnsi" w:cstheme="majorHAnsi"/>
          <w:color w:val="000000"/>
          <w:sz w:val="20"/>
          <w:szCs w:val="20"/>
        </w:rPr>
        <w:t xml:space="preserve"> the exposure of APF 2024-07 – Updates to the VM21 SPA assumptions.</w:t>
      </w:r>
    </w:p>
    <w:p w14:paraId="7ECEAB32" w14:textId="77777777" w:rsidR="00A952D2" w:rsidRPr="005E1AC7" w:rsidRDefault="00A952D2" w:rsidP="00A952D2">
      <w:pPr>
        <w:pBdr>
          <w:bottom w:val="single" w:sz="12" w:space="1" w:color="auto"/>
        </w:pBdr>
        <w:rPr>
          <w:rFonts w:asciiTheme="majorHAnsi" w:hAnsiTheme="majorHAnsi" w:cstheme="majorHAnsi"/>
          <w:szCs w:val="20"/>
        </w:rPr>
      </w:pPr>
    </w:p>
    <w:p w14:paraId="3750CF05" w14:textId="7ADFEC51" w:rsidR="00EB6126" w:rsidRPr="005E1AC7" w:rsidRDefault="000A006A" w:rsidP="00EB6126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LIMRA </w:t>
      </w:r>
      <w:r w:rsidR="00EB6126" w:rsidRPr="005E1AC7">
        <w:rPr>
          <w:rFonts w:asciiTheme="majorHAnsi" w:hAnsiTheme="majorHAnsi" w:cstheme="majorHAnsi"/>
          <w:szCs w:val="20"/>
        </w:rPr>
        <w:t xml:space="preserve">respectfully submits these comments to the </w:t>
      </w:r>
      <w:r w:rsidR="00574F22" w:rsidRPr="005E1AC7">
        <w:rPr>
          <w:rFonts w:asciiTheme="majorHAnsi" w:hAnsiTheme="majorHAnsi" w:cstheme="majorHAnsi"/>
          <w:color w:val="000000"/>
          <w:szCs w:val="20"/>
        </w:rPr>
        <w:t>VACRSG</w:t>
      </w:r>
      <w:r w:rsidR="00574F22" w:rsidRPr="005E1AC7">
        <w:rPr>
          <w:rFonts w:asciiTheme="majorHAnsi" w:hAnsiTheme="majorHAnsi" w:cstheme="majorHAnsi"/>
          <w:szCs w:val="20"/>
        </w:rPr>
        <w:t xml:space="preserve"> </w:t>
      </w:r>
      <w:r w:rsidR="00EB6126" w:rsidRPr="005E1AC7">
        <w:rPr>
          <w:rFonts w:asciiTheme="majorHAnsi" w:hAnsiTheme="majorHAnsi" w:cstheme="majorHAnsi"/>
          <w:szCs w:val="20"/>
        </w:rPr>
        <w:t xml:space="preserve">of the National Association of Insurance Commissioners (NAIC) </w:t>
      </w:r>
      <w:r w:rsidRPr="005E1AC7">
        <w:rPr>
          <w:rFonts w:asciiTheme="majorHAnsi" w:hAnsiTheme="majorHAnsi" w:cstheme="majorHAnsi"/>
          <w:szCs w:val="20"/>
        </w:rPr>
        <w:t>in response to this request.</w:t>
      </w:r>
    </w:p>
    <w:p w14:paraId="62179A80" w14:textId="47C2AE5D" w:rsidR="00EB6126" w:rsidRPr="005E1AC7" w:rsidRDefault="006D6889" w:rsidP="00EB6126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The</w:t>
      </w:r>
      <w:r w:rsidR="00574F22" w:rsidRPr="005E1AC7">
        <w:rPr>
          <w:rFonts w:asciiTheme="majorHAnsi" w:hAnsiTheme="majorHAnsi" w:cstheme="majorHAnsi"/>
          <w:szCs w:val="20"/>
        </w:rPr>
        <w:t xml:space="preserve"> request for comments </w:t>
      </w:r>
      <w:r>
        <w:rPr>
          <w:rFonts w:asciiTheme="majorHAnsi" w:hAnsiTheme="majorHAnsi" w:cstheme="majorHAnsi"/>
          <w:szCs w:val="20"/>
        </w:rPr>
        <w:t xml:space="preserve">included views </w:t>
      </w:r>
      <w:r w:rsidR="00574F22" w:rsidRPr="005E1AC7">
        <w:rPr>
          <w:rFonts w:asciiTheme="majorHAnsi" w:hAnsiTheme="majorHAnsi" w:cstheme="majorHAnsi"/>
          <w:szCs w:val="20"/>
        </w:rPr>
        <w:t xml:space="preserve">on whether the </w:t>
      </w:r>
      <w:proofErr w:type="gramStart"/>
      <w:r w:rsidR="00574F22" w:rsidRPr="005E1AC7">
        <w:rPr>
          <w:rFonts w:asciiTheme="majorHAnsi" w:hAnsiTheme="majorHAnsi" w:cstheme="majorHAnsi"/>
          <w:szCs w:val="20"/>
        </w:rPr>
        <w:t>entire set</w:t>
      </w:r>
      <w:proofErr w:type="gramEnd"/>
      <w:r w:rsidR="00574F22" w:rsidRPr="005E1AC7">
        <w:rPr>
          <w:rFonts w:asciiTheme="majorHAnsi" w:hAnsiTheme="majorHAnsi" w:cstheme="majorHAnsi"/>
          <w:szCs w:val="20"/>
        </w:rPr>
        <w:t xml:space="preserve"> of assumptions including mortality, expense and surrender should be considered for adoption.  </w:t>
      </w:r>
    </w:p>
    <w:p w14:paraId="72EB0A34" w14:textId="77777777" w:rsidR="006D6889" w:rsidRDefault="00574F22" w:rsidP="000604AE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We would like to provide some </w:t>
      </w:r>
      <w:r w:rsidR="000604AE" w:rsidRPr="005E1AC7">
        <w:rPr>
          <w:rFonts w:asciiTheme="majorHAnsi" w:hAnsiTheme="majorHAnsi" w:cstheme="majorHAnsi"/>
          <w:szCs w:val="20"/>
        </w:rPr>
        <w:t xml:space="preserve">recent data </w:t>
      </w:r>
      <w:r w:rsidRPr="005E1AC7">
        <w:rPr>
          <w:rFonts w:asciiTheme="majorHAnsi" w:hAnsiTheme="majorHAnsi" w:cstheme="majorHAnsi"/>
          <w:szCs w:val="20"/>
        </w:rPr>
        <w:t>regarding</w:t>
      </w:r>
      <w:r w:rsidR="000604AE" w:rsidRPr="005E1AC7">
        <w:rPr>
          <w:rFonts w:asciiTheme="majorHAnsi" w:hAnsiTheme="majorHAnsi" w:cstheme="majorHAnsi"/>
          <w:szCs w:val="20"/>
        </w:rPr>
        <w:t xml:space="preserve"> </w:t>
      </w:r>
      <w:r w:rsidRPr="005E1AC7">
        <w:rPr>
          <w:rFonts w:asciiTheme="majorHAnsi" w:hAnsiTheme="majorHAnsi" w:cstheme="majorHAnsi"/>
          <w:szCs w:val="20"/>
        </w:rPr>
        <w:t>full surrender</w:t>
      </w:r>
      <w:r w:rsidR="000604AE" w:rsidRPr="005E1AC7">
        <w:rPr>
          <w:rFonts w:asciiTheme="majorHAnsi" w:hAnsiTheme="majorHAnsi" w:cstheme="majorHAnsi"/>
          <w:szCs w:val="20"/>
        </w:rPr>
        <w:t xml:space="preserve"> activity</w:t>
      </w:r>
      <w:r w:rsidRPr="005E1AC7">
        <w:rPr>
          <w:rFonts w:asciiTheme="majorHAnsi" w:hAnsiTheme="majorHAnsi" w:cstheme="majorHAnsi"/>
          <w:szCs w:val="20"/>
        </w:rPr>
        <w:t xml:space="preserve"> </w:t>
      </w:r>
      <w:r w:rsidR="000604AE" w:rsidRPr="005E1AC7">
        <w:rPr>
          <w:rFonts w:asciiTheme="majorHAnsi" w:hAnsiTheme="majorHAnsi" w:cstheme="majorHAnsi"/>
          <w:szCs w:val="20"/>
        </w:rPr>
        <w:t>from</w:t>
      </w:r>
      <w:r w:rsidRPr="005E1AC7">
        <w:rPr>
          <w:rFonts w:asciiTheme="majorHAnsi" w:hAnsiTheme="majorHAnsi" w:cstheme="majorHAnsi"/>
          <w:szCs w:val="20"/>
        </w:rPr>
        <w:t xml:space="preserve"> the most recent Society of Actuaries (SOA)/LIMRA</w:t>
      </w:r>
      <w:r w:rsidR="006D6889">
        <w:rPr>
          <w:rFonts w:asciiTheme="majorHAnsi" w:hAnsiTheme="majorHAnsi" w:cstheme="majorHAnsi"/>
          <w:szCs w:val="20"/>
        </w:rPr>
        <w:t xml:space="preserve"> industry </w:t>
      </w:r>
      <w:r w:rsidRPr="005E1AC7">
        <w:rPr>
          <w:rFonts w:asciiTheme="majorHAnsi" w:hAnsiTheme="majorHAnsi" w:cstheme="majorHAnsi"/>
          <w:szCs w:val="20"/>
        </w:rPr>
        <w:t>experience analysis of contract holder behavior for variable annuity contracts</w:t>
      </w:r>
      <w:proofErr w:type="gramStart"/>
      <w:r w:rsidR="000604AE" w:rsidRPr="005E1AC7">
        <w:rPr>
          <w:rFonts w:asciiTheme="majorHAnsi" w:hAnsiTheme="majorHAnsi" w:cstheme="majorHAnsi"/>
          <w:szCs w:val="20"/>
        </w:rPr>
        <w:t xml:space="preserve">.  </w:t>
      </w:r>
      <w:proofErr w:type="gramEnd"/>
      <w:r w:rsidR="000604AE" w:rsidRPr="005E1AC7">
        <w:rPr>
          <w:rFonts w:asciiTheme="majorHAnsi" w:hAnsiTheme="majorHAnsi" w:cstheme="majorHAnsi"/>
          <w:szCs w:val="20"/>
        </w:rPr>
        <w:t xml:space="preserve">This may be helpful to the subgroup in determining whether all </w:t>
      </w:r>
      <w:proofErr w:type="gramStart"/>
      <w:r w:rsidR="000604AE" w:rsidRPr="005E1AC7">
        <w:rPr>
          <w:rFonts w:asciiTheme="majorHAnsi" w:hAnsiTheme="majorHAnsi" w:cstheme="majorHAnsi"/>
          <w:szCs w:val="20"/>
        </w:rPr>
        <w:t>3</w:t>
      </w:r>
      <w:proofErr w:type="gramEnd"/>
      <w:r w:rsidR="000604AE" w:rsidRPr="005E1AC7">
        <w:rPr>
          <w:rFonts w:asciiTheme="majorHAnsi" w:hAnsiTheme="majorHAnsi" w:cstheme="majorHAnsi"/>
          <w:szCs w:val="20"/>
        </w:rPr>
        <w:t xml:space="preserve"> assumptions should be included in the current adoption.</w:t>
      </w:r>
      <w:r w:rsidR="006D6889">
        <w:rPr>
          <w:rFonts w:asciiTheme="majorHAnsi" w:hAnsiTheme="majorHAnsi" w:cstheme="majorHAnsi"/>
          <w:szCs w:val="20"/>
        </w:rPr>
        <w:t xml:space="preserve">  </w:t>
      </w:r>
    </w:p>
    <w:p w14:paraId="49A0B5E5" w14:textId="36DFD39D" w:rsidR="00D61C8D" w:rsidRPr="005E1AC7" w:rsidRDefault="000604AE" w:rsidP="000604AE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The proposed VM21 standard assumption for full surrenders found in VM-21 Section 6.C.6 </w:t>
      </w:r>
      <w:r w:rsidR="006D6889">
        <w:rPr>
          <w:rFonts w:asciiTheme="majorHAnsi" w:hAnsiTheme="majorHAnsi" w:cstheme="majorHAnsi"/>
          <w:szCs w:val="20"/>
        </w:rPr>
        <w:t>– is shown in</w:t>
      </w:r>
      <w:r w:rsidRPr="005E1AC7">
        <w:rPr>
          <w:rFonts w:asciiTheme="majorHAnsi" w:hAnsiTheme="majorHAnsi" w:cstheme="majorHAnsi"/>
          <w:szCs w:val="20"/>
        </w:rPr>
        <w:t xml:space="preserve"> Table 6.3 below</w:t>
      </w:r>
      <w:proofErr w:type="gramStart"/>
      <w:r w:rsidRPr="005E1AC7">
        <w:rPr>
          <w:rFonts w:asciiTheme="majorHAnsi" w:hAnsiTheme="majorHAnsi" w:cstheme="majorHAnsi"/>
          <w:szCs w:val="20"/>
        </w:rPr>
        <w:t xml:space="preserve">.  </w:t>
      </w:r>
      <w:proofErr w:type="gramEnd"/>
    </w:p>
    <w:p w14:paraId="31D7DD44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  <w:r w:rsidRPr="005E1AC7">
        <w:rPr>
          <w:rFonts w:asciiTheme="majorHAnsi" w:hAnsiTheme="majorHAnsi" w:cstheme="majorHAnsi"/>
          <w:b/>
          <w:bCs/>
          <w:szCs w:val="20"/>
        </w:rPr>
        <w:t>VM-21 Section 6.C.6 (Table 6.3 – Standard Table for Full Surrenders)</w:t>
      </w:r>
    </w:p>
    <w:p w14:paraId="415044C8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tbl>
      <w:tblPr>
        <w:tblW w:w="7759" w:type="dxa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430"/>
        <w:gridCol w:w="2340"/>
        <w:gridCol w:w="1819"/>
      </w:tblGrid>
      <w:tr w:rsidR="000604AE" w:rsidRPr="005E1AC7" w14:paraId="2EDBE41F" w14:textId="77777777" w:rsidTr="000F256A">
        <w:trPr>
          <w:trHeight w:hRule="exact" w:val="1513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B86A5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ITM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478D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In surrender charge period, or in policy years 1–3 for contracts without surrender charges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BD5F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First year after the surrender charge period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B47C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Subsequent years, or in policy years </w:t>
            </w:r>
            <w:proofErr w:type="gramStart"/>
            <w:r w:rsidRPr="005E1AC7">
              <w:rPr>
                <w:rFonts w:asciiTheme="majorHAnsi" w:eastAsia="Times New Roman" w:hAnsiTheme="majorHAnsi" w:cstheme="majorHAnsi"/>
                <w:szCs w:val="20"/>
              </w:rPr>
              <w:t>4</w:t>
            </w:r>
            <w:proofErr w:type="gramEnd"/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 and onwards for contracts without surrender charges</w:t>
            </w:r>
          </w:p>
        </w:tc>
      </w:tr>
      <w:tr w:rsidR="000604AE" w:rsidRPr="005E1AC7" w14:paraId="32E701A4" w14:textId="77777777" w:rsidTr="00852491">
        <w:trPr>
          <w:trHeight w:hRule="exact" w:val="46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4264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Under </w:t>
            </w:r>
            <w:proofErr w:type="gramStart"/>
            <w:r w:rsidRPr="005E1AC7">
              <w:rPr>
                <w:rFonts w:asciiTheme="majorHAnsi" w:eastAsia="Times New Roman" w:hAnsiTheme="majorHAnsi" w:cstheme="majorHAnsi"/>
                <w:szCs w:val="20"/>
              </w:rPr>
              <w:t>50</w:t>
            </w:r>
            <w:proofErr w:type="gramEnd"/>
            <w:r w:rsidRPr="005E1AC7">
              <w:rPr>
                <w:rFonts w:asciiTheme="majorHAnsi" w:eastAsia="Times New Roman" w:hAnsiTheme="majorHAnsi" w:cstheme="majorHAnsi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DAF5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4.0%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C0AB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25.0%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4DE4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15.0%</w:t>
            </w:r>
          </w:p>
        </w:tc>
      </w:tr>
      <w:tr w:rsidR="000604AE" w:rsidRPr="005E1AC7" w14:paraId="71E43A5A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B3F0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50–75%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E357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3.0%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62B1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18.0%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ADD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10.0%</w:t>
            </w:r>
          </w:p>
        </w:tc>
      </w:tr>
      <w:tr w:rsidR="000604AE" w:rsidRPr="005E1AC7" w14:paraId="7EECB4B3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8621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75–100%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8E83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E7FE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12.0%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E227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7.0%</w:t>
            </w:r>
          </w:p>
        </w:tc>
      </w:tr>
      <w:tr w:rsidR="000604AE" w:rsidRPr="005E1AC7" w14:paraId="7ED35327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429E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100–125%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9087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3874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8.0%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7077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4.5%</w:t>
            </w:r>
          </w:p>
        </w:tc>
      </w:tr>
      <w:tr w:rsidR="000604AE" w:rsidRPr="005E1AC7" w14:paraId="3CE0F2BF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FBC7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125–150%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B777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3696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6.0%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D09E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3.0%</w:t>
            </w:r>
          </w:p>
        </w:tc>
      </w:tr>
      <w:tr w:rsidR="000604AE" w:rsidRPr="005E1AC7" w14:paraId="14BBFD0B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6FD1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150–175%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6405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C50C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5.0%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1DCD" w14:textId="17E2A4E6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</w:t>
            </w:r>
            <w:r w:rsidR="006D6889">
              <w:rPr>
                <w:rFonts w:asciiTheme="majorHAnsi" w:hAnsiTheme="majorHAnsi" w:cstheme="majorHAnsi"/>
                <w:szCs w:val="20"/>
              </w:rPr>
              <w:t>.0</w:t>
            </w:r>
            <w:r w:rsidRPr="005E1AC7">
              <w:rPr>
                <w:rFonts w:asciiTheme="majorHAnsi" w:hAnsiTheme="majorHAnsi" w:cstheme="majorHAnsi"/>
                <w:szCs w:val="20"/>
              </w:rPr>
              <w:t>%</w:t>
            </w:r>
          </w:p>
        </w:tc>
      </w:tr>
      <w:tr w:rsidR="000604AE" w:rsidRPr="005E1AC7" w14:paraId="528E67DD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51FC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175–200%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F2DB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B23F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4.5%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E9EF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1.5%</w:t>
            </w:r>
          </w:p>
        </w:tc>
      </w:tr>
      <w:tr w:rsidR="000604AE" w:rsidRPr="005E1AC7" w14:paraId="762EF851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74A8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Over </w:t>
            </w:r>
            <w:proofErr w:type="gramStart"/>
            <w:r w:rsidRPr="005E1AC7">
              <w:rPr>
                <w:rFonts w:asciiTheme="majorHAnsi" w:eastAsia="Times New Roman" w:hAnsiTheme="majorHAnsi" w:cstheme="majorHAnsi"/>
                <w:szCs w:val="20"/>
              </w:rPr>
              <w:t>200</w:t>
            </w:r>
            <w:proofErr w:type="gramEnd"/>
            <w:r w:rsidRPr="005E1AC7">
              <w:rPr>
                <w:rFonts w:asciiTheme="majorHAnsi" w:eastAsia="Times New Roman" w:hAnsiTheme="majorHAnsi" w:cstheme="majorHAnsi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3609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CB69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4.0%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7AAC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1.0%</w:t>
            </w:r>
          </w:p>
        </w:tc>
      </w:tr>
    </w:tbl>
    <w:p w14:paraId="02F9217B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p w14:paraId="4F3A25F5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p w14:paraId="28962C5C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161BE65F" w14:textId="43A3DFE0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The following table provides data consistent with Table 6.3 from the most recent SOA/LIMRA</w:t>
      </w:r>
      <w:r w:rsidR="00305EEA" w:rsidRPr="005E1AC7">
        <w:rPr>
          <w:rFonts w:asciiTheme="majorHAnsi" w:hAnsiTheme="majorHAnsi" w:cstheme="majorHAnsi"/>
          <w:szCs w:val="20"/>
        </w:rPr>
        <w:t xml:space="preserve"> Industry </w:t>
      </w:r>
      <w:r w:rsidRPr="005E1AC7">
        <w:rPr>
          <w:rFonts w:asciiTheme="majorHAnsi" w:hAnsiTheme="majorHAnsi" w:cstheme="majorHAnsi"/>
          <w:szCs w:val="20"/>
        </w:rPr>
        <w:t xml:space="preserve">Experience Study for VA contracts with </w:t>
      </w:r>
      <w:proofErr w:type="gramStart"/>
      <w:r w:rsidRPr="005E1AC7">
        <w:rPr>
          <w:rFonts w:asciiTheme="majorHAnsi" w:hAnsiTheme="majorHAnsi" w:cstheme="majorHAnsi"/>
          <w:szCs w:val="20"/>
        </w:rPr>
        <w:t>a GLWB</w:t>
      </w:r>
      <w:proofErr w:type="gramEnd"/>
      <w:r w:rsidRPr="005E1AC7">
        <w:rPr>
          <w:rFonts w:asciiTheme="majorHAnsi" w:hAnsiTheme="majorHAnsi" w:cstheme="majorHAnsi"/>
          <w:szCs w:val="20"/>
        </w:rPr>
        <w:t xml:space="preserve">. Other types of guaranteed living benefit riders </w:t>
      </w:r>
      <w:proofErr w:type="gramStart"/>
      <w:r w:rsidRPr="005E1AC7">
        <w:rPr>
          <w:rFonts w:asciiTheme="majorHAnsi" w:hAnsiTheme="majorHAnsi" w:cstheme="majorHAnsi"/>
          <w:szCs w:val="20"/>
        </w:rPr>
        <w:t>were included</w:t>
      </w:r>
      <w:proofErr w:type="gramEnd"/>
      <w:r w:rsidRPr="005E1AC7">
        <w:rPr>
          <w:rFonts w:asciiTheme="majorHAnsi" w:hAnsiTheme="majorHAnsi" w:cstheme="majorHAnsi"/>
          <w:szCs w:val="20"/>
        </w:rPr>
        <w:t xml:space="preserve"> in the data collection but the data for those riders was materially less credible.</w:t>
      </w:r>
    </w:p>
    <w:p w14:paraId="216CCB3F" w14:textId="77777777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4212C996" w14:textId="1B4F3A41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We note that the APF does not specify whether the surrender rates </w:t>
      </w:r>
      <w:r w:rsidR="006D6889">
        <w:rPr>
          <w:rFonts w:asciiTheme="majorHAnsi" w:hAnsiTheme="majorHAnsi" w:cstheme="majorHAnsi"/>
          <w:szCs w:val="20"/>
        </w:rPr>
        <w:t xml:space="preserve">in Table 6.3 </w:t>
      </w:r>
      <w:r w:rsidRPr="005E1AC7">
        <w:rPr>
          <w:rFonts w:asciiTheme="majorHAnsi" w:hAnsiTheme="majorHAnsi" w:cstheme="majorHAnsi"/>
          <w:szCs w:val="20"/>
        </w:rPr>
        <w:t>are on a count basis or a contract value basis</w:t>
      </w:r>
      <w:proofErr w:type="gramStart"/>
      <w:r w:rsidRPr="005E1AC7">
        <w:rPr>
          <w:rFonts w:asciiTheme="majorHAnsi" w:hAnsiTheme="majorHAnsi" w:cstheme="majorHAnsi"/>
          <w:szCs w:val="20"/>
        </w:rPr>
        <w:t xml:space="preserve">.  </w:t>
      </w:r>
      <w:proofErr w:type="gramEnd"/>
      <w:r w:rsidRPr="005E1AC7">
        <w:rPr>
          <w:rFonts w:asciiTheme="majorHAnsi" w:hAnsiTheme="majorHAnsi" w:cstheme="majorHAnsi"/>
          <w:szCs w:val="20"/>
        </w:rPr>
        <w:t>We have provided contract value basis results as this is the most common assumption structure.</w:t>
      </w:r>
    </w:p>
    <w:p w14:paraId="26B5BCF1" w14:textId="77777777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136877E2" w14:textId="5CE5C8CA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Note</w:t>
      </w:r>
      <w:r w:rsidR="006D6889">
        <w:rPr>
          <w:rFonts w:asciiTheme="majorHAnsi" w:hAnsiTheme="majorHAnsi" w:cstheme="majorHAnsi"/>
          <w:szCs w:val="20"/>
        </w:rPr>
        <w:t xml:space="preserve"> that</w:t>
      </w:r>
      <w:r w:rsidRPr="005E1AC7">
        <w:rPr>
          <w:rFonts w:asciiTheme="majorHAnsi" w:hAnsiTheme="majorHAnsi" w:cstheme="majorHAnsi"/>
          <w:szCs w:val="20"/>
        </w:rPr>
        <w:t xml:space="preserve"> for the current study, the exposure by in-the-moneyness (ITM) is </w:t>
      </w:r>
      <w:proofErr w:type="gramStart"/>
      <w:r w:rsidRPr="005E1AC7">
        <w:rPr>
          <w:rFonts w:asciiTheme="majorHAnsi" w:hAnsiTheme="majorHAnsi" w:cstheme="majorHAnsi"/>
          <w:szCs w:val="20"/>
        </w:rPr>
        <w:t>relatively low</w:t>
      </w:r>
      <w:proofErr w:type="gramEnd"/>
      <w:r w:rsidRPr="005E1AC7">
        <w:rPr>
          <w:rFonts w:asciiTheme="majorHAnsi" w:hAnsiTheme="majorHAnsi" w:cstheme="majorHAnsi"/>
          <w:szCs w:val="20"/>
        </w:rPr>
        <w:t xml:space="preserve"> for the </w:t>
      </w:r>
      <w:r w:rsidR="00E8373B" w:rsidRPr="005E1AC7">
        <w:rPr>
          <w:rFonts w:asciiTheme="majorHAnsi" w:hAnsiTheme="majorHAnsi" w:cstheme="majorHAnsi"/>
          <w:szCs w:val="20"/>
        </w:rPr>
        <w:t>following categories</w:t>
      </w:r>
      <w:r w:rsidRPr="005E1AC7">
        <w:rPr>
          <w:rFonts w:asciiTheme="majorHAnsi" w:hAnsiTheme="majorHAnsi" w:cstheme="majorHAnsi"/>
          <w:szCs w:val="20"/>
        </w:rPr>
        <w:t xml:space="preserve"> in Table 6.3:  Under 50%, 50-75%, 175%-200% and Over 200%.  Therefore, we have combined </w:t>
      </w:r>
      <w:r w:rsidR="004F69B9" w:rsidRPr="005E1AC7">
        <w:rPr>
          <w:rFonts w:asciiTheme="majorHAnsi" w:hAnsiTheme="majorHAnsi" w:cstheme="majorHAnsi"/>
          <w:szCs w:val="20"/>
        </w:rPr>
        <w:t xml:space="preserve">these </w:t>
      </w:r>
      <w:r w:rsidRPr="005E1AC7">
        <w:rPr>
          <w:rFonts w:asciiTheme="majorHAnsi" w:hAnsiTheme="majorHAnsi" w:cstheme="majorHAnsi"/>
          <w:szCs w:val="20"/>
        </w:rPr>
        <w:t>categories as shown in the table below</w:t>
      </w:r>
      <w:r w:rsidR="004F69B9" w:rsidRPr="005E1AC7">
        <w:rPr>
          <w:rFonts w:asciiTheme="majorHAnsi" w:hAnsiTheme="majorHAnsi" w:cstheme="majorHAnsi"/>
          <w:szCs w:val="20"/>
        </w:rPr>
        <w:t xml:space="preserve"> to allow for greater credibility</w:t>
      </w:r>
      <w:r w:rsidR="006D6889">
        <w:rPr>
          <w:rFonts w:asciiTheme="majorHAnsi" w:hAnsiTheme="majorHAnsi" w:cstheme="majorHAnsi"/>
          <w:szCs w:val="20"/>
        </w:rPr>
        <w:t xml:space="preserve"> of results</w:t>
      </w:r>
      <w:r w:rsidR="004F69B9" w:rsidRPr="005E1AC7">
        <w:rPr>
          <w:rFonts w:asciiTheme="majorHAnsi" w:hAnsiTheme="majorHAnsi" w:cstheme="majorHAnsi"/>
          <w:szCs w:val="20"/>
        </w:rPr>
        <w:t>.</w:t>
      </w:r>
    </w:p>
    <w:p w14:paraId="76C69CC9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p w14:paraId="750A4748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  <w:r w:rsidRPr="005E1AC7">
        <w:rPr>
          <w:rFonts w:asciiTheme="majorHAnsi" w:hAnsiTheme="majorHAnsi" w:cstheme="majorHAnsi"/>
          <w:b/>
          <w:bCs/>
          <w:szCs w:val="20"/>
        </w:rPr>
        <w:t xml:space="preserve">SOA/LIMRA Study (2023 release) – VA contracts with GLWB </w:t>
      </w:r>
    </w:p>
    <w:p w14:paraId="265D8C72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  <w:r w:rsidRPr="005E1AC7">
        <w:rPr>
          <w:rFonts w:asciiTheme="majorHAnsi" w:hAnsiTheme="majorHAnsi" w:cstheme="majorHAnsi"/>
          <w:b/>
          <w:bCs/>
          <w:szCs w:val="20"/>
        </w:rPr>
        <w:t>Surrender Rates – Contract Value Basis</w:t>
      </w:r>
    </w:p>
    <w:p w14:paraId="6DE1AB7B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tbl>
      <w:tblPr>
        <w:tblW w:w="7759" w:type="dxa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430"/>
        <w:gridCol w:w="2340"/>
        <w:gridCol w:w="1819"/>
      </w:tblGrid>
      <w:tr w:rsidR="000604AE" w:rsidRPr="005E1AC7" w14:paraId="2D10AC55" w14:textId="77777777" w:rsidTr="000604AE">
        <w:trPr>
          <w:trHeight w:hRule="exact" w:val="1738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C8520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ITM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BE6C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In surrender charge period, or in policy years 1–3 for contracts without surrender charges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E5A2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First year after the surrender charge period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8518" w14:textId="77777777" w:rsidR="000604AE" w:rsidRPr="005E1AC7" w:rsidRDefault="000604AE" w:rsidP="00852491">
            <w:pPr>
              <w:keepNext/>
              <w:ind w:left="72" w:right="72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Subsequent years, or in policy years </w:t>
            </w:r>
            <w:proofErr w:type="gramStart"/>
            <w:r w:rsidRPr="005E1AC7">
              <w:rPr>
                <w:rFonts w:asciiTheme="majorHAnsi" w:eastAsia="Times New Roman" w:hAnsiTheme="majorHAnsi" w:cstheme="majorHAnsi"/>
                <w:szCs w:val="20"/>
              </w:rPr>
              <w:t>4</w:t>
            </w:r>
            <w:proofErr w:type="gramEnd"/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 and onwards for contracts without surrender charges</w:t>
            </w:r>
          </w:p>
        </w:tc>
      </w:tr>
      <w:tr w:rsidR="000604AE" w:rsidRPr="005E1AC7" w14:paraId="62216949" w14:textId="77777777" w:rsidTr="00852491">
        <w:trPr>
          <w:trHeight w:hRule="exact" w:val="46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FEB6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 xml:space="preserve">Under </w:t>
            </w:r>
            <w:proofErr w:type="gramStart"/>
            <w:r w:rsidRPr="005E1AC7">
              <w:rPr>
                <w:rFonts w:asciiTheme="majorHAnsi" w:eastAsia="Times New Roman" w:hAnsiTheme="majorHAnsi" w:cstheme="majorHAnsi"/>
                <w:szCs w:val="20"/>
              </w:rPr>
              <w:t>75</w:t>
            </w:r>
            <w:proofErr w:type="gramEnd"/>
            <w:r w:rsidRPr="005E1AC7">
              <w:rPr>
                <w:rFonts w:asciiTheme="majorHAnsi" w:eastAsia="Times New Roman" w:hAnsiTheme="majorHAnsi" w:cstheme="majorHAnsi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710C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4.0%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A69D" w14:textId="78DE494F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30.0%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2ED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10.0%</w:t>
            </w:r>
          </w:p>
        </w:tc>
      </w:tr>
      <w:tr w:rsidR="000604AE" w:rsidRPr="005E1AC7" w14:paraId="6AEE2282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F188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75–100%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CA59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66F1" w14:textId="04D08574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20.0%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DE48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8.0%</w:t>
            </w:r>
          </w:p>
        </w:tc>
      </w:tr>
      <w:tr w:rsidR="000604AE" w:rsidRPr="005E1AC7" w14:paraId="5609D582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BFD9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100–125%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D3F4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1599" w14:textId="61364BC6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13.0%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863E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6.0%</w:t>
            </w:r>
          </w:p>
        </w:tc>
      </w:tr>
      <w:tr w:rsidR="000604AE" w:rsidRPr="005E1AC7" w14:paraId="33F2BAFD" w14:textId="77777777" w:rsidTr="00852491">
        <w:trPr>
          <w:trHeight w:hRule="exact" w:val="4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C606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125–150%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C04C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27EE" w14:textId="30EB5A16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9.</w:t>
            </w:r>
            <w:r w:rsidR="00305EEA" w:rsidRPr="005E1AC7">
              <w:rPr>
                <w:rFonts w:asciiTheme="majorHAnsi" w:hAnsiTheme="majorHAnsi" w:cstheme="majorHAnsi"/>
                <w:szCs w:val="20"/>
              </w:rPr>
              <w:t>0</w:t>
            </w:r>
            <w:r w:rsidRPr="005E1AC7">
              <w:rPr>
                <w:rFonts w:asciiTheme="majorHAnsi" w:hAnsiTheme="majorHAnsi" w:cstheme="majorHAnsi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CD46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4.0%</w:t>
            </w:r>
          </w:p>
        </w:tc>
      </w:tr>
      <w:tr w:rsidR="000604AE" w:rsidRPr="005E1AC7" w14:paraId="0BFFAFC1" w14:textId="77777777" w:rsidTr="00305EEA">
        <w:trPr>
          <w:trHeight w:hRule="exact" w:val="4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5D79" w14:textId="77777777" w:rsidR="000604AE" w:rsidRPr="005E1AC7" w:rsidRDefault="000604AE" w:rsidP="00852491">
            <w:pPr>
              <w:keepNext/>
              <w:ind w:left="72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eastAsia="Times New Roman" w:hAnsiTheme="majorHAnsi" w:cstheme="majorHAnsi"/>
                <w:szCs w:val="20"/>
              </w:rPr>
              <w:t>Over 150%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8B1A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2.0%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3B5D" w14:textId="77777777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6.0%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443E" w14:textId="6B878361" w:rsidR="000604AE" w:rsidRPr="005E1AC7" w:rsidRDefault="000604AE" w:rsidP="00852491">
            <w:pPr>
              <w:keepNext/>
              <w:jc w:val="center"/>
              <w:rPr>
                <w:rFonts w:asciiTheme="majorHAnsi" w:eastAsia="Times New Roman" w:hAnsiTheme="majorHAnsi" w:cstheme="majorHAnsi"/>
                <w:szCs w:val="20"/>
              </w:rPr>
            </w:pPr>
            <w:r w:rsidRPr="005E1AC7">
              <w:rPr>
                <w:rFonts w:asciiTheme="majorHAnsi" w:hAnsiTheme="majorHAnsi" w:cstheme="majorHAnsi"/>
                <w:szCs w:val="20"/>
              </w:rPr>
              <w:t>2</w:t>
            </w:r>
            <w:r w:rsidR="006D6889">
              <w:rPr>
                <w:rFonts w:asciiTheme="majorHAnsi" w:hAnsiTheme="majorHAnsi" w:cstheme="majorHAnsi"/>
                <w:szCs w:val="20"/>
              </w:rPr>
              <w:t>.0</w:t>
            </w:r>
            <w:r w:rsidRPr="005E1AC7">
              <w:rPr>
                <w:rFonts w:asciiTheme="majorHAnsi" w:hAnsiTheme="majorHAnsi" w:cstheme="majorHAnsi"/>
                <w:szCs w:val="20"/>
              </w:rPr>
              <w:t>%</w:t>
            </w:r>
          </w:p>
        </w:tc>
      </w:tr>
    </w:tbl>
    <w:p w14:paraId="6B063F8D" w14:textId="77777777" w:rsidR="000604AE" w:rsidRPr="005E1AC7" w:rsidRDefault="000604AE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b/>
          <w:bCs/>
          <w:szCs w:val="20"/>
        </w:rPr>
      </w:pPr>
    </w:p>
    <w:p w14:paraId="69C0E627" w14:textId="2D0A72DD" w:rsidR="000604AE" w:rsidRPr="005E1AC7" w:rsidRDefault="000604AE" w:rsidP="000604AE">
      <w:pPr>
        <w:rPr>
          <w:rFonts w:asciiTheme="majorHAnsi" w:hAnsiTheme="majorHAnsi" w:cstheme="majorHAnsi"/>
          <w:szCs w:val="20"/>
        </w:rPr>
      </w:pPr>
    </w:p>
    <w:p w14:paraId="26D522B3" w14:textId="6996A673" w:rsidR="000604AE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For contracts in the surrender charge period, the rates are </w:t>
      </w:r>
      <w:proofErr w:type="gramStart"/>
      <w:r w:rsidRPr="005E1AC7">
        <w:rPr>
          <w:rFonts w:asciiTheme="majorHAnsi" w:hAnsiTheme="majorHAnsi" w:cstheme="majorHAnsi"/>
          <w:szCs w:val="20"/>
        </w:rPr>
        <w:t>substantially equal</w:t>
      </w:r>
      <w:proofErr w:type="gramEnd"/>
      <w:r w:rsidRPr="005E1AC7">
        <w:rPr>
          <w:rFonts w:asciiTheme="majorHAnsi" w:hAnsiTheme="majorHAnsi" w:cstheme="majorHAnsi"/>
          <w:szCs w:val="20"/>
        </w:rPr>
        <w:t xml:space="preserve"> to those shown in Table 6.3 after rounding to the nearest .5 percent.  </w:t>
      </w:r>
    </w:p>
    <w:p w14:paraId="74874F38" w14:textId="77777777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728E9031" w14:textId="2F3A631C" w:rsidR="00305EEA" w:rsidRPr="005E1AC7" w:rsidRDefault="00305EE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For contracts in the first year after the surrender charge period ends, the current study </w:t>
      </w:r>
      <w:r w:rsidR="006D6889">
        <w:rPr>
          <w:rFonts w:asciiTheme="majorHAnsi" w:hAnsiTheme="majorHAnsi" w:cstheme="majorHAnsi"/>
          <w:szCs w:val="20"/>
        </w:rPr>
        <w:t>indicates</w:t>
      </w:r>
      <w:r w:rsidRPr="005E1AC7">
        <w:rPr>
          <w:rFonts w:asciiTheme="majorHAnsi" w:hAnsiTheme="majorHAnsi" w:cstheme="majorHAnsi"/>
          <w:szCs w:val="20"/>
        </w:rPr>
        <w:t xml:space="preserve"> slightly greater rates of surrender </w:t>
      </w:r>
      <w:r w:rsidR="004F69B9" w:rsidRPr="005E1AC7">
        <w:rPr>
          <w:rFonts w:asciiTheme="majorHAnsi" w:hAnsiTheme="majorHAnsi" w:cstheme="majorHAnsi"/>
          <w:szCs w:val="20"/>
        </w:rPr>
        <w:t>across all ITM groups.</w:t>
      </w:r>
    </w:p>
    <w:p w14:paraId="4F2165BC" w14:textId="77777777" w:rsidR="000F256A" w:rsidRPr="005E1AC7" w:rsidRDefault="000F256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32141D7E" w14:textId="6482F678" w:rsidR="000F256A" w:rsidRPr="005E1AC7" w:rsidRDefault="000F256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For contracts beyond the end of the surrender charge period, the current study also show</w:t>
      </w:r>
      <w:r w:rsidR="006D6889">
        <w:rPr>
          <w:rFonts w:asciiTheme="majorHAnsi" w:hAnsiTheme="majorHAnsi" w:cstheme="majorHAnsi"/>
          <w:szCs w:val="20"/>
        </w:rPr>
        <w:t>s a consistent pattern but</w:t>
      </w:r>
      <w:r w:rsidRPr="005E1AC7">
        <w:rPr>
          <w:rFonts w:asciiTheme="majorHAnsi" w:hAnsiTheme="majorHAnsi" w:cstheme="majorHAnsi"/>
          <w:szCs w:val="20"/>
        </w:rPr>
        <w:t xml:space="preserve"> slightly greater rates of surrender for all ITM groups except Under 75% where the surrender rates </w:t>
      </w:r>
      <w:proofErr w:type="gramStart"/>
      <w:r w:rsidRPr="005E1AC7">
        <w:rPr>
          <w:rFonts w:asciiTheme="majorHAnsi" w:hAnsiTheme="majorHAnsi" w:cstheme="majorHAnsi"/>
          <w:szCs w:val="20"/>
        </w:rPr>
        <w:t>seem to be</w:t>
      </w:r>
      <w:proofErr w:type="gramEnd"/>
      <w:r w:rsidRPr="005E1AC7">
        <w:rPr>
          <w:rFonts w:asciiTheme="majorHAnsi" w:hAnsiTheme="majorHAnsi" w:cstheme="majorHAnsi"/>
          <w:szCs w:val="20"/>
        </w:rPr>
        <w:t xml:space="preserve"> </w:t>
      </w:r>
      <w:r w:rsidR="00E8373B" w:rsidRPr="005E1AC7">
        <w:rPr>
          <w:rFonts w:asciiTheme="majorHAnsi" w:hAnsiTheme="majorHAnsi" w:cstheme="majorHAnsi"/>
          <w:szCs w:val="20"/>
        </w:rPr>
        <w:t>slightly</w:t>
      </w:r>
      <w:r w:rsidRPr="005E1AC7">
        <w:rPr>
          <w:rFonts w:asciiTheme="majorHAnsi" w:hAnsiTheme="majorHAnsi" w:cstheme="majorHAnsi"/>
          <w:szCs w:val="20"/>
        </w:rPr>
        <w:t xml:space="preserve"> lower.</w:t>
      </w:r>
    </w:p>
    <w:p w14:paraId="6E9C1D5C" w14:textId="77777777" w:rsidR="000F256A" w:rsidRPr="005E1AC7" w:rsidRDefault="000F256A" w:rsidP="000604AE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4F712DF7" w14:textId="57C1FE69" w:rsidR="000604AE" w:rsidRPr="005E1AC7" w:rsidRDefault="000F256A" w:rsidP="000F256A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The SOA/LIMRA study covers the period of the pandemic years 2020 and 2021. So</w:t>
      </w:r>
      <w:r w:rsidR="00E8373B">
        <w:rPr>
          <w:rFonts w:asciiTheme="majorHAnsi" w:hAnsiTheme="majorHAnsi" w:cstheme="majorHAnsi"/>
          <w:szCs w:val="20"/>
        </w:rPr>
        <w:t>,</w:t>
      </w:r>
      <w:r w:rsidRPr="005E1AC7">
        <w:rPr>
          <w:rFonts w:asciiTheme="majorHAnsi" w:hAnsiTheme="majorHAnsi" w:cstheme="majorHAnsi"/>
          <w:szCs w:val="20"/>
        </w:rPr>
        <w:t xml:space="preserve"> we also compared these results </w:t>
      </w:r>
      <w:r w:rsidRPr="005E1AC7">
        <w:rPr>
          <w:rFonts w:asciiTheme="majorHAnsi" w:hAnsiTheme="majorHAnsi" w:cstheme="majorHAnsi"/>
          <w:szCs w:val="20"/>
        </w:rPr>
        <w:lastRenderedPageBreak/>
        <w:t xml:space="preserve">across </w:t>
      </w:r>
      <w:r w:rsidR="00506F93">
        <w:rPr>
          <w:rFonts w:asciiTheme="majorHAnsi" w:hAnsiTheme="majorHAnsi" w:cstheme="majorHAnsi"/>
          <w:szCs w:val="20"/>
        </w:rPr>
        <w:t xml:space="preserve">both </w:t>
      </w:r>
      <w:r w:rsidRPr="005E1AC7">
        <w:rPr>
          <w:rFonts w:asciiTheme="majorHAnsi" w:hAnsiTheme="majorHAnsi" w:cstheme="majorHAnsi"/>
          <w:szCs w:val="20"/>
        </w:rPr>
        <w:t xml:space="preserve">pre- and post-pandemic observation years and the pattern </w:t>
      </w:r>
      <w:r w:rsidR="00506F93">
        <w:rPr>
          <w:rFonts w:asciiTheme="majorHAnsi" w:hAnsiTheme="majorHAnsi" w:cstheme="majorHAnsi"/>
          <w:szCs w:val="20"/>
        </w:rPr>
        <w:t xml:space="preserve">and levels </w:t>
      </w:r>
      <w:r w:rsidRPr="005E1AC7">
        <w:rPr>
          <w:rFonts w:asciiTheme="majorHAnsi" w:hAnsiTheme="majorHAnsi" w:cstheme="majorHAnsi"/>
          <w:szCs w:val="20"/>
        </w:rPr>
        <w:t>shown in the table</w:t>
      </w:r>
      <w:r w:rsidR="00506F93">
        <w:rPr>
          <w:rFonts w:asciiTheme="majorHAnsi" w:hAnsiTheme="majorHAnsi" w:cstheme="majorHAnsi"/>
          <w:szCs w:val="20"/>
        </w:rPr>
        <w:t xml:space="preserve"> above</w:t>
      </w:r>
      <w:r w:rsidRPr="005E1AC7">
        <w:rPr>
          <w:rFonts w:asciiTheme="majorHAnsi" w:hAnsiTheme="majorHAnsi" w:cstheme="majorHAnsi"/>
          <w:szCs w:val="20"/>
        </w:rPr>
        <w:t xml:space="preserve"> </w:t>
      </w:r>
      <w:r w:rsidR="00E8373B" w:rsidRPr="005E1AC7">
        <w:rPr>
          <w:rFonts w:asciiTheme="majorHAnsi" w:hAnsiTheme="majorHAnsi" w:cstheme="majorHAnsi"/>
          <w:szCs w:val="20"/>
        </w:rPr>
        <w:t>held</w:t>
      </w:r>
      <w:r w:rsidRPr="005E1AC7">
        <w:rPr>
          <w:rFonts w:asciiTheme="majorHAnsi" w:hAnsiTheme="majorHAnsi" w:cstheme="majorHAnsi"/>
          <w:szCs w:val="20"/>
        </w:rPr>
        <w:t xml:space="preserve"> across both periods</w:t>
      </w:r>
      <w:proofErr w:type="gramStart"/>
      <w:r w:rsidR="00506F93">
        <w:rPr>
          <w:rFonts w:asciiTheme="majorHAnsi" w:hAnsiTheme="majorHAnsi" w:cstheme="majorHAnsi"/>
          <w:szCs w:val="20"/>
        </w:rPr>
        <w:t xml:space="preserve">.  </w:t>
      </w:r>
      <w:proofErr w:type="gramEnd"/>
      <w:r w:rsidR="00E8373B">
        <w:rPr>
          <w:rFonts w:asciiTheme="majorHAnsi" w:hAnsiTheme="majorHAnsi" w:cstheme="majorHAnsi"/>
          <w:szCs w:val="20"/>
        </w:rPr>
        <w:t>So,</w:t>
      </w:r>
      <w:r w:rsidR="00506F93">
        <w:rPr>
          <w:rFonts w:asciiTheme="majorHAnsi" w:hAnsiTheme="majorHAnsi" w:cstheme="majorHAnsi"/>
          <w:szCs w:val="20"/>
        </w:rPr>
        <w:t xml:space="preserve"> the differences do not seem to be </w:t>
      </w:r>
      <w:r w:rsidR="00E8373B">
        <w:rPr>
          <w:rFonts w:asciiTheme="majorHAnsi" w:hAnsiTheme="majorHAnsi" w:cstheme="majorHAnsi"/>
          <w:szCs w:val="20"/>
        </w:rPr>
        <w:t>pandemic driven</w:t>
      </w:r>
      <w:r w:rsidR="00506F93">
        <w:rPr>
          <w:rFonts w:asciiTheme="majorHAnsi" w:hAnsiTheme="majorHAnsi" w:cstheme="majorHAnsi"/>
          <w:szCs w:val="20"/>
        </w:rPr>
        <w:t>.</w:t>
      </w:r>
    </w:p>
    <w:p w14:paraId="4709AA6D" w14:textId="77777777" w:rsidR="000F256A" w:rsidRPr="005E1AC7" w:rsidRDefault="000F256A" w:rsidP="000F256A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</w:p>
    <w:p w14:paraId="0A8A9330" w14:textId="29539FEA" w:rsidR="000F256A" w:rsidRPr="005E1AC7" w:rsidRDefault="000F256A" w:rsidP="000F256A">
      <w:pPr>
        <w:widowControl w:val="0"/>
        <w:spacing w:line="271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 xml:space="preserve">We hope this analysis </w:t>
      </w:r>
      <w:r w:rsidR="00506F93">
        <w:rPr>
          <w:rFonts w:asciiTheme="majorHAnsi" w:hAnsiTheme="majorHAnsi" w:cstheme="majorHAnsi"/>
          <w:szCs w:val="20"/>
        </w:rPr>
        <w:t>is</w:t>
      </w:r>
      <w:r w:rsidRPr="005E1AC7">
        <w:rPr>
          <w:rFonts w:asciiTheme="majorHAnsi" w:hAnsiTheme="majorHAnsi" w:cstheme="majorHAnsi"/>
          <w:szCs w:val="20"/>
        </w:rPr>
        <w:t xml:space="preserve"> helpful to </w:t>
      </w:r>
      <w:r w:rsidR="00E8373B" w:rsidRPr="005E1AC7">
        <w:rPr>
          <w:rFonts w:asciiTheme="majorHAnsi" w:hAnsiTheme="majorHAnsi" w:cstheme="majorHAnsi"/>
          <w:szCs w:val="20"/>
        </w:rPr>
        <w:t>VACRSG</w:t>
      </w:r>
      <w:r w:rsidRPr="005E1AC7">
        <w:rPr>
          <w:rFonts w:asciiTheme="majorHAnsi" w:hAnsiTheme="majorHAnsi" w:cstheme="majorHAnsi"/>
          <w:szCs w:val="20"/>
        </w:rPr>
        <w:t xml:space="preserve"> in it</w:t>
      </w:r>
      <w:r w:rsidR="00E8373B">
        <w:rPr>
          <w:rFonts w:asciiTheme="majorHAnsi" w:hAnsiTheme="majorHAnsi" w:cstheme="majorHAnsi"/>
          <w:szCs w:val="20"/>
        </w:rPr>
        <w:t>s</w:t>
      </w:r>
      <w:r w:rsidRPr="005E1AC7">
        <w:rPr>
          <w:rFonts w:asciiTheme="majorHAnsi" w:hAnsiTheme="majorHAnsi" w:cstheme="majorHAnsi"/>
          <w:szCs w:val="20"/>
        </w:rPr>
        <w:t xml:space="preserve"> discussions regarding the VM21 SPA assumption updates.</w:t>
      </w:r>
    </w:p>
    <w:p w14:paraId="093F178D" w14:textId="77777777" w:rsidR="0054396F" w:rsidRPr="005E1AC7" w:rsidRDefault="0054396F" w:rsidP="0054396F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007F365E" w14:textId="39ECF3A5" w:rsidR="00575286" w:rsidRPr="005E1AC7" w:rsidRDefault="00B80141" w:rsidP="00A952D2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LIMRA appreciates</w:t>
      </w:r>
      <w:r w:rsidR="00575286" w:rsidRPr="005E1AC7">
        <w:rPr>
          <w:rFonts w:asciiTheme="majorHAnsi" w:hAnsiTheme="majorHAnsi" w:cstheme="majorHAnsi"/>
          <w:szCs w:val="20"/>
        </w:rPr>
        <w:t xml:space="preserve"> the opportunity </w:t>
      </w:r>
      <w:r w:rsidRPr="005E1AC7">
        <w:rPr>
          <w:rFonts w:asciiTheme="majorHAnsi" w:hAnsiTheme="majorHAnsi" w:cstheme="majorHAnsi"/>
          <w:szCs w:val="20"/>
        </w:rPr>
        <w:t>to provide comments on this matter</w:t>
      </w:r>
      <w:proofErr w:type="gramStart"/>
      <w:r w:rsidRPr="005E1AC7">
        <w:rPr>
          <w:rFonts w:asciiTheme="majorHAnsi" w:hAnsiTheme="majorHAnsi" w:cstheme="majorHAnsi"/>
          <w:szCs w:val="20"/>
        </w:rPr>
        <w:t xml:space="preserve">.  </w:t>
      </w:r>
      <w:proofErr w:type="gramEnd"/>
      <w:r w:rsidR="005C10D2" w:rsidRPr="005E1AC7">
        <w:rPr>
          <w:rFonts w:asciiTheme="majorHAnsi" w:hAnsiTheme="majorHAnsi" w:cstheme="majorHAnsi"/>
          <w:szCs w:val="20"/>
        </w:rPr>
        <w:t>We are</w:t>
      </w:r>
      <w:r w:rsidR="007025A2" w:rsidRPr="005E1AC7">
        <w:rPr>
          <w:rFonts w:asciiTheme="majorHAnsi" w:hAnsiTheme="majorHAnsi" w:cstheme="majorHAnsi"/>
          <w:szCs w:val="20"/>
        </w:rPr>
        <w:t xml:space="preserve"> </w:t>
      </w:r>
      <w:r w:rsidR="00575286" w:rsidRPr="005E1AC7">
        <w:rPr>
          <w:rFonts w:asciiTheme="majorHAnsi" w:hAnsiTheme="majorHAnsi" w:cstheme="majorHAnsi"/>
          <w:szCs w:val="20"/>
        </w:rPr>
        <w:t xml:space="preserve">available to </w:t>
      </w:r>
      <w:r w:rsidR="007025A2" w:rsidRPr="005E1AC7">
        <w:rPr>
          <w:rFonts w:asciiTheme="majorHAnsi" w:hAnsiTheme="majorHAnsi" w:cstheme="majorHAnsi"/>
          <w:szCs w:val="20"/>
        </w:rPr>
        <w:t xml:space="preserve">respond to </w:t>
      </w:r>
      <w:r w:rsidR="00575286" w:rsidRPr="005E1AC7">
        <w:rPr>
          <w:rFonts w:asciiTheme="majorHAnsi" w:hAnsiTheme="majorHAnsi" w:cstheme="majorHAnsi"/>
          <w:szCs w:val="20"/>
        </w:rPr>
        <w:t xml:space="preserve">any questions </w:t>
      </w:r>
      <w:r w:rsidR="0054396F" w:rsidRPr="005E1AC7">
        <w:rPr>
          <w:rFonts w:asciiTheme="majorHAnsi" w:hAnsiTheme="majorHAnsi" w:cstheme="majorHAnsi"/>
          <w:szCs w:val="20"/>
        </w:rPr>
        <w:t>you</w:t>
      </w:r>
      <w:r w:rsidR="00575286" w:rsidRPr="005E1AC7">
        <w:rPr>
          <w:rFonts w:asciiTheme="majorHAnsi" w:hAnsiTheme="majorHAnsi" w:cstheme="majorHAnsi"/>
          <w:szCs w:val="20"/>
        </w:rPr>
        <w:t xml:space="preserve"> might have on these comments</w:t>
      </w:r>
      <w:r w:rsidR="007025A2" w:rsidRPr="005E1AC7">
        <w:rPr>
          <w:rFonts w:asciiTheme="majorHAnsi" w:hAnsiTheme="majorHAnsi" w:cstheme="majorHAnsi"/>
          <w:szCs w:val="20"/>
        </w:rPr>
        <w:t>.</w:t>
      </w:r>
      <w:r w:rsidR="00575286" w:rsidRPr="005E1AC7">
        <w:rPr>
          <w:rFonts w:asciiTheme="majorHAnsi" w:hAnsiTheme="majorHAnsi" w:cstheme="majorHAnsi"/>
          <w:szCs w:val="20"/>
        </w:rPr>
        <w:t xml:space="preserve"> </w:t>
      </w:r>
      <w:r w:rsidR="007025A2" w:rsidRPr="005E1AC7">
        <w:rPr>
          <w:rFonts w:asciiTheme="majorHAnsi" w:hAnsiTheme="majorHAnsi" w:cstheme="majorHAnsi"/>
          <w:szCs w:val="20"/>
        </w:rPr>
        <w:t>Feel free to</w:t>
      </w:r>
      <w:r w:rsidR="00575286" w:rsidRPr="005E1AC7">
        <w:rPr>
          <w:rFonts w:asciiTheme="majorHAnsi" w:hAnsiTheme="majorHAnsi" w:cstheme="majorHAnsi"/>
          <w:szCs w:val="20"/>
        </w:rPr>
        <w:t xml:space="preserve"> contact</w:t>
      </w:r>
      <w:r w:rsidR="00092A0F" w:rsidRPr="005E1AC7">
        <w:rPr>
          <w:rFonts w:asciiTheme="majorHAnsi" w:hAnsiTheme="majorHAnsi" w:cstheme="majorHAnsi"/>
          <w:szCs w:val="20"/>
        </w:rPr>
        <w:t xml:space="preserve"> </w:t>
      </w:r>
      <w:r w:rsidR="005C10D2" w:rsidRPr="005E1AC7">
        <w:rPr>
          <w:rFonts w:asciiTheme="majorHAnsi" w:hAnsiTheme="majorHAnsi" w:cstheme="majorHAnsi"/>
          <w:szCs w:val="20"/>
        </w:rPr>
        <w:t>Marianne Purushotham</w:t>
      </w:r>
      <w:r w:rsidR="00092A0F" w:rsidRPr="005E1AC7">
        <w:rPr>
          <w:rFonts w:asciiTheme="majorHAnsi" w:hAnsiTheme="majorHAnsi" w:cstheme="majorHAnsi"/>
          <w:szCs w:val="20"/>
        </w:rPr>
        <w:t xml:space="preserve"> at</w:t>
      </w:r>
      <w:r w:rsidR="00575286" w:rsidRPr="005E1AC7">
        <w:rPr>
          <w:rFonts w:asciiTheme="majorHAnsi" w:hAnsiTheme="majorHAnsi" w:cstheme="majorHAnsi"/>
          <w:szCs w:val="20"/>
        </w:rPr>
        <w:t xml:space="preserve"> </w:t>
      </w:r>
      <w:hyperlink r:id="rId8" w:history="1">
        <w:r w:rsidR="007025A2" w:rsidRPr="005E1AC7">
          <w:rPr>
            <w:rStyle w:val="Hyperlink"/>
            <w:rFonts w:asciiTheme="majorHAnsi" w:hAnsiTheme="majorHAnsi" w:cstheme="majorHAnsi"/>
            <w:szCs w:val="20"/>
          </w:rPr>
          <w:t>mpurushotham@limra.com</w:t>
        </w:r>
      </w:hyperlink>
      <w:r w:rsidR="00575286" w:rsidRPr="005E1AC7">
        <w:rPr>
          <w:rFonts w:asciiTheme="majorHAnsi" w:hAnsiTheme="majorHAnsi" w:cstheme="majorHAnsi"/>
          <w:szCs w:val="20"/>
        </w:rPr>
        <w:t xml:space="preserve"> or (</w:t>
      </w:r>
      <w:r w:rsidR="007025A2" w:rsidRPr="005E1AC7">
        <w:rPr>
          <w:rFonts w:asciiTheme="majorHAnsi" w:hAnsiTheme="majorHAnsi" w:cstheme="majorHAnsi"/>
          <w:szCs w:val="20"/>
        </w:rPr>
        <w:t>860</w:t>
      </w:r>
      <w:r w:rsidR="00575286" w:rsidRPr="005E1AC7">
        <w:rPr>
          <w:rFonts w:asciiTheme="majorHAnsi" w:hAnsiTheme="majorHAnsi" w:cstheme="majorHAnsi"/>
          <w:szCs w:val="20"/>
        </w:rPr>
        <w:t xml:space="preserve">) </w:t>
      </w:r>
      <w:r w:rsidR="007025A2" w:rsidRPr="005E1AC7">
        <w:rPr>
          <w:rFonts w:asciiTheme="majorHAnsi" w:hAnsiTheme="majorHAnsi" w:cstheme="majorHAnsi"/>
          <w:szCs w:val="20"/>
        </w:rPr>
        <w:t>249-3366</w:t>
      </w:r>
      <w:r w:rsidR="00575286" w:rsidRPr="005E1AC7">
        <w:rPr>
          <w:rFonts w:asciiTheme="majorHAnsi" w:hAnsiTheme="majorHAnsi" w:cstheme="majorHAnsi"/>
          <w:szCs w:val="20"/>
        </w:rPr>
        <w:t xml:space="preserve"> </w:t>
      </w:r>
      <w:r w:rsidR="007025A2" w:rsidRPr="005E1AC7">
        <w:rPr>
          <w:rFonts w:asciiTheme="majorHAnsi" w:hAnsiTheme="majorHAnsi" w:cstheme="majorHAnsi"/>
          <w:szCs w:val="20"/>
        </w:rPr>
        <w:t>at any time</w:t>
      </w:r>
      <w:r w:rsidR="00575286" w:rsidRPr="005E1AC7">
        <w:rPr>
          <w:rFonts w:asciiTheme="majorHAnsi" w:hAnsiTheme="majorHAnsi" w:cstheme="majorHAnsi"/>
          <w:szCs w:val="20"/>
        </w:rPr>
        <w:t>.</w:t>
      </w:r>
    </w:p>
    <w:p w14:paraId="07A0CB5D" w14:textId="6C4B7C57" w:rsidR="00371C6C" w:rsidRPr="005E1AC7" w:rsidRDefault="0054396F" w:rsidP="00A952D2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Sincerely,</w:t>
      </w:r>
      <w:r w:rsidRPr="005E1AC7">
        <w:rPr>
          <w:rFonts w:asciiTheme="majorHAnsi" w:hAnsiTheme="majorHAnsi" w:cstheme="majorHAnsi"/>
          <w:szCs w:val="20"/>
        </w:rPr>
        <w:tab/>
      </w:r>
      <w:r w:rsidRPr="005E1AC7">
        <w:rPr>
          <w:rFonts w:asciiTheme="majorHAnsi" w:hAnsiTheme="majorHAnsi" w:cstheme="majorHAnsi"/>
          <w:szCs w:val="20"/>
        </w:rPr>
        <w:tab/>
      </w:r>
    </w:p>
    <w:p w14:paraId="448F78A3" w14:textId="635FC668" w:rsidR="0054396F" w:rsidRPr="005E1AC7" w:rsidRDefault="00A62FD6" w:rsidP="00A952D2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noProof/>
          <w:szCs w:val="20"/>
        </w:rPr>
        <w:drawing>
          <wp:inline distT="0" distB="0" distL="0" distR="0" wp14:anchorId="11EF369E" wp14:editId="46756662">
            <wp:extent cx="2076450" cy="330200"/>
            <wp:effectExtent l="0" t="0" r="0" b="0"/>
            <wp:docPr id="11616214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6E46" w14:textId="24094F0D" w:rsidR="0054396F" w:rsidRPr="005E1AC7" w:rsidRDefault="0054396F" w:rsidP="00A952D2">
      <w:pPr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_____________________________</w:t>
      </w:r>
      <w:r w:rsidRPr="005E1AC7">
        <w:rPr>
          <w:rFonts w:asciiTheme="majorHAnsi" w:hAnsiTheme="majorHAnsi" w:cstheme="majorHAnsi"/>
          <w:szCs w:val="20"/>
        </w:rPr>
        <w:tab/>
      </w:r>
      <w:r w:rsidRPr="005E1AC7">
        <w:rPr>
          <w:rFonts w:asciiTheme="majorHAnsi" w:hAnsiTheme="majorHAnsi" w:cstheme="majorHAnsi"/>
          <w:szCs w:val="20"/>
        </w:rPr>
        <w:tab/>
      </w:r>
      <w:r w:rsidRPr="005E1AC7">
        <w:rPr>
          <w:rFonts w:asciiTheme="majorHAnsi" w:hAnsiTheme="majorHAnsi" w:cstheme="majorHAnsi"/>
          <w:szCs w:val="20"/>
        </w:rPr>
        <w:tab/>
      </w:r>
    </w:p>
    <w:p w14:paraId="6EA429AE" w14:textId="100BBB0F" w:rsidR="0054396F" w:rsidRPr="005E1AC7" w:rsidRDefault="007025A2" w:rsidP="0054396F">
      <w:pPr>
        <w:contextualSpacing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Marianne Purushotham</w:t>
      </w:r>
      <w:r w:rsidR="00A2559C" w:rsidRPr="005E1AC7">
        <w:rPr>
          <w:rFonts w:asciiTheme="majorHAnsi" w:hAnsiTheme="majorHAnsi" w:cstheme="majorHAnsi"/>
          <w:szCs w:val="20"/>
        </w:rPr>
        <w:t>, FSA, MAAA</w:t>
      </w:r>
      <w:r w:rsidR="0054396F" w:rsidRPr="005E1AC7">
        <w:rPr>
          <w:rFonts w:asciiTheme="majorHAnsi" w:hAnsiTheme="majorHAnsi" w:cstheme="majorHAnsi"/>
          <w:szCs w:val="20"/>
        </w:rPr>
        <w:tab/>
      </w:r>
      <w:r w:rsidR="0054396F" w:rsidRPr="005E1AC7">
        <w:rPr>
          <w:rFonts w:asciiTheme="majorHAnsi" w:hAnsiTheme="majorHAnsi" w:cstheme="majorHAnsi"/>
          <w:szCs w:val="20"/>
        </w:rPr>
        <w:tab/>
      </w:r>
      <w:r w:rsidR="0054396F" w:rsidRPr="005E1AC7">
        <w:rPr>
          <w:rFonts w:asciiTheme="majorHAnsi" w:hAnsiTheme="majorHAnsi" w:cstheme="majorHAnsi"/>
          <w:szCs w:val="20"/>
        </w:rPr>
        <w:tab/>
      </w:r>
      <w:r w:rsidR="0054396F" w:rsidRPr="005E1AC7">
        <w:rPr>
          <w:rFonts w:asciiTheme="majorHAnsi" w:hAnsiTheme="majorHAnsi" w:cstheme="majorHAnsi"/>
          <w:szCs w:val="20"/>
        </w:rPr>
        <w:tab/>
      </w:r>
      <w:r w:rsidR="0054396F" w:rsidRPr="005E1AC7">
        <w:rPr>
          <w:rFonts w:asciiTheme="majorHAnsi" w:hAnsiTheme="majorHAnsi" w:cstheme="majorHAnsi"/>
          <w:szCs w:val="20"/>
        </w:rPr>
        <w:tab/>
      </w:r>
      <w:r w:rsidR="0054396F" w:rsidRPr="005E1AC7">
        <w:rPr>
          <w:rFonts w:asciiTheme="majorHAnsi" w:hAnsiTheme="majorHAnsi" w:cstheme="majorHAnsi"/>
          <w:szCs w:val="20"/>
        </w:rPr>
        <w:tab/>
      </w:r>
    </w:p>
    <w:p w14:paraId="7E2E916C" w14:textId="77777777" w:rsidR="007025A2" w:rsidRPr="005E1AC7" w:rsidRDefault="007025A2" w:rsidP="007025A2">
      <w:pPr>
        <w:contextualSpacing/>
        <w:rPr>
          <w:rFonts w:asciiTheme="majorHAnsi" w:hAnsiTheme="majorHAnsi" w:cstheme="majorHAnsi"/>
          <w:szCs w:val="20"/>
        </w:rPr>
      </w:pPr>
      <w:r w:rsidRPr="005E1AC7">
        <w:rPr>
          <w:rFonts w:asciiTheme="majorHAnsi" w:hAnsiTheme="majorHAnsi" w:cstheme="majorHAnsi"/>
          <w:szCs w:val="20"/>
        </w:rPr>
        <w:t>Corporate Vice President, Research Data Services</w:t>
      </w:r>
      <w:r w:rsidR="0054396F" w:rsidRPr="005E1AC7">
        <w:rPr>
          <w:rFonts w:asciiTheme="majorHAnsi" w:hAnsiTheme="majorHAnsi" w:cstheme="majorHAnsi"/>
          <w:szCs w:val="20"/>
        </w:rPr>
        <w:tab/>
      </w:r>
    </w:p>
    <w:p w14:paraId="1866FCF3" w14:textId="6133D08E" w:rsidR="0054396F" w:rsidRPr="005E1AC7" w:rsidRDefault="007025A2" w:rsidP="0054396F">
      <w:pPr>
        <w:contextualSpacing/>
        <w:rPr>
          <w:rFonts w:asciiTheme="majorHAnsi" w:hAnsiTheme="majorHAnsi" w:cstheme="majorHAnsi"/>
          <w:b/>
          <w:bCs/>
          <w:szCs w:val="20"/>
        </w:rPr>
      </w:pPr>
      <w:r w:rsidRPr="005E1AC7">
        <w:rPr>
          <w:rFonts w:asciiTheme="majorHAnsi" w:hAnsiTheme="majorHAnsi" w:cstheme="majorHAnsi"/>
          <w:szCs w:val="20"/>
        </w:rPr>
        <w:t>LIMRA</w:t>
      </w:r>
    </w:p>
    <w:sectPr w:rsidR="0054396F" w:rsidRPr="005E1AC7" w:rsidSect="00D703AD">
      <w:headerReference w:type="default" r:id="rId10"/>
      <w:footerReference w:type="default" r:id="rId11"/>
      <w:type w:val="continuous"/>
      <w:pgSz w:w="12240" w:h="15840" w:code="1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2DC9C" w14:textId="77777777" w:rsidR="00D703AD" w:rsidRDefault="00D703AD" w:rsidP="00821734">
      <w:pPr>
        <w:spacing w:after="0" w:line="240" w:lineRule="auto"/>
      </w:pPr>
      <w:r>
        <w:separator/>
      </w:r>
    </w:p>
  </w:endnote>
  <w:endnote w:type="continuationSeparator" w:id="0">
    <w:p w14:paraId="37AD4670" w14:textId="77777777" w:rsidR="00D703AD" w:rsidRDefault="00D703AD" w:rsidP="0082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D2480" w14:textId="77777777" w:rsidR="00C42F16" w:rsidRDefault="00C42F16" w:rsidP="00C42F16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4FC6" w14:textId="77777777" w:rsidR="00D703AD" w:rsidRDefault="00D703AD" w:rsidP="00821734">
      <w:pPr>
        <w:spacing w:after="0" w:line="240" w:lineRule="auto"/>
      </w:pPr>
      <w:r>
        <w:separator/>
      </w:r>
    </w:p>
  </w:footnote>
  <w:footnote w:type="continuationSeparator" w:id="0">
    <w:p w14:paraId="5AFE710C" w14:textId="77777777" w:rsidR="00D703AD" w:rsidRDefault="00D703AD" w:rsidP="0082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700F" w14:textId="420A7CBF" w:rsidR="00C42F16" w:rsidRDefault="00A2559C">
    <w:pPr>
      <w:pStyle w:val="Header"/>
    </w:pPr>
    <w:r>
      <w:rPr>
        <w:noProof/>
      </w:rPr>
      <w:drawing>
        <wp:inline distT="0" distB="0" distL="0" distR="0" wp14:anchorId="5BE2A803" wp14:editId="641D1A8F">
          <wp:extent cx="2035810" cy="666750"/>
          <wp:effectExtent l="0" t="0" r="2540" b="0"/>
          <wp:docPr id="15196547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463" cy="670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33F4"/>
    <w:multiLevelType w:val="hybridMultilevel"/>
    <w:tmpl w:val="84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C23C8E"/>
    <w:multiLevelType w:val="hybridMultilevel"/>
    <w:tmpl w:val="B84E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2925"/>
    <w:multiLevelType w:val="hybridMultilevel"/>
    <w:tmpl w:val="3ED01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5B188E"/>
    <w:multiLevelType w:val="hybridMultilevel"/>
    <w:tmpl w:val="84589604"/>
    <w:lvl w:ilvl="0" w:tplc="EF74C8A6">
      <w:numFmt w:val="bullet"/>
      <w:lvlText w:val="·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5032"/>
    <w:multiLevelType w:val="hybridMultilevel"/>
    <w:tmpl w:val="BCAE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5D9"/>
    <w:multiLevelType w:val="hybridMultilevel"/>
    <w:tmpl w:val="FB00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6146"/>
    <w:multiLevelType w:val="hybridMultilevel"/>
    <w:tmpl w:val="17B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7E15"/>
    <w:multiLevelType w:val="hybridMultilevel"/>
    <w:tmpl w:val="002E250E"/>
    <w:lvl w:ilvl="0" w:tplc="EF74C8A6">
      <w:numFmt w:val="bullet"/>
      <w:lvlText w:val="·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2640866">
    <w:abstractNumId w:val="6"/>
  </w:num>
  <w:num w:numId="2" w16cid:durableId="1100761314">
    <w:abstractNumId w:val="4"/>
  </w:num>
  <w:num w:numId="3" w16cid:durableId="462236694">
    <w:abstractNumId w:val="5"/>
  </w:num>
  <w:num w:numId="4" w16cid:durableId="1865903703">
    <w:abstractNumId w:val="2"/>
  </w:num>
  <w:num w:numId="5" w16cid:durableId="1767460398">
    <w:abstractNumId w:val="7"/>
  </w:num>
  <w:num w:numId="6" w16cid:durableId="619150710">
    <w:abstractNumId w:val="3"/>
  </w:num>
  <w:num w:numId="7" w16cid:durableId="1643273607">
    <w:abstractNumId w:val="0"/>
  </w:num>
  <w:num w:numId="8" w16cid:durableId="33234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2"/>
    <w:rsid w:val="00023FA4"/>
    <w:rsid w:val="00032897"/>
    <w:rsid w:val="000604AE"/>
    <w:rsid w:val="00092A0F"/>
    <w:rsid w:val="000A006A"/>
    <w:rsid w:val="000F256A"/>
    <w:rsid w:val="001305C7"/>
    <w:rsid w:val="0015508C"/>
    <w:rsid w:val="001669AA"/>
    <w:rsid w:val="00186252"/>
    <w:rsid w:val="001B1A29"/>
    <w:rsid w:val="001D111A"/>
    <w:rsid w:val="001E0789"/>
    <w:rsid w:val="002633A6"/>
    <w:rsid w:val="00270EAD"/>
    <w:rsid w:val="00290ABF"/>
    <w:rsid w:val="00297ECA"/>
    <w:rsid w:val="002E482D"/>
    <w:rsid w:val="00305EEA"/>
    <w:rsid w:val="00310505"/>
    <w:rsid w:val="00326B65"/>
    <w:rsid w:val="003438B6"/>
    <w:rsid w:val="003463D1"/>
    <w:rsid w:val="0035437B"/>
    <w:rsid w:val="00357A33"/>
    <w:rsid w:val="00371C6C"/>
    <w:rsid w:val="00445A60"/>
    <w:rsid w:val="004553F0"/>
    <w:rsid w:val="00470A2C"/>
    <w:rsid w:val="004965A3"/>
    <w:rsid w:val="004A34ED"/>
    <w:rsid w:val="004A5B53"/>
    <w:rsid w:val="004C22F4"/>
    <w:rsid w:val="004F69B9"/>
    <w:rsid w:val="00506F93"/>
    <w:rsid w:val="00523082"/>
    <w:rsid w:val="0054396F"/>
    <w:rsid w:val="00574F22"/>
    <w:rsid w:val="00575286"/>
    <w:rsid w:val="005944EA"/>
    <w:rsid w:val="005B5BE4"/>
    <w:rsid w:val="005B6903"/>
    <w:rsid w:val="005C10D2"/>
    <w:rsid w:val="005E1AC7"/>
    <w:rsid w:val="005F7FB4"/>
    <w:rsid w:val="0061562A"/>
    <w:rsid w:val="006315A5"/>
    <w:rsid w:val="00632B30"/>
    <w:rsid w:val="00637057"/>
    <w:rsid w:val="00695200"/>
    <w:rsid w:val="006D6889"/>
    <w:rsid w:val="006E363D"/>
    <w:rsid w:val="006F0565"/>
    <w:rsid w:val="007025A2"/>
    <w:rsid w:val="0070385C"/>
    <w:rsid w:val="0072671C"/>
    <w:rsid w:val="00760363"/>
    <w:rsid w:val="00760B69"/>
    <w:rsid w:val="00772B50"/>
    <w:rsid w:val="007E6613"/>
    <w:rsid w:val="00821734"/>
    <w:rsid w:val="00830388"/>
    <w:rsid w:val="0086732F"/>
    <w:rsid w:val="00884ADB"/>
    <w:rsid w:val="00893775"/>
    <w:rsid w:val="0093781C"/>
    <w:rsid w:val="00972590"/>
    <w:rsid w:val="00987578"/>
    <w:rsid w:val="009B5568"/>
    <w:rsid w:val="009C0829"/>
    <w:rsid w:val="009C45A4"/>
    <w:rsid w:val="00A02461"/>
    <w:rsid w:val="00A233E0"/>
    <w:rsid w:val="00A2559C"/>
    <w:rsid w:val="00A52F6F"/>
    <w:rsid w:val="00A62FD6"/>
    <w:rsid w:val="00A7061B"/>
    <w:rsid w:val="00A952D2"/>
    <w:rsid w:val="00B2238E"/>
    <w:rsid w:val="00B26F35"/>
    <w:rsid w:val="00B36E41"/>
    <w:rsid w:val="00B53EEB"/>
    <w:rsid w:val="00B67EBA"/>
    <w:rsid w:val="00B80141"/>
    <w:rsid w:val="00B81497"/>
    <w:rsid w:val="00B81DD9"/>
    <w:rsid w:val="00B90249"/>
    <w:rsid w:val="00BB4A06"/>
    <w:rsid w:val="00BC28E3"/>
    <w:rsid w:val="00BC31F4"/>
    <w:rsid w:val="00BE0B5F"/>
    <w:rsid w:val="00C42F16"/>
    <w:rsid w:val="00C955C2"/>
    <w:rsid w:val="00CB294C"/>
    <w:rsid w:val="00CB7E82"/>
    <w:rsid w:val="00CF1FC4"/>
    <w:rsid w:val="00D22A22"/>
    <w:rsid w:val="00D4382A"/>
    <w:rsid w:val="00D44F01"/>
    <w:rsid w:val="00D61C8D"/>
    <w:rsid w:val="00D703AD"/>
    <w:rsid w:val="00D800D1"/>
    <w:rsid w:val="00E079EB"/>
    <w:rsid w:val="00E46658"/>
    <w:rsid w:val="00E8373B"/>
    <w:rsid w:val="00EA4473"/>
    <w:rsid w:val="00EB506A"/>
    <w:rsid w:val="00EB6126"/>
    <w:rsid w:val="00ED6ECA"/>
    <w:rsid w:val="00EE0B32"/>
    <w:rsid w:val="00F06AAE"/>
    <w:rsid w:val="00F253D2"/>
    <w:rsid w:val="00F35419"/>
    <w:rsid w:val="00F829E1"/>
    <w:rsid w:val="00FE7646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1C956"/>
  <w15:chartTrackingRefBased/>
  <w15:docId w15:val="{74E66DAA-1BE1-41EF-8D67-3B04780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8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1395C" w:themeColor="accent1" w:themeShade="BF"/>
      <w:sz w:val="24"/>
      <w:szCs w:val="24"/>
    </w:rPr>
  </w:style>
  <w:style w:type="paragraph" w:styleId="Heading2">
    <w:name w:val="heading 2"/>
    <w:basedOn w:val="Heading1"/>
    <w:next w:val="ResBodyText"/>
    <w:link w:val="Heading2Char"/>
    <w:uiPriority w:val="9"/>
    <w:unhideWhenUsed/>
    <w:qFormat/>
    <w:rsid w:val="005B6903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</w:tabs>
      <w:spacing w:before="360" w:after="60"/>
      <w:outlineLvl w:val="1"/>
    </w:pPr>
    <w:rPr>
      <w:rFonts w:eastAsiaTheme="minorHAnsi" w:cs="Arial"/>
      <w:color w:val="3AA5B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24D7C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4965A3"/>
    <w:pPr>
      <w:spacing w:before="6" w:after="0" w:line="240" w:lineRule="auto"/>
      <w:ind w:right="150"/>
    </w:pPr>
    <w:rPr>
      <w:rFonts w:ascii="Calibri Light" w:eastAsia="Avenir LT Std 35 Light" w:hAnsi="Calibri Light" w:cs="Arial"/>
      <w:color w:val="024D7C" w:themeColor="accent1"/>
      <w:sz w:val="32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4965A3"/>
    <w:rPr>
      <w:rFonts w:ascii="Calibri Light" w:eastAsia="Avenir LT Std 35 Light" w:hAnsi="Calibri Light" w:cs="Arial"/>
      <w:color w:val="024D7C" w:themeColor="accent1"/>
      <w:sz w:val="32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5B6903"/>
    <w:rPr>
      <w:rFonts w:asciiTheme="majorHAnsi" w:hAnsiTheme="majorHAnsi" w:cs="Arial"/>
      <w:b/>
      <w:color w:val="3AA5BD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B6903"/>
    <w:rPr>
      <w:rFonts w:asciiTheme="majorHAnsi" w:eastAsiaTheme="majorEastAsia" w:hAnsiTheme="majorHAnsi" w:cstheme="majorBidi"/>
      <w:b/>
      <w:color w:val="01395C" w:themeColor="accent1" w:themeShade="BF"/>
      <w:sz w:val="24"/>
      <w:szCs w:val="24"/>
    </w:rPr>
  </w:style>
  <w:style w:type="paragraph" w:customStyle="1" w:styleId="ResBodyText">
    <w:name w:val="Res Body Text"/>
    <w:link w:val="ResBodyTextChar"/>
    <w:qFormat/>
    <w:rsid w:val="00BB4A06"/>
    <w:pPr>
      <w:spacing w:after="240"/>
    </w:pPr>
    <w:rPr>
      <w:rFonts w:cs="Arial"/>
      <w:sz w:val="20"/>
      <w:szCs w:val="18"/>
    </w:rPr>
  </w:style>
  <w:style w:type="character" w:customStyle="1" w:styleId="ResBodyTextChar">
    <w:name w:val="Res Body Text Char"/>
    <w:basedOn w:val="DefaultParagraphFont"/>
    <w:link w:val="ResBodyText"/>
    <w:rsid w:val="00BB4A06"/>
    <w:rPr>
      <w:rFonts w:cs="Arial"/>
      <w:sz w:val="20"/>
      <w:szCs w:val="18"/>
    </w:rPr>
  </w:style>
  <w:style w:type="table" w:customStyle="1" w:styleId="ResearchStandardTable">
    <w:name w:val="Research Standard Table"/>
    <w:basedOn w:val="TableNormal"/>
    <w:uiPriority w:val="99"/>
    <w:rsid w:val="00B67EBA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FF5571"/>
      </w:tcPr>
    </w:tblStylePr>
    <w:tblStylePr w:type="firstCol">
      <w:pPr>
        <w:wordWrap/>
        <w:jc w:val="left"/>
      </w:pPr>
    </w:tblStylePr>
    <w:tblStylePr w:type="band1Vert">
      <w:pPr>
        <w:jc w:val="center"/>
      </w:pPr>
      <w:tblPr/>
      <w:tcPr>
        <w:vAlign w:val="center"/>
      </w:tcPr>
    </w:tblStylePr>
    <w:tblStylePr w:type="band1Horz">
      <w:rPr>
        <w:rFonts w:asciiTheme="minorHAnsi" w:hAnsiTheme="minorHAnsi"/>
        <w:color w:val="000000" w:themeColor="text1"/>
        <w:sz w:val="18"/>
      </w:rPr>
      <w:tblPr/>
      <w:tcPr>
        <w:tcBorders>
          <w:bottom w:val="single" w:sz="4" w:space="0" w:color="7F7F7F" w:themeColor="text1" w:themeTint="80"/>
        </w:tcBorders>
        <w:shd w:val="clear" w:color="auto" w:fill="E6E6E6"/>
      </w:tcPr>
    </w:tblStylePr>
    <w:tblStylePr w:type="band2Horz">
      <w:rPr>
        <w:rFonts w:asciiTheme="minorHAnsi" w:hAnsiTheme="minorHAnsi"/>
        <w:color w:val="000000" w:themeColor="text1"/>
        <w:sz w:val="18"/>
      </w:rPr>
      <w:tblPr/>
      <w:tcPr>
        <w:tcBorders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21734"/>
    <w:rPr>
      <w:rFonts w:asciiTheme="majorHAnsi" w:eastAsiaTheme="majorEastAsia" w:hAnsiTheme="majorHAnsi" w:cstheme="majorBidi"/>
      <w:b/>
      <w:color w:val="024D7C" w:themeColor="accen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3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2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34"/>
    <w:rPr>
      <w:sz w:val="20"/>
    </w:rPr>
  </w:style>
  <w:style w:type="paragraph" w:customStyle="1" w:styleId="Headeraddressbox">
    <w:name w:val="Header address box"/>
    <w:basedOn w:val="Normal"/>
    <w:link w:val="HeaderaddressboxChar"/>
    <w:qFormat/>
    <w:rsid w:val="005944EA"/>
    <w:pPr>
      <w:spacing w:after="0" w:line="240" w:lineRule="auto"/>
    </w:pPr>
    <w:rPr>
      <w:rFonts w:cstheme="minorHAnsi"/>
      <w:sz w:val="16"/>
      <w:szCs w:val="16"/>
    </w:rPr>
  </w:style>
  <w:style w:type="paragraph" w:styleId="NoSpacing">
    <w:name w:val="No Spacing"/>
    <w:uiPriority w:val="1"/>
    <w:qFormat/>
    <w:rsid w:val="00CF1FC4"/>
    <w:pPr>
      <w:spacing w:after="0"/>
    </w:pPr>
    <w:rPr>
      <w:sz w:val="20"/>
    </w:rPr>
  </w:style>
  <w:style w:type="character" w:customStyle="1" w:styleId="HeaderaddressboxChar">
    <w:name w:val="Header address box Char"/>
    <w:basedOn w:val="DefaultParagraphFont"/>
    <w:link w:val="Headeraddressbox"/>
    <w:rsid w:val="005944EA"/>
    <w:rPr>
      <w:rFonts w:cstheme="minorHAnsi"/>
      <w:sz w:val="16"/>
      <w:szCs w:val="16"/>
    </w:rPr>
  </w:style>
  <w:style w:type="table" w:styleId="TableGrid">
    <w:name w:val="Table Grid"/>
    <w:basedOn w:val="TableNormal"/>
    <w:uiPriority w:val="39"/>
    <w:rsid w:val="00CF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address">
    <w:name w:val="Memo address"/>
    <w:basedOn w:val="ResBodyText"/>
    <w:link w:val="MemoaddressChar"/>
    <w:qFormat/>
    <w:rsid w:val="00CF1FC4"/>
    <w:pPr>
      <w:spacing w:before="120" w:after="0"/>
    </w:pPr>
  </w:style>
  <w:style w:type="character" w:customStyle="1" w:styleId="MemoaddressChar">
    <w:name w:val="Memo address Char"/>
    <w:basedOn w:val="ResBodyTextChar"/>
    <w:link w:val="Memoaddress"/>
    <w:rsid w:val="00CF1FC4"/>
    <w:rPr>
      <w:rFonts w:cs="Arial"/>
      <w:sz w:val="20"/>
      <w:szCs w:val="18"/>
    </w:rPr>
  </w:style>
  <w:style w:type="paragraph" w:styleId="ListParagraph">
    <w:name w:val="List Paragraph"/>
    <w:basedOn w:val="Normal"/>
    <w:uiPriority w:val="34"/>
    <w:qFormat/>
    <w:rsid w:val="00A95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A952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D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A952D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952D2"/>
    <w:rPr>
      <w:color w:val="4E82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952D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2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952D2"/>
    <w:rPr>
      <w:vertAlign w:val="superscript"/>
    </w:rPr>
  </w:style>
  <w:style w:type="paragraph" w:customStyle="1" w:styleId="TableandChartText">
    <w:name w:val="Table and Chart Text"/>
    <w:qFormat/>
    <w:rsid w:val="00EA4473"/>
    <w:pPr>
      <w:spacing w:after="0"/>
    </w:pPr>
    <w:rPr>
      <w:rFonts w:asciiTheme="majorHAnsi" w:hAnsiTheme="majorHAnsi" w:cs="Arial"/>
      <w:sz w:val="18"/>
      <w:szCs w:val="18"/>
    </w:rPr>
  </w:style>
  <w:style w:type="paragraph" w:customStyle="1" w:styleId="TableFigureNumber">
    <w:name w:val="Table Figure Number"/>
    <w:qFormat/>
    <w:rsid w:val="00A233E0"/>
    <w:pPr>
      <w:spacing w:before="120" w:after="0"/>
    </w:pPr>
    <w:rPr>
      <w:rFonts w:cs="Arial"/>
      <w:b/>
      <w:color w:val="000000" w:themeColor="text1"/>
      <w:sz w:val="18"/>
      <w:szCs w:val="26"/>
    </w:rPr>
  </w:style>
  <w:style w:type="paragraph" w:customStyle="1" w:styleId="TableFigureDescription">
    <w:name w:val="Table Figure Description"/>
    <w:qFormat/>
    <w:rsid w:val="00A233E0"/>
    <w:pPr>
      <w:spacing w:after="80"/>
    </w:pPr>
    <w:rPr>
      <w:rFonts w:asciiTheme="majorHAnsi" w:hAnsiTheme="majorHAnsi" w:cs="Arial"/>
      <w:color w:val="024D7C"/>
      <w:sz w:val="2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752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7ECA"/>
    <w:pPr>
      <w:spacing w:after="0"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C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0789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customStyle="1" w:styleId="elementtoproof">
    <w:name w:val="elementtoproof"/>
    <w:basedOn w:val="Normal"/>
    <w:uiPriority w:val="99"/>
    <w:semiHidden/>
    <w:rsid w:val="001E0789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Table-FigureNumber">
    <w:name w:val="Table-Figure Number"/>
    <w:qFormat/>
    <w:rsid w:val="00BC28E3"/>
    <w:pPr>
      <w:keepNext/>
      <w:spacing w:before="120" w:after="0"/>
    </w:pPr>
    <w:rPr>
      <w:rFonts w:cs="Arial"/>
      <w:b/>
      <w:color w:val="000000" w:themeColor="text1"/>
      <w:sz w:val="18"/>
      <w:szCs w:val="26"/>
    </w:rPr>
  </w:style>
  <w:style w:type="paragraph" w:customStyle="1" w:styleId="Table-FigureTitle">
    <w:name w:val="Table-Figure Title"/>
    <w:next w:val="Normal"/>
    <w:qFormat/>
    <w:rsid w:val="00BC28E3"/>
    <w:pPr>
      <w:keepNext/>
      <w:spacing w:after="80"/>
    </w:pPr>
    <w:rPr>
      <w:rFonts w:asciiTheme="majorHAnsi" w:hAnsiTheme="majorHAnsi" w:cs="Arial"/>
      <w:caps/>
      <w:color w:val="024D7C"/>
      <w:sz w:val="20"/>
      <w:szCs w:val="26"/>
    </w:rPr>
  </w:style>
  <w:style w:type="paragraph" w:customStyle="1" w:styleId="Table-FigureText">
    <w:name w:val="Table-Figure Text"/>
    <w:basedOn w:val="Normal"/>
    <w:link w:val="Table-FigureTextChar"/>
    <w:qFormat/>
    <w:rsid w:val="0035437B"/>
    <w:pPr>
      <w:spacing w:after="0"/>
    </w:pPr>
    <w:rPr>
      <w:rFonts w:cs="Arial"/>
      <w:sz w:val="18"/>
      <w:szCs w:val="18"/>
    </w:rPr>
  </w:style>
  <w:style w:type="paragraph" w:customStyle="1" w:styleId="Tableheaderrows">
    <w:name w:val="Table header rows"/>
    <w:basedOn w:val="Table-FigureText"/>
    <w:link w:val="TableheaderrowsChar"/>
    <w:qFormat/>
    <w:rsid w:val="0035437B"/>
    <w:pPr>
      <w:spacing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Table-FigureTextChar">
    <w:name w:val="Table-Figure Text Char"/>
    <w:basedOn w:val="DefaultParagraphFont"/>
    <w:link w:val="Table-FigureText"/>
    <w:rsid w:val="0035437B"/>
    <w:rPr>
      <w:rFonts w:cs="Arial"/>
      <w:sz w:val="18"/>
      <w:szCs w:val="18"/>
    </w:rPr>
  </w:style>
  <w:style w:type="character" w:customStyle="1" w:styleId="TableheaderrowsChar">
    <w:name w:val="Table header rows Char"/>
    <w:basedOn w:val="Table-FigureTextChar"/>
    <w:link w:val="Tableheaderrows"/>
    <w:rsid w:val="0035437B"/>
    <w:rPr>
      <w:rFonts w:asciiTheme="majorHAnsi" w:hAnsiTheme="majorHAnsi" w:cs="Arial"/>
      <w:color w:val="FFFFFF" w:themeColor="background1"/>
      <w:sz w:val="18"/>
      <w:szCs w:val="18"/>
    </w:rPr>
  </w:style>
  <w:style w:type="paragraph" w:customStyle="1" w:styleId="Bodysinglespace">
    <w:name w:val="Body: single space"/>
    <w:basedOn w:val="Normal"/>
    <w:link w:val="BodysinglespaceChar"/>
    <w:qFormat/>
    <w:rsid w:val="0054396F"/>
    <w:pPr>
      <w:spacing w:after="0"/>
    </w:pPr>
    <w:rPr>
      <w:rFonts w:ascii="Calibri Light" w:hAnsi="Calibri Light" w:cs="Arial"/>
      <w:szCs w:val="18"/>
    </w:rPr>
  </w:style>
  <w:style w:type="character" w:customStyle="1" w:styleId="BodysinglespaceChar">
    <w:name w:val="Body: single space Char"/>
    <w:basedOn w:val="DefaultParagraphFont"/>
    <w:link w:val="Bodysinglespace"/>
    <w:rsid w:val="0054396F"/>
    <w:rPr>
      <w:rFonts w:ascii="Calibri Light" w:hAnsi="Calibri Light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lan@so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A-W2021">
  <a:themeElements>
    <a:clrScheme name="SOA Blue hyperlink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24D7C"/>
      </a:accent1>
      <a:accent2>
        <a:srgbClr val="77C4D5"/>
      </a:accent2>
      <a:accent3>
        <a:srgbClr val="D23138"/>
      </a:accent3>
      <a:accent4>
        <a:srgbClr val="FDCE07"/>
      </a:accent4>
      <a:accent5>
        <a:srgbClr val="BABF33"/>
      </a:accent5>
      <a:accent6>
        <a:srgbClr val="E27F26"/>
      </a:accent6>
      <a:hlink>
        <a:srgbClr val="4E82A3"/>
      </a:hlink>
      <a:folHlink>
        <a:srgbClr val="024D7C"/>
      </a:folHlink>
    </a:clrScheme>
    <a:fontScheme name="SOA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ADAAC-5A6C-4959-BE34-28D3C3719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4EA4F-97D0-47E1-BEEB-535CF57E7020}"/>
</file>

<file path=customXml/itemProps3.xml><?xml version="1.0" encoding="utf-8"?>
<ds:datastoreItem xmlns:ds="http://schemas.openxmlformats.org/officeDocument/2006/customXml" ds:itemID="{1E78E63D-48FE-463E-860E-F586F63D6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Marianne Purushotham</cp:lastModifiedBy>
  <cp:revision>3</cp:revision>
  <cp:lastPrinted>2022-06-08T18:17:00Z</cp:lastPrinted>
  <dcterms:created xsi:type="dcterms:W3CDTF">2024-05-09T00:54:00Z</dcterms:created>
  <dcterms:modified xsi:type="dcterms:W3CDTF">2024-05-09T00:57:00Z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2023-12-11T17:00:46Z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97e30b9b-14cc-4d84-a86d-c582f365b946</vt:lpwstr>
  </property>
  <property fmtid="{D5CDD505-2E9C-101B-9397-08002B2CF9AE}" pid="8" name="MSIP_Label_ea60d57e-af5b-4752-ac57-3e4f28ca11dc_ContentBits">
    <vt:lpwstr>0</vt:lpwstr>
  </property>
  <property fmtid="{D5CDD505-2E9C-101B-9397-08002B2CF9AE}" pid="9" name="GrammarlyDocumentId">
    <vt:lpwstr>8e3740174ab119823a6c3b551adb75faedcc89a28639712846b650e8c2f1732c</vt:lpwstr>
  </property>
</Properties>
</file>