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B6FE" w14:textId="0B4C999C" w:rsidR="00900C6F" w:rsidRPr="004062C7" w:rsidRDefault="00CB45D9" w:rsidP="00900C6F">
      <w:pPr>
        <w:pStyle w:val="Title"/>
      </w:pPr>
      <w:r>
        <w:t xml:space="preserve">Vermont </w:t>
      </w:r>
      <w:r w:rsidR="00C423C3">
        <w:t xml:space="preserve">Comments </w:t>
      </w:r>
    </w:p>
    <w:p w14:paraId="40BF8E59" w14:textId="66A5D203" w:rsidR="00667761" w:rsidRDefault="00CB45D9" w:rsidP="00ED2D37">
      <w:pPr>
        <w:pStyle w:val="Heading1"/>
        <w:jc w:val="center"/>
      </w:pPr>
      <w:r>
        <w:t xml:space="preserve">LTC (EX) Multi-state Actuarial </w:t>
      </w:r>
      <w:r w:rsidR="00ED2D37">
        <w:t>Rate Review Framework</w:t>
      </w:r>
    </w:p>
    <w:p w14:paraId="0B727357" w14:textId="77777777" w:rsidR="00667761" w:rsidRDefault="00667761" w:rsidP="00900C6F">
      <w:pPr>
        <w:pStyle w:val="Heading1"/>
      </w:pPr>
    </w:p>
    <w:p w14:paraId="0DA79CDD"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On p. 14, in appendix D, Principles for Reduced Benefit Options (RBO) Associated with LTCI Rate Increases, it reads:</w:t>
      </w:r>
    </w:p>
    <w:p w14:paraId="7239730B" w14:textId="77777777" w:rsidR="009F2610" w:rsidRPr="009F2610" w:rsidRDefault="009F2610" w:rsidP="009F2610">
      <w:pPr>
        <w:pStyle w:val="xdefault"/>
        <w:rPr>
          <w:rFonts w:asciiTheme="minorHAnsi" w:hAnsiTheme="minorHAnsi" w:cstheme="minorHAnsi"/>
          <w:color w:val="000000"/>
          <w:sz w:val="24"/>
          <w:szCs w:val="24"/>
        </w:rPr>
      </w:pPr>
      <w:r w:rsidRPr="009F2610">
        <w:rPr>
          <w:rFonts w:asciiTheme="minorHAnsi" w:hAnsiTheme="minorHAnsi" w:cstheme="minorHAnsi"/>
          <w:color w:val="000000"/>
          <w:sz w:val="24"/>
          <w:szCs w:val="24"/>
        </w:rPr>
        <w:t> </w:t>
      </w:r>
    </w:p>
    <w:p w14:paraId="20FF6602" w14:textId="77777777" w:rsidR="009F2610" w:rsidRPr="009F2610" w:rsidRDefault="009F2610" w:rsidP="009F2610">
      <w:pPr>
        <w:pStyle w:val="xdefault"/>
        <w:ind w:left="720"/>
        <w:rPr>
          <w:rFonts w:asciiTheme="minorHAnsi" w:hAnsiTheme="minorHAnsi" w:cstheme="minorHAnsi"/>
          <w:color w:val="000000"/>
          <w:sz w:val="24"/>
          <w:szCs w:val="24"/>
        </w:rPr>
      </w:pPr>
      <w:r w:rsidRPr="009F2610">
        <w:rPr>
          <w:rFonts w:asciiTheme="minorHAnsi" w:hAnsiTheme="minorHAnsi" w:cstheme="minorHAnsi"/>
          <w:i/>
          <w:iCs/>
          <w:color w:val="000000"/>
        </w:rPr>
        <w:t>Exploration of innovation, particularly where an outcome of improved health and lower claim costs are possible:</w:t>
      </w:r>
    </w:p>
    <w:p w14:paraId="00F91BB2" w14:textId="77777777" w:rsidR="009F2610" w:rsidRPr="009F2610" w:rsidRDefault="009F2610" w:rsidP="009F2610">
      <w:pPr>
        <w:pStyle w:val="xdefault"/>
        <w:ind w:left="720"/>
        <w:rPr>
          <w:rFonts w:asciiTheme="minorHAnsi" w:hAnsiTheme="minorHAnsi" w:cstheme="minorHAnsi"/>
          <w:color w:val="000000"/>
          <w:sz w:val="24"/>
          <w:szCs w:val="24"/>
        </w:rPr>
      </w:pPr>
      <w:r w:rsidRPr="009F2610">
        <w:rPr>
          <w:rFonts w:asciiTheme="minorHAnsi" w:hAnsiTheme="minorHAnsi" w:cstheme="minorHAnsi"/>
          <w:i/>
          <w:iCs/>
          <w:color w:val="000000"/>
        </w:rPr>
        <w:t> </w:t>
      </w:r>
    </w:p>
    <w:p w14:paraId="6FA81B48" w14:textId="77777777" w:rsidR="009F2610" w:rsidRPr="009F2610" w:rsidRDefault="009F2610" w:rsidP="009F2610">
      <w:pPr>
        <w:pStyle w:val="xdefault"/>
        <w:ind w:left="720"/>
        <w:rPr>
          <w:rFonts w:asciiTheme="minorHAnsi" w:hAnsiTheme="minorHAnsi" w:cstheme="minorHAnsi"/>
          <w:color w:val="000000"/>
          <w:sz w:val="24"/>
          <w:szCs w:val="24"/>
        </w:rPr>
      </w:pPr>
      <w:r w:rsidRPr="009F2610">
        <w:rPr>
          <w:rFonts w:asciiTheme="minorHAnsi" w:hAnsiTheme="minorHAnsi" w:cstheme="minorHAnsi"/>
          <w:i/>
          <w:iCs/>
          <w:color w:val="000000"/>
        </w:rPr>
        <w:t xml:space="preserve">• Regulators and interested parties should continue to study the idea of offerings being made by insurers including potentially being tied to rate increases, e.g., providing hand railings for fall prevention in high-risk homes, and identifying the pros and cons of such an approach. </w:t>
      </w:r>
    </w:p>
    <w:p w14:paraId="1F2B8C06" w14:textId="70075A4C" w:rsidR="009F2610" w:rsidRDefault="009F2610" w:rsidP="009F2610">
      <w:pPr>
        <w:pStyle w:val="xmsonormal"/>
        <w:rPr>
          <w:rFonts w:asciiTheme="minorHAnsi" w:hAnsiTheme="minorHAnsi" w:cstheme="minorHAnsi"/>
        </w:rPr>
      </w:pPr>
      <w:r w:rsidRPr="009F2610">
        <w:rPr>
          <w:rFonts w:asciiTheme="minorHAnsi" w:hAnsiTheme="minorHAnsi" w:cstheme="minorHAnsi"/>
        </w:rPr>
        <w:t> </w:t>
      </w:r>
    </w:p>
    <w:p w14:paraId="65200DA4" w14:textId="77777777" w:rsidR="00583E58" w:rsidRPr="009F2610" w:rsidRDefault="00583E58" w:rsidP="009F2610">
      <w:pPr>
        <w:pStyle w:val="xmsonormal"/>
        <w:rPr>
          <w:rFonts w:asciiTheme="minorHAnsi" w:hAnsiTheme="minorHAnsi" w:cstheme="minorHAnsi"/>
        </w:rPr>
      </w:pPr>
    </w:p>
    <w:p w14:paraId="64A792BA"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 xml:space="preserve">Rate increases for long-term care policies typically add thousands of dollars to the annual premium paid for the policy.  These types of rate increases are significant and may be a hardship to elderly consumers on fixed incomes.  Consumers may not be able to consider their own best interest in the face of a significant change to annual expenses.  Any offer associated with a rate action, and which involves the collection of data through artificial intelligence should clearly explain how information will be collected and used to avoid profiting and potential discriminator actions on behalf of the insurer.  Also, any offer to an insured tied to rate increases should be supported with data showing why and how the rate impact is directly correlated to the offer. </w:t>
      </w:r>
    </w:p>
    <w:p w14:paraId="0BB4CD87"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 </w:t>
      </w:r>
    </w:p>
    <w:p w14:paraId="323D735C"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Consider this example:</w:t>
      </w:r>
    </w:p>
    <w:p w14:paraId="7A7F568D"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 </w:t>
      </w:r>
    </w:p>
    <w:p w14:paraId="02286007" w14:textId="77777777" w:rsidR="009F2610" w:rsidRPr="009F2610" w:rsidRDefault="009F2610" w:rsidP="004D60EC">
      <w:pPr>
        <w:pStyle w:val="xmsonormal"/>
        <w:numPr>
          <w:ilvl w:val="0"/>
          <w:numId w:val="28"/>
        </w:numPr>
        <w:rPr>
          <w:rFonts w:asciiTheme="minorHAnsi" w:hAnsiTheme="minorHAnsi" w:cstheme="minorHAnsi"/>
        </w:rPr>
      </w:pPr>
      <w:r w:rsidRPr="009F2610">
        <w:rPr>
          <w:rFonts w:asciiTheme="minorHAnsi" w:hAnsiTheme="minorHAnsi" w:cstheme="minorHAnsi"/>
        </w:rPr>
        <w:t>A consumer on a fixed income receives notice that long-term care premiums will increase by $3,000 annually.</w:t>
      </w:r>
    </w:p>
    <w:p w14:paraId="61F8A94F" w14:textId="77777777" w:rsidR="009F2610" w:rsidRPr="009F2610" w:rsidRDefault="009F2610" w:rsidP="004D60EC">
      <w:pPr>
        <w:pStyle w:val="xmsonormal"/>
        <w:numPr>
          <w:ilvl w:val="0"/>
          <w:numId w:val="28"/>
        </w:numPr>
        <w:rPr>
          <w:rFonts w:asciiTheme="minorHAnsi" w:hAnsiTheme="minorHAnsi" w:cstheme="minorHAnsi"/>
        </w:rPr>
      </w:pPr>
      <w:r w:rsidRPr="009F2610">
        <w:rPr>
          <w:rFonts w:asciiTheme="minorHAnsi" w:hAnsiTheme="minorHAnsi" w:cstheme="minorHAnsi"/>
        </w:rPr>
        <w:t>That consumer now faces $3,000 of new expenses.</w:t>
      </w:r>
    </w:p>
    <w:p w14:paraId="1B842175" w14:textId="7BB8FB70" w:rsidR="009F2610" w:rsidRPr="009F2610" w:rsidRDefault="009F2610" w:rsidP="004D60EC">
      <w:pPr>
        <w:pStyle w:val="xmsonormal"/>
        <w:ind w:firstLine="48"/>
        <w:rPr>
          <w:rFonts w:asciiTheme="minorHAnsi" w:hAnsiTheme="minorHAnsi" w:cstheme="minorHAnsi"/>
        </w:rPr>
      </w:pPr>
    </w:p>
    <w:p w14:paraId="3704433F" w14:textId="77777777" w:rsidR="009F2610" w:rsidRPr="009F2610" w:rsidRDefault="009F2610" w:rsidP="004D60EC">
      <w:pPr>
        <w:pStyle w:val="xmsonormal"/>
        <w:numPr>
          <w:ilvl w:val="0"/>
          <w:numId w:val="28"/>
        </w:numPr>
        <w:rPr>
          <w:rFonts w:asciiTheme="minorHAnsi" w:hAnsiTheme="minorHAnsi" w:cstheme="minorHAnsi"/>
        </w:rPr>
      </w:pPr>
      <w:r w:rsidRPr="009F2610">
        <w:rPr>
          <w:rFonts w:asciiTheme="minorHAnsi" w:hAnsiTheme="minorHAnsi" w:cstheme="minorHAnsi"/>
        </w:rPr>
        <w:t xml:space="preserve">If the consumer checks a box, they will receive a smart device that will collect data from their home and computer.  </w:t>
      </w:r>
    </w:p>
    <w:p w14:paraId="39949523" w14:textId="77777777" w:rsidR="009F2610" w:rsidRPr="009F2610" w:rsidRDefault="009F2610" w:rsidP="004D60EC">
      <w:pPr>
        <w:pStyle w:val="xmsonormal"/>
        <w:numPr>
          <w:ilvl w:val="0"/>
          <w:numId w:val="28"/>
        </w:numPr>
        <w:rPr>
          <w:rFonts w:asciiTheme="minorHAnsi" w:hAnsiTheme="minorHAnsi" w:cstheme="minorHAnsi"/>
        </w:rPr>
      </w:pPr>
      <w:r w:rsidRPr="009F2610">
        <w:rPr>
          <w:rFonts w:asciiTheme="minorHAnsi" w:hAnsiTheme="minorHAnsi" w:cstheme="minorHAnsi"/>
        </w:rPr>
        <w:t>If they select this option, they will not have to pay any rate increase.</w:t>
      </w:r>
    </w:p>
    <w:p w14:paraId="142A43F9"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 </w:t>
      </w:r>
    </w:p>
    <w:p w14:paraId="347E5C48"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The consumer may not be in the position to act in their own best interest and</w:t>
      </w:r>
      <w:r w:rsidRPr="009F2610">
        <w:rPr>
          <w:rFonts w:asciiTheme="minorHAnsi" w:hAnsiTheme="minorHAnsi" w:cstheme="minorHAnsi"/>
          <w:color w:val="ED5C57"/>
        </w:rPr>
        <w:t xml:space="preserve"> </w:t>
      </w:r>
      <w:r w:rsidRPr="009F2610">
        <w:rPr>
          <w:rFonts w:asciiTheme="minorHAnsi" w:hAnsiTheme="minorHAnsi" w:cstheme="minorHAnsi"/>
        </w:rPr>
        <w:t xml:space="preserve">may not be able to consider these options carefully for several reasons.  First, the consumer may not fully understand the technology proposed, the data to be collected, and the privacy implications.  Second, the consumer may not realize that there may be several other options to modify their policy and reduce premiums besides accepting the new technology option.  The technology option may seem like the only choice available. </w:t>
      </w:r>
      <w:r w:rsidRPr="009F2610">
        <w:rPr>
          <w:rFonts w:asciiTheme="minorHAnsi" w:hAnsiTheme="minorHAnsi" w:cstheme="minorHAnsi"/>
          <w:color w:val="C82613"/>
        </w:rPr>
        <w:t>​</w:t>
      </w:r>
    </w:p>
    <w:p w14:paraId="6EA7122A"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 </w:t>
      </w:r>
    </w:p>
    <w:p w14:paraId="1A70D790" w14:textId="77777777" w:rsidR="009F2610" w:rsidRPr="009F2610" w:rsidRDefault="009F2610" w:rsidP="009F2610">
      <w:pPr>
        <w:pStyle w:val="xmsonormal"/>
        <w:rPr>
          <w:rFonts w:asciiTheme="minorHAnsi" w:hAnsiTheme="minorHAnsi" w:cstheme="minorHAnsi"/>
        </w:rPr>
      </w:pPr>
      <w:r w:rsidRPr="009F2610">
        <w:rPr>
          <w:rFonts w:asciiTheme="minorHAnsi" w:hAnsiTheme="minorHAnsi" w:cstheme="minorHAnsi"/>
        </w:rPr>
        <w:t>The MSA subgroup should consider keeping the wellness program offers separate from implementation of large rate increases (greater than 10%).  Then, there would be no question </w:t>
      </w:r>
      <w:r w:rsidRPr="009F2610">
        <w:rPr>
          <w:rFonts w:asciiTheme="minorHAnsi" w:hAnsiTheme="minorHAnsi" w:cstheme="minorHAnsi"/>
          <w:color w:val="C82613"/>
        </w:rPr>
        <w:t>​</w:t>
      </w:r>
      <w:r w:rsidRPr="009F2610">
        <w:rPr>
          <w:rFonts w:asciiTheme="minorHAnsi" w:hAnsiTheme="minorHAnsi" w:cstheme="minorHAnsi"/>
        </w:rPr>
        <w:t>that the consumer was coerced, rather than persuaded, to take part in any wellness program.</w:t>
      </w:r>
    </w:p>
    <w:p w14:paraId="760A5DFD" w14:textId="77777777" w:rsidR="009F2610" w:rsidRPr="009F2610" w:rsidRDefault="009F2610" w:rsidP="009F2610">
      <w:pPr>
        <w:rPr>
          <w:rFonts w:asciiTheme="minorHAnsi" w:hAnsiTheme="minorHAnsi" w:cstheme="minorHAnsi"/>
        </w:rPr>
      </w:pPr>
    </w:p>
    <w:p w14:paraId="487A86CD" w14:textId="77777777" w:rsidR="00F54A84" w:rsidRDefault="00F54A84" w:rsidP="00E6497C"/>
    <w:sectPr w:rsidR="00F54A84"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3FEF" w14:textId="77777777" w:rsidR="00832A65" w:rsidRDefault="00832A65" w:rsidP="004062C7">
      <w:r>
        <w:separator/>
      </w:r>
    </w:p>
  </w:endnote>
  <w:endnote w:type="continuationSeparator" w:id="0">
    <w:p w14:paraId="019AF56F" w14:textId="77777777" w:rsidR="00832A65" w:rsidRDefault="00832A65" w:rsidP="004062C7">
      <w:r>
        <w:continuationSeparator/>
      </w:r>
    </w:p>
  </w:endnote>
  <w:endnote w:type="continuationNotice" w:id="1">
    <w:p w14:paraId="41452771" w14:textId="77777777" w:rsidR="00832A65" w:rsidRDefault="0083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4"/>
      <w:gridCol w:w="3646"/>
    </w:tblGrid>
    <w:tr w:rsidR="00796D5F" w14:paraId="34320BD0" w14:textId="77777777" w:rsidTr="00F53994">
      <w:trPr>
        <w:cantSplit/>
        <w:trHeight w:val="633"/>
        <w:tblHeader/>
      </w:trPr>
      <w:tc>
        <w:tcPr>
          <w:tcW w:w="4248" w:type="dxa"/>
        </w:tcPr>
        <w:p w14:paraId="6C3AF6AE" w14:textId="0EB5971F" w:rsidR="00796D5F" w:rsidRPr="00937FFC" w:rsidRDefault="009D3FB6" w:rsidP="00796D5F">
          <w:pPr>
            <w:rPr>
              <w:sz w:val="20"/>
            </w:rPr>
          </w:pPr>
          <w:r>
            <w:rPr>
              <w:sz w:val="20"/>
            </w:rPr>
            <w:t>DFR</w:t>
          </w:r>
          <w:r w:rsidR="002D6A73">
            <w:rPr>
              <w:sz w:val="20"/>
            </w:rPr>
            <w:t xml:space="preserve"> Basic Document</w:t>
          </w:r>
          <w:r w:rsidR="00796D5F" w:rsidRPr="00937FFC">
            <w:rPr>
              <w:sz w:val="20"/>
            </w:rPr>
            <w:br/>
            <w:t xml:space="preserve">(Revised: </w:t>
          </w:r>
          <w:r w:rsidR="00796D5F">
            <w:rPr>
              <w:sz w:val="20"/>
            </w:rPr>
            <w:fldChar w:fldCharType="begin"/>
          </w:r>
          <w:r w:rsidR="00796D5F">
            <w:rPr>
              <w:sz w:val="20"/>
            </w:rPr>
            <w:instrText xml:space="preserve"> SAVEDATE  \@ "MMMM d, yyyy"  \* MERGEFORMAT </w:instrText>
          </w:r>
          <w:r w:rsidR="00796D5F">
            <w:rPr>
              <w:sz w:val="20"/>
            </w:rPr>
            <w:fldChar w:fldCharType="separate"/>
          </w:r>
          <w:r w:rsidR="00F54A84">
            <w:rPr>
              <w:noProof/>
              <w:sz w:val="20"/>
            </w:rPr>
            <w:t>August 15, 2018</w:t>
          </w:r>
          <w:r w:rsidR="00796D5F">
            <w:rPr>
              <w:sz w:val="20"/>
            </w:rPr>
            <w:fldChar w:fldCharType="end"/>
          </w:r>
          <w:r w:rsidR="00796D5F" w:rsidRPr="00937FFC">
            <w:rPr>
              <w:sz w:val="20"/>
            </w:rPr>
            <w:t>)</w:t>
          </w:r>
        </w:p>
      </w:tc>
      <w:tc>
        <w:tcPr>
          <w:tcW w:w="1620" w:type="dxa"/>
        </w:tcPr>
        <w:p w14:paraId="2D1653F8"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900C6F">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900C6F" w:rsidRPr="00900C6F">
            <w:rPr>
              <w:b/>
              <w:noProof/>
              <w:sz w:val="20"/>
            </w:rPr>
            <w:t>2</w:t>
          </w:r>
          <w:r w:rsidRPr="00937FFC">
            <w:rPr>
              <w:b/>
              <w:noProof/>
              <w:sz w:val="20"/>
            </w:rPr>
            <w:fldChar w:fldCharType="end"/>
          </w:r>
        </w:p>
      </w:tc>
      <w:tc>
        <w:tcPr>
          <w:tcW w:w="3708" w:type="dxa"/>
        </w:tcPr>
        <w:p w14:paraId="4CA01427" w14:textId="77777777" w:rsidR="00796D5F" w:rsidRPr="00937FFC" w:rsidRDefault="00796D5F" w:rsidP="00796D5F">
          <w:pPr>
            <w:jc w:val="right"/>
            <w:rPr>
              <w:sz w:val="20"/>
              <w:szCs w:val="18"/>
            </w:rPr>
          </w:pPr>
          <w:r w:rsidRPr="00937FFC">
            <w:rPr>
              <w:noProof/>
              <w:sz w:val="20"/>
            </w:rPr>
            <w:drawing>
              <wp:inline distT="0" distB="0" distL="0" distR="0" wp14:anchorId="0F525DFA" wp14:editId="2DF7CC53">
                <wp:extent cx="1152889" cy="2743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152889" cy="274320"/>
                        </a:xfrm>
                        <a:prstGeom prst="rect">
                          <a:avLst/>
                        </a:prstGeom>
                      </pic:spPr>
                    </pic:pic>
                  </a:graphicData>
                </a:graphic>
              </wp:inline>
            </w:drawing>
          </w:r>
        </w:p>
      </w:tc>
    </w:tr>
  </w:tbl>
  <w:p w14:paraId="7EFBF6C3"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B21B" w14:textId="77777777" w:rsidR="00832A65" w:rsidRDefault="00832A65" w:rsidP="004062C7">
      <w:r>
        <w:separator/>
      </w:r>
    </w:p>
  </w:footnote>
  <w:footnote w:type="continuationSeparator" w:id="0">
    <w:p w14:paraId="427A1A0F" w14:textId="77777777" w:rsidR="00832A65" w:rsidRDefault="00832A65" w:rsidP="004062C7">
      <w:r>
        <w:continuationSeparator/>
      </w:r>
    </w:p>
  </w:footnote>
  <w:footnote w:type="continuationNotice" w:id="1">
    <w:p w14:paraId="6777A8CA" w14:textId="77777777" w:rsidR="00832A65" w:rsidRDefault="00832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A13" w14:textId="77777777" w:rsidR="009D3FB6" w:rsidRDefault="009D3FB6" w:rsidP="009D3FB6">
    <w:pPr>
      <w:pStyle w:val="DFR-Header"/>
    </w:pPr>
    <w:r>
      <w:drawing>
        <wp:inline distT="0" distB="0" distL="0" distR="0" wp14:anchorId="76BA13B7" wp14:editId="5B9354E1">
          <wp:extent cx="2206119"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a:stretch>
                    <a:fillRect/>
                  </a:stretch>
                </pic:blipFill>
                <pic:spPr>
                  <a:xfrm>
                    <a:off x="0" y="0"/>
                    <a:ext cx="2206119" cy="457200"/>
                  </a:xfrm>
                  <a:prstGeom prst="rect">
                    <a:avLst/>
                  </a:prstGeom>
                </pic:spPr>
              </pic:pic>
            </a:graphicData>
          </a:graphic>
        </wp:inline>
      </w:drawing>
    </w:r>
  </w:p>
  <w:p w14:paraId="44FB4605" w14:textId="77777777" w:rsidR="009D3FB6" w:rsidRPr="007963EC" w:rsidRDefault="009D3FB6" w:rsidP="009D3FB6">
    <w:pPr>
      <w:pStyle w:val="DFR-Header"/>
      <w:spacing w:before="120"/>
    </w:pPr>
    <w:r w:rsidRPr="001E406A">
      <w:rPr>
        <w:shd w:val="clear" w:color="auto" w:fill="FFFFFF"/>
      </w:rPr>
      <w:t xml:space="preserve">89 Main Street, Montpelier, VT 05620 - 3101 </w:t>
    </w:r>
    <w:r>
      <w:rPr>
        <w:shd w:val="clear" w:color="auto" w:fill="FFFFFF"/>
      </w:rPr>
      <w:br/>
    </w:r>
    <w:r w:rsidRPr="007963EC">
      <w:t xml:space="preserve">(p) </w:t>
    </w:r>
    <w:r w:rsidRPr="001E406A">
      <w:t>802-828-3301</w:t>
    </w:r>
    <w:r>
      <w:t xml:space="preserve"> </w:t>
    </w:r>
    <w:r w:rsidRPr="007963EC">
      <w:t xml:space="preserve">| </w:t>
    </w:r>
    <w:hyperlink r:id="rId2" w:history="1">
      <w:r w:rsidRPr="001E406A">
        <w:rPr>
          <w:rStyle w:val="Hyperlink"/>
          <w:color w:val="000000" w:themeColor="text1"/>
        </w:rPr>
        <w:t>http://www.dfr.vermont.gov/</w:t>
      </w:r>
    </w:hyperlink>
    <w:r w:rsidRPr="001E406A">
      <w:rPr>
        <w:color w:val="000000" w:themeColor="text1"/>
      </w:rPr>
      <w:t xml:space="preserve"> </w:t>
    </w:r>
  </w:p>
  <w:p w14:paraId="512DC4B5" w14:textId="67A03C6F" w:rsidR="002237E0" w:rsidRPr="009D3FB6" w:rsidRDefault="002237E0" w:rsidP="009D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DF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DF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8537E99"/>
    <w:multiLevelType w:val="hybridMultilevel"/>
    <w:tmpl w:val="F2728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85D4C09"/>
    <w:multiLevelType w:val="hybridMultilevel"/>
    <w:tmpl w:val="5F0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4"/>
  </w:num>
  <w:num w:numId="7">
    <w:abstractNumId w:val="0"/>
  </w:num>
  <w:num w:numId="8">
    <w:abstractNumId w:val="13"/>
  </w:num>
  <w:num w:numId="9">
    <w:abstractNumId w:val="16"/>
  </w:num>
  <w:num w:numId="10">
    <w:abstractNumId w:val="24"/>
  </w:num>
  <w:num w:numId="11">
    <w:abstractNumId w:val="14"/>
  </w:num>
  <w:num w:numId="12">
    <w:abstractNumId w:val="6"/>
  </w:num>
  <w:num w:numId="13">
    <w:abstractNumId w:val="26"/>
  </w:num>
  <w:num w:numId="14">
    <w:abstractNumId w:val="7"/>
  </w:num>
  <w:num w:numId="15">
    <w:abstractNumId w:val="25"/>
  </w:num>
  <w:num w:numId="16">
    <w:abstractNumId w:val="3"/>
  </w:num>
  <w:num w:numId="17">
    <w:abstractNumId w:val="5"/>
  </w:num>
  <w:num w:numId="18">
    <w:abstractNumId w:val="15"/>
  </w:num>
  <w:num w:numId="19">
    <w:abstractNumId w:val="19"/>
  </w:num>
  <w:num w:numId="20">
    <w:abstractNumId w:val="9"/>
  </w:num>
  <w:num w:numId="21">
    <w:abstractNumId w:val="10"/>
  </w:num>
  <w:num w:numId="22">
    <w:abstractNumId w:val="8"/>
  </w:num>
  <w:num w:numId="23">
    <w:abstractNumId w:val="1"/>
  </w:num>
  <w:num w:numId="24">
    <w:abstractNumId w:val="21"/>
  </w:num>
  <w:num w:numId="25">
    <w:abstractNumId w:val="1"/>
  </w:num>
  <w:num w:numId="26">
    <w:abstractNumId w:val="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D24B2"/>
    <w:rsid w:val="00062DFA"/>
    <w:rsid w:val="000F3A23"/>
    <w:rsid w:val="000F7F54"/>
    <w:rsid w:val="00102EA8"/>
    <w:rsid w:val="00161F11"/>
    <w:rsid w:val="001645D6"/>
    <w:rsid w:val="0017612B"/>
    <w:rsid w:val="001C1F88"/>
    <w:rsid w:val="001D07C0"/>
    <w:rsid w:val="001D3DF3"/>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90247"/>
    <w:rsid w:val="004A7AD0"/>
    <w:rsid w:val="004B7F41"/>
    <w:rsid w:val="004D60EC"/>
    <w:rsid w:val="004E4B15"/>
    <w:rsid w:val="00500232"/>
    <w:rsid w:val="0052435A"/>
    <w:rsid w:val="005464E9"/>
    <w:rsid w:val="0056727F"/>
    <w:rsid w:val="00575711"/>
    <w:rsid w:val="00583E58"/>
    <w:rsid w:val="005A2F07"/>
    <w:rsid w:val="005D1A81"/>
    <w:rsid w:val="005D7389"/>
    <w:rsid w:val="005D7ABB"/>
    <w:rsid w:val="006062D9"/>
    <w:rsid w:val="006105C6"/>
    <w:rsid w:val="00614F85"/>
    <w:rsid w:val="00626212"/>
    <w:rsid w:val="0063049A"/>
    <w:rsid w:val="00651E8D"/>
    <w:rsid w:val="00667761"/>
    <w:rsid w:val="006703F6"/>
    <w:rsid w:val="006F698F"/>
    <w:rsid w:val="00712FE0"/>
    <w:rsid w:val="00721DF9"/>
    <w:rsid w:val="00734368"/>
    <w:rsid w:val="00746838"/>
    <w:rsid w:val="0079449D"/>
    <w:rsid w:val="007963EC"/>
    <w:rsid w:val="00796D5F"/>
    <w:rsid w:val="007D17B1"/>
    <w:rsid w:val="007D5E67"/>
    <w:rsid w:val="007E3BD6"/>
    <w:rsid w:val="0082162E"/>
    <w:rsid w:val="00832A65"/>
    <w:rsid w:val="00865A62"/>
    <w:rsid w:val="0087647A"/>
    <w:rsid w:val="008C332D"/>
    <w:rsid w:val="008F6F90"/>
    <w:rsid w:val="00900C6F"/>
    <w:rsid w:val="00910125"/>
    <w:rsid w:val="0092656D"/>
    <w:rsid w:val="00937F53"/>
    <w:rsid w:val="00937FFC"/>
    <w:rsid w:val="00961A6D"/>
    <w:rsid w:val="009D24B2"/>
    <w:rsid w:val="009D3FB6"/>
    <w:rsid w:val="009D4528"/>
    <w:rsid w:val="009E7990"/>
    <w:rsid w:val="009F2610"/>
    <w:rsid w:val="00A1547A"/>
    <w:rsid w:val="00A24AEB"/>
    <w:rsid w:val="00A92164"/>
    <w:rsid w:val="00AD4B66"/>
    <w:rsid w:val="00AF33BA"/>
    <w:rsid w:val="00AF602B"/>
    <w:rsid w:val="00B04C63"/>
    <w:rsid w:val="00B228D4"/>
    <w:rsid w:val="00B25D38"/>
    <w:rsid w:val="00B25DEC"/>
    <w:rsid w:val="00B546FB"/>
    <w:rsid w:val="00B6001B"/>
    <w:rsid w:val="00BD7ABE"/>
    <w:rsid w:val="00BE43B0"/>
    <w:rsid w:val="00C423C3"/>
    <w:rsid w:val="00CB29BB"/>
    <w:rsid w:val="00CB45D9"/>
    <w:rsid w:val="00CC230C"/>
    <w:rsid w:val="00D04EC2"/>
    <w:rsid w:val="00D064CA"/>
    <w:rsid w:val="00D22EA0"/>
    <w:rsid w:val="00D41020"/>
    <w:rsid w:val="00DC34EA"/>
    <w:rsid w:val="00DE7FA2"/>
    <w:rsid w:val="00E2171D"/>
    <w:rsid w:val="00E606BA"/>
    <w:rsid w:val="00E6497C"/>
    <w:rsid w:val="00E773E9"/>
    <w:rsid w:val="00ED2D37"/>
    <w:rsid w:val="00ED3A89"/>
    <w:rsid w:val="00F54A84"/>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B556"/>
  <w15:docId w15:val="{289FD605-3273-4476-8CC4-3F272117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R - Normal"/>
    <w:qFormat/>
    <w:rsid w:val="00F76AD8"/>
    <w:pPr>
      <w:spacing w:after="0" w:line="240" w:lineRule="auto"/>
    </w:pPr>
    <w:rPr>
      <w:rFonts w:ascii="Palatino Linotype" w:eastAsia="Times New Roman" w:hAnsi="Palatino Linotype" w:cs="Calibri"/>
      <w:bCs/>
    </w:rPr>
  </w:style>
  <w:style w:type="paragraph" w:styleId="Heading1">
    <w:name w:val="heading 1"/>
    <w:aliases w:val="DFR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DFR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DFR - Heading 3"/>
    <w:basedOn w:val="Heading2"/>
    <w:next w:val="Normal"/>
    <w:link w:val="Heading3Char"/>
    <w:uiPriority w:val="9"/>
    <w:unhideWhenUsed/>
    <w:qFormat/>
    <w:rsid w:val="00F76AD8"/>
    <w:pPr>
      <w:ind w:left="720"/>
      <w:outlineLvl w:val="2"/>
    </w:pPr>
    <w:rPr>
      <w:i/>
    </w:rPr>
  </w:style>
  <w:style w:type="paragraph" w:styleId="Heading4">
    <w:name w:val="heading 4"/>
    <w:aliases w:val="DFR -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DFR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DFR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DFR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DFR-Header">
    <w:name w:val="DFR - Header"/>
    <w:basedOn w:val="Normal"/>
    <w:link w:val="DFR-HeaderChar"/>
    <w:qFormat/>
    <w:rsid w:val="004062C7"/>
    <w:pPr>
      <w:jc w:val="center"/>
    </w:pPr>
    <w:rPr>
      <w:noProof/>
    </w:rPr>
  </w:style>
  <w:style w:type="character" w:customStyle="1" w:styleId="Heading2Char">
    <w:name w:val="Heading 2 Char"/>
    <w:aliases w:val="DFR - Heading 2 Char"/>
    <w:basedOn w:val="DefaultParagraphFont"/>
    <w:link w:val="Heading2"/>
    <w:uiPriority w:val="9"/>
    <w:rsid w:val="00B04C63"/>
    <w:rPr>
      <w:rFonts w:ascii="Franklin Gothic Demi" w:eastAsia="Times New Roman" w:hAnsi="Franklin Gothic Demi" w:cs="Calibri"/>
      <w:sz w:val="24"/>
    </w:rPr>
  </w:style>
  <w:style w:type="character" w:customStyle="1" w:styleId="DFR-HeaderChar">
    <w:name w:val="DFR - Header Char"/>
    <w:basedOn w:val="DefaultParagraphFont"/>
    <w:link w:val="DFR-Header"/>
    <w:rsid w:val="004062C7"/>
    <w:rPr>
      <w:rFonts w:ascii="Palatino Linotype" w:eastAsia="Times New Roman" w:hAnsi="Palatino Linotype" w:cs="Calibri"/>
      <w:bCs/>
      <w:noProof/>
    </w:rPr>
  </w:style>
  <w:style w:type="character" w:customStyle="1" w:styleId="Heading3Char">
    <w:name w:val="Heading 3 Char"/>
    <w:aliases w:val="DFR -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DFR -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DFR-BulletedList">
    <w:name w:val="DFR - Bulleted List"/>
    <w:basedOn w:val="ListParagraph"/>
    <w:link w:val="DFR-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DFR-BulletedListChar">
    <w:name w:val="DFR - Bulleted List Char"/>
    <w:basedOn w:val="ListParagraphChar"/>
    <w:link w:val="DFR-BulletedList"/>
    <w:rsid w:val="00B04C63"/>
    <w:rPr>
      <w:rFonts w:ascii="Palatino Linotype" w:eastAsiaTheme="minorEastAsia" w:hAnsi="Palatino Linotype" w:cs="Calibri"/>
      <w:bCs/>
    </w:rPr>
  </w:style>
  <w:style w:type="paragraph" w:customStyle="1" w:styleId="DFR-NumberedList">
    <w:name w:val="DFR - Numbered List"/>
    <w:basedOn w:val="DFR-BulletedList"/>
    <w:link w:val="DFR-NumberedListChar"/>
    <w:qFormat/>
    <w:rsid w:val="000F7F54"/>
    <w:pPr>
      <w:numPr>
        <w:numId w:val="26"/>
      </w:numPr>
    </w:pPr>
  </w:style>
  <w:style w:type="character" w:customStyle="1" w:styleId="DFR-NumberedListChar">
    <w:name w:val="DFR - Numbered List Char"/>
    <w:basedOn w:val="DFR-BulletedListChar"/>
    <w:link w:val="DFR-NumberedList"/>
    <w:rsid w:val="000F7F54"/>
    <w:rPr>
      <w:rFonts w:ascii="Palatino Linotype" w:eastAsiaTheme="minorEastAsia" w:hAnsi="Palatino Linotype" w:cs="Calibri"/>
      <w:bCs/>
    </w:rPr>
  </w:style>
  <w:style w:type="paragraph" w:customStyle="1" w:styleId="xmsonormal">
    <w:name w:val="x_msonormal"/>
    <w:basedOn w:val="Normal"/>
    <w:rsid w:val="009F2610"/>
    <w:rPr>
      <w:rFonts w:ascii="Calibri" w:eastAsiaTheme="minorHAnsi" w:hAnsi="Calibri"/>
      <w:bCs w:val="0"/>
    </w:rPr>
  </w:style>
  <w:style w:type="paragraph" w:customStyle="1" w:styleId="xdefault">
    <w:name w:val="x_default"/>
    <w:basedOn w:val="Normal"/>
    <w:rsid w:val="009F2610"/>
    <w:rPr>
      <w:rFonts w:ascii="Calibri" w:eastAsiaTheme="minorHAnsi" w:hAnsi="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326">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83059183">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585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dfr.vermont.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5" ma:contentTypeDescription="Create a new document." ma:contentTypeScope="" ma:versionID="40c57748515507584c5b294b31f84b3e">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cf179693a11effd593d03aaac43e7799"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783A5-BC58-4C4C-990D-6E5E30D628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AC2151-0AD6-4DD6-856D-C526B483B406}">
  <ds:schemaRefs>
    <ds:schemaRef ds:uri="http://schemas.openxmlformats.org/officeDocument/2006/bibliography"/>
  </ds:schemaRefs>
</ds:datastoreItem>
</file>

<file path=customXml/itemProps3.xml><?xml version="1.0" encoding="utf-8"?>
<ds:datastoreItem xmlns:ds="http://schemas.openxmlformats.org/officeDocument/2006/customXml" ds:itemID="{FEF773C8-D85F-4CFB-8D25-005AC10B5092}">
  <ds:schemaRefs>
    <ds:schemaRef ds:uri="http://schemas.microsoft.com/sharepoint/v3/contenttype/forms"/>
  </ds:schemaRefs>
</ds:datastoreItem>
</file>

<file path=customXml/itemProps4.xml><?xml version="1.0" encoding="utf-8"?>
<ds:datastoreItem xmlns:ds="http://schemas.openxmlformats.org/officeDocument/2006/customXml" ds:itemID="{8FA43611-9C8A-4F32-A4B5-BFAED25E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
  <cp:lastModifiedBy>Van Fleet, Anna</cp:lastModifiedBy>
  <cp:revision>3</cp:revision>
  <cp:lastPrinted>2015-09-09T16:37:00Z</cp:lastPrinted>
  <dcterms:created xsi:type="dcterms:W3CDTF">2021-07-26T19:28:00Z</dcterms:created>
  <dcterms:modified xsi:type="dcterms:W3CDTF">2021-07-26T19:29:00Z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y fmtid="{D5CDD505-2E9C-101B-9397-08002B2CF9AE}" pid="3" name="Order">
    <vt:r8>100</vt:r8>
  </property>
</Properties>
</file>