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24CE45" w14:textId="3BB3FE4A" w:rsidR="002631BB" w:rsidRPr="002631BB" w:rsidRDefault="002631BB" w:rsidP="008E77F7">
      <w:pPr>
        <w:tabs>
          <w:tab w:val="left" w:pos="540"/>
          <w:tab w:val="left" w:pos="1080"/>
          <w:tab w:val="left" w:pos="1620"/>
          <w:tab w:val="left" w:pos="2160"/>
          <w:tab w:val="left" w:pos="2700"/>
          <w:tab w:val="left" w:pos="3240"/>
          <w:tab w:val="left" w:pos="3780"/>
          <w:tab w:val="left" w:pos="4320"/>
        </w:tabs>
        <w:spacing w:line="240" w:lineRule="auto"/>
        <w:jc w:val="center"/>
        <w:rPr>
          <w:rFonts w:ascii="Calibri" w:hAnsi="Calibri" w:cs="Calibri"/>
          <w:sz w:val="28"/>
          <w:szCs w:val="28"/>
        </w:rPr>
      </w:pPr>
      <w:r w:rsidRPr="002631BB">
        <w:rPr>
          <w:rFonts w:ascii="Calibri" w:hAnsi="Calibri" w:cs="Calibri"/>
          <w:sz w:val="28"/>
          <w:szCs w:val="28"/>
        </w:rPr>
        <w:t>Long-Term Care Insurance</w:t>
      </w:r>
      <w:r>
        <w:rPr>
          <w:rFonts w:ascii="Calibri" w:hAnsi="Calibri" w:cs="Calibri"/>
          <w:sz w:val="28"/>
          <w:szCs w:val="28"/>
        </w:rPr>
        <w:br/>
        <w:t xml:space="preserve">An </w:t>
      </w:r>
      <w:r w:rsidRPr="002631BB">
        <w:rPr>
          <w:rFonts w:ascii="Calibri" w:hAnsi="Calibri" w:cs="Calibri"/>
          <w:sz w:val="28"/>
          <w:szCs w:val="28"/>
        </w:rPr>
        <w:t>Actuarial Approach</w:t>
      </w:r>
      <w:r w:rsidR="0013242D">
        <w:rPr>
          <w:rFonts w:ascii="Calibri" w:hAnsi="Calibri" w:cs="Calibri"/>
          <w:sz w:val="28"/>
          <w:szCs w:val="28"/>
        </w:rPr>
        <w:t xml:space="preserve"> to Rate Increases</w:t>
      </w:r>
    </w:p>
    <w:p w14:paraId="239AEA05" w14:textId="77777777" w:rsidR="008422F7" w:rsidRDefault="008422F7" w:rsidP="008E77F7">
      <w:pPr>
        <w:tabs>
          <w:tab w:val="left" w:pos="540"/>
          <w:tab w:val="left" w:pos="1080"/>
          <w:tab w:val="left" w:pos="1620"/>
          <w:tab w:val="left" w:pos="2160"/>
          <w:tab w:val="left" w:pos="2700"/>
          <w:tab w:val="left" w:pos="3240"/>
          <w:tab w:val="left" w:pos="3780"/>
          <w:tab w:val="left" w:pos="4320"/>
        </w:tabs>
        <w:rPr>
          <w:rFonts w:ascii="Calibri" w:hAnsi="Calibri" w:cs="Calibri"/>
        </w:rPr>
      </w:pPr>
    </w:p>
    <w:p w14:paraId="7D0987A1" w14:textId="4EE2305B" w:rsidR="002631BB" w:rsidRDefault="008422F7" w:rsidP="008E77F7">
      <w:pPr>
        <w:tabs>
          <w:tab w:val="left" w:pos="540"/>
          <w:tab w:val="left" w:pos="1080"/>
          <w:tab w:val="left" w:pos="1620"/>
          <w:tab w:val="left" w:pos="2160"/>
          <w:tab w:val="left" w:pos="2700"/>
          <w:tab w:val="left" w:pos="3240"/>
          <w:tab w:val="left" w:pos="3780"/>
          <w:tab w:val="left" w:pos="4320"/>
        </w:tabs>
        <w:rPr>
          <w:rFonts w:ascii="Calibri" w:hAnsi="Calibri" w:cs="Calibri"/>
        </w:rPr>
      </w:pPr>
      <w:r>
        <w:rPr>
          <w:rFonts w:ascii="Calibri" w:hAnsi="Calibri" w:cs="Calibri"/>
        </w:rPr>
        <w:t>The MSA “method” has an overriding fatal characteristic: it is non-actuarial.</w:t>
      </w:r>
      <w:r w:rsidR="00C31150">
        <w:rPr>
          <w:rFonts w:ascii="Calibri" w:hAnsi="Calibri" w:cs="Calibri"/>
        </w:rPr>
        <w:t xml:space="preserve"> </w:t>
      </w:r>
      <w:r w:rsidR="009C4A57">
        <w:rPr>
          <w:rFonts w:ascii="Calibri" w:hAnsi="Calibri" w:cs="Calibri"/>
        </w:rPr>
        <w:t xml:space="preserve"> </w:t>
      </w:r>
      <w:r w:rsidR="00C31150">
        <w:rPr>
          <w:rFonts w:ascii="Calibri" w:hAnsi="Calibri" w:cs="Calibri"/>
        </w:rPr>
        <w:t xml:space="preserve">This </w:t>
      </w:r>
      <w:r w:rsidR="008C5B88">
        <w:rPr>
          <w:rFonts w:ascii="Calibri" w:hAnsi="Calibri" w:cs="Calibri"/>
        </w:rPr>
        <w:t>ha</w:t>
      </w:r>
      <w:r w:rsidR="00C31150">
        <w:rPr>
          <w:rFonts w:ascii="Calibri" w:hAnsi="Calibri" w:cs="Calibri"/>
        </w:rPr>
        <w:t xml:space="preserve">s </w:t>
      </w:r>
      <w:r w:rsidR="008C5B88">
        <w:rPr>
          <w:rFonts w:ascii="Calibri" w:hAnsi="Calibri" w:cs="Calibri"/>
        </w:rPr>
        <w:t xml:space="preserve">been </w:t>
      </w:r>
      <w:r w:rsidR="00C31150">
        <w:rPr>
          <w:rFonts w:ascii="Calibri" w:hAnsi="Calibri" w:cs="Calibri"/>
        </w:rPr>
        <w:t xml:space="preserve">documented </w:t>
      </w:r>
      <w:r w:rsidR="008C5B88">
        <w:rPr>
          <w:rFonts w:ascii="Calibri" w:hAnsi="Calibri" w:cs="Calibri"/>
        </w:rPr>
        <w:t>a number of times by the American Academy of Actuaries (“</w:t>
      </w:r>
      <w:r w:rsidR="008C5B88" w:rsidRPr="008C5B88">
        <w:rPr>
          <w:rFonts w:ascii="Calibri" w:hAnsi="Calibri" w:cs="Calibri"/>
          <w:b/>
          <w:bCs/>
        </w:rPr>
        <w:t>AAA</w:t>
      </w:r>
      <w:r w:rsidR="008C5B88">
        <w:rPr>
          <w:rFonts w:ascii="Calibri" w:hAnsi="Calibri" w:cs="Calibri"/>
        </w:rPr>
        <w:t>”).</w:t>
      </w:r>
    </w:p>
    <w:p w14:paraId="29CA62A3" w14:textId="77777777" w:rsidR="004372F5" w:rsidRDefault="004372F5" w:rsidP="008E77F7">
      <w:pPr>
        <w:tabs>
          <w:tab w:val="left" w:pos="540"/>
          <w:tab w:val="left" w:pos="1080"/>
          <w:tab w:val="left" w:pos="1620"/>
          <w:tab w:val="left" w:pos="2160"/>
          <w:tab w:val="left" w:pos="2700"/>
          <w:tab w:val="left" w:pos="3240"/>
          <w:tab w:val="left" w:pos="3780"/>
          <w:tab w:val="left" w:pos="4320"/>
        </w:tabs>
        <w:rPr>
          <w:rFonts w:ascii="Calibri" w:hAnsi="Calibri" w:cs="Calibri"/>
        </w:rPr>
      </w:pPr>
    </w:p>
    <w:p w14:paraId="4E55E868" w14:textId="6BAB1114" w:rsidR="008422F7" w:rsidRDefault="009613A1" w:rsidP="008E77F7">
      <w:pPr>
        <w:tabs>
          <w:tab w:val="left" w:pos="540"/>
          <w:tab w:val="left" w:pos="1080"/>
          <w:tab w:val="left" w:pos="1170"/>
          <w:tab w:val="left" w:pos="1620"/>
          <w:tab w:val="left" w:pos="2160"/>
          <w:tab w:val="left" w:pos="2700"/>
          <w:tab w:val="left" w:pos="3240"/>
          <w:tab w:val="left" w:pos="3780"/>
          <w:tab w:val="left" w:pos="4320"/>
        </w:tabs>
        <w:rPr>
          <w:rFonts w:ascii="Calibri" w:hAnsi="Calibri" w:cs="Calibri"/>
        </w:rPr>
      </w:pPr>
      <w:r>
        <w:rPr>
          <w:rFonts w:ascii="Calibri" w:hAnsi="Calibri" w:cs="Calibri"/>
        </w:rPr>
        <w:t>This article refers to Long Term Care (“</w:t>
      </w:r>
      <w:r w:rsidRPr="00470F0D">
        <w:rPr>
          <w:rFonts w:ascii="Calibri" w:hAnsi="Calibri" w:cs="Calibri"/>
          <w:b/>
          <w:bCs/>
        </w:rPr>
        <w:t>LTC</w:t>
      </w:r>
      <w:r>
        <w:rPr>
          <w:rFonts w:ascii="Calibri" w:hAnsi="Calibri" w:cs="Calibri"/>
        </w:rPr>
        <w:t xml:space="preserve">”) insurance policies.  </w:t>
      </w:r>
      <w:r w:rsidR="008422F7">
        <w:rPr>
          <w:rFonts w:ascii="Calibri" w:hAnsi="Calibri" w:cs="Calibri"/>
        </w:rPr>
        <w:t xml:space="preserve">The primary objective is to use actuarial methods to determine </w:t>
      </w:r>
      <w:r w:rsidR="00470F0D">
        <w:rPr>
          <w:rFonts w:ascii="Calibri" w:hAnsi="Calibri" w:cs="Calibri"/>
        </w:rPr>
        <w:t>if a rate increase is justified</w:t>
      </w:r>
      <w:r w:rsidR="008422F7">
        <w:rPr>
          <w:rFonts w:ascii="Calibri" w:hAnsi="Calibri" w:cs="Calibri"/>
        </w:rPr>
        <w:t xml:space="preserve">.  </w:t>
      </w:r>
      <w:r w:rsidR="00897A6F">
        <w:rPr>
          <w:rFonts w:ascii="Calibri" w:hAnsi="Calibri" w:cs="Calibri"/>
        </w:rPr>
        <w:t xml:space="preserve">Regulations are based on </w:t>
      </w:r>
      <w:r w:rsidR="00576B7B">
        <w:rPr>
          <w:rFonts w:ascii="Calibri" w:hAnsi="Calibri" w:cs="Calibri"/>
        </w:rPr>
        <w:t>Loss Ratio</w:t>
      </w:r>
      <w:r w:rsidR="00897A6F">
        <w:rPr>
          <w:rFonts w:ascii="Calibri" w:hAnsi="Calibri" w:cs="Calibri"/>
        </w:rPr>
        <w:t xml:space="preserve">s.  We should </w:t>
      </w:r>
      <w:r w:rsidR="00AE20FA">
        <w:rPr>
          <w:rFonts w:ascii="Calibri" w:hAnsi="Calibri" w:cs="Calibri"/>
        </w:rPr>
        <w:t>also</w:t>
      </w:r>
      <w:r w:rsidR="00897A6F">
        <w:rPr>
          <w:rFonts w:ascii="Calibri" w:hAnsi="Calibri" w:cs="Calibri"/>
        </w:rPr>
        <w:t xml:space="preserve"> realize that a policy form will probably have </w:t>
      </w:r>
      <w:r w:rsidR="00E756E8">
        <w:rPr>
          <w:rFonts w:ascii="Calibri" w:hAnsi="Calibri" w:cs="Calibri"/>
        </w:rPr>
        <w:t>several</w:t>
      </w:r>
      <w:r w:rsidR="00897A6F">
        <w:rPr>
          <w:rFonts w:ascii="Calibri" w:hAnsi="Calibri" w:cs="Calibri"/>
        </w:rPr>
        <w:t xml:space="preserve"> classes.</w:t>
      </w:r>
      <w:r w:rsidR="009C4A57">
        <w:rPr>
          <w:rFonts w:ascii="Calibri" w:hAnsi="Calibri" w:cs="Calibri"/>
        </w:rPr>
        <w:t xml:space="preserve">  </w:t>
      </w:r>
      <w:r w:rsidR="006562D7">
        <w:rPr>
          <w:rFonts w:ascii="Calibri" w:hAnsi="Calibri" w:cs="Calibri"/>
        </w:rPr>
        <w:t xml:space="preserve">Classes need to be split if the selections are optional.  </w:t>
      </w:r>
      <w:r w:rsidR="009C4A57">
        <w:rPr>
          <w:rFonts w:ascii="Calibri" w:hAnsi="Calibri" w:cs="Calibri"/>
        </w:rPr>
        <w:t>The intent is to make sure the less expensive classes are not subsidizing the more expensive classes.</w:t>
      </w:r>
    </w:p>
    <w:p w14:paraId="259C66D4" w14:textId="63F5AEC1" w:rsidR="002631BB" w:rsidRDefault="002631BB" w:rsidP="008E77F7">
      <w:pPr>
        <w:tabs>
          <w:tab w:val="left" w:pos="540"/>
          <w:tab w:val="left" w:pos="1080"/>
          <w:tab w:val="left" w:pos="1170"/>
          <w:tab w:val="left" w:pos="1620"/>
          <w:tab w:val="left" w:pos="2160"/>
          <w:tab w:val="left" w:pos="2700"/>
          <w:tab w:val="left" w:pos="3240"/>
          <w:tab w:val="left" w:pos="3780"/>
          <w:tab w:val="left" w:pos="4320"/>
        </w:tabs>
        <w:rPr>
          <w:rFonts w:ascii="Calibri" w:hAnsi="Calibri" w:cs="Calibri"/>
        </w:rPr>
      </w:pPr>
      <w:r>
        <w:rPr>
          <w:rFonts w:ascii="Calibri" w:hAnsi="Calibri" w:cs="Calibri"/>
        </w:rPr>
        <w:t>Whether Pre-Rate Stability or Post-Rate Stability, separate classes exist depending on the</w:t>
      </w:r>
      <w:r w:rsidR="00897A6F">
        <w:rPr>
          <w:rFonts w:ascii="Calibri" w:hAnsi="Calibri" w:cs="Calibri"/>
        </w:rPr>
        <w:t>:</w:t>
      </w:r>
    </w:p>
    <w:p w14:paraId="0C8B8D83" w14:textId="5342B269" w:rsidR="000A3E35" w:rsidRDefault="002631BB" w:rsidP="008E77F7">
      <w:pPr>
        <w:pStyle w:val="ListParagraph"/>
        <w:numPr>
          <w:ilvl w:val="0"/>
          <w:numId w:val="15"/>
        </w:numPr>
        <w:tabs>
          <w:tab w:val="left" w:pos="540"/>
          <w:tab w:val="left" w:pos="1080"/>
          <w:tab w:val="left" w:pos="1620"/>
          <w:tab w:val="left" w:pos="2160"/>
          <w:tab w:val="left" w:pos="2700"/>
          <w:tab w:val="left" w:pos="3240"/>
          <w:tab w:val="left" w:pos="3780"/>
          <w:tab w:val="left" w:pos="4320"/>
        </w:tabs>
        <w:ind w:left="1080" w:hanging="540"/>
        <w:rPr>
          <w:rFonts w:ascii="Calibri" w:hAnsi="Calibri" w:cs="Calibri"/>
        </w:rPr>
      </w:pPr>
      <w:r w:rsidRPr="00AE20FA">
        <w:rPr>
          <w:rFonts w:ascii="Calibri" w:hAnsi="Calibri" w:cs="Calibri"/>
        </w:rPr>
        <w:t>Policy Form:  the initial rate filing defines the loss ratio (“</w:t>
      </w:r>
      <w:r w:rsidRPr="00AE20FA">
        <w:rPr>
          <w:rFonts w:ascii="Calibri" w:hAnsi="Calibri" w:cs="Calibri"/>
          <w:b/>
          <w:bCs/>
        </w:rPr>
        <w:t>L/R</w:t>
      </w:r>
      <w:r w:rsidRPr="00AE20FA">
        <w:rPr>
          <w:rFonts w:ascii="Calibri" w:hAnsi="Calibri" w:cs="Calibri"/>
        </w:rPr>
        <w:t>”) for the entire form, but a policy form is usually not a single class.  Loss ratios for different classes</w:t>
      </w:r>
      <w:r w:rsidR="00D70C80" w:rsidRPr="00AE20FA">
        <w:rPr>
          <w:rFonts w:ascii="Calibri" w:hAnsi="Calibri" w:cs="Calibri"/>
        </w:rPr>
        <w:t xml:space="preserve"> </w:t>
      </w:r>
      <w:r w:rsidRPr="00AE20FA">
        <w:rPr>
          <w:rFonts w:ascii="Calibri" w:hAnsi="Calibri" w:cs="Calibri"/>
        </w:rPr>
        <w:t>within a policy form will need to be calculated.</w:t>
      </w:r>
    </w:p>
    <w:p w14:paraId="40FB4643" w14:textId="77777777" w:rsidR="003F429F" w:rsidRDefault="003F429F" w:rsidP="008E77F7">
      <w:pPr>
        <w:pStyle w:val="ListParagraph"/>
        <w:tabs>
          <w:tab w:val="left" w:pos="540"/>
          <w:tab w:val="left" w:pos="1080"/>
          <w:tab w:val="left" w:pos="1620"/>
          <w:tab w:val="left" w:pos="2160"/>
          <w:tab w:val="left" w:pos="2700"/>
          <w:tab w:val="left" w:pos="3240"/>
          <w:tab w:val="left" w:pos="3780"/>
          <w:tab w:val="left" w:pos="4320"/>
        </w:tabs>
        <w:ind w:left="1080"/>
        <w:rPr>
          <w:rFonts w:ascii="Calibri" w:hAnsi="Calibri" w:cs="Calibri"/>
        </w:rPr>
      </w:pPr>
    </w:p>
    <w:p w14:paraId="099EEDAF" w14:textId="3B8B80A5" w:rsidR="0097271E" w:rsidRPr="007703C7" w:rsidRDefault="0097271E" w:rsidP="00A50BA2">
      <w:pPr>
        <w:pStyle w:val="ListParagraph"/>
        <w:numPr>
          <w:ilvl w:val="0"/>
          <w:numId w:val="15"/>
        </w:numPr>
        <w:tabs>
          <w:tab w:val="left" w:pos="540"/>
          <w:tab w:val="left" w:pos="1080"/>
          <w:tab w:val="left" w:pos="1620"/>
          <w:tab w:val="left" w:pos="2160"/>
          <w:tab w:val="left" w:pos="2700"/>
          <w:tab w:val="left" w:pos="3240"/>
          <w:tab w:val="left" w:pos="3780"/>
          <w:tab w:val="left" w:pos="4320"/>
        </w:tabs>
        <w:ind w:left="1080" w:hanging="540"/>
        <w:rPr>
          <w:rFonts w:ascii="Calibri" w:hAnsi="Calibri" w:cs="Calibri"/>
        </w:rPr>
      </w:pPr>
      <w:r w:rsidRPr="007703C7">
        <w:rPr>
          <w:rFonts w:ascii="Calibri" w:hAnsi="Calibri" w:cs="Calibri"/>
        </w:rPr>
        <w:t>Premium Classes</w:t>
      </w:r>
    </w:p>
    <w:p w14:paraId="03E84C85" w14:textId="5665E1C5" w:rsidR="0097271E" w:rsidRPr="0097271E" w:rsidRDefault="0097271E" w:rsidP="008E77F7">
      <w:pPr>
        <w:pStyle w:val="ListParagraph"/>
        <w:numPr>
          <w:ilvl w:val="0"/>
          <w:numId w:val="9"/>
        </w:numPr>
        <w:tabs>
          <w:tab w:val="left" w:pos="540"/>
          <w:tab w:val="left" w:pos="1080"/>
          <w:tab w:val="left" w:pos="1620"/>
          <w:tab w:val="left" w:pos="2160"/>
          <w:tab w:val="left" w:pos="2700"/>
          <w:tab w:val="left" w:pos="3240"/>
          <w:tab w:val="left" w:pos="3780"/>
          <w:tab w:val="left" w:pos="4320"/>
        </w:tabs>
        <w:spacing w:after="240"/>
        <w:ind w:left="1627" w:hanging="547"/>
        <w:rPr>
          <w:rFonts w:ascii="Calibri" w:hAnsi="Calibri" w:cs="Calibri"/>
        </w:rPr>
      </w:pPr>
      <w:r w:rsidRPr="0097271E">
        <w:rPr>
          <w:rFonts w:ascii="Calibri" w:hAnsi="Calibri" w:cs="Calibri"/>
        </w:rPr>
        <w:t>Premium-paying-period:  L/R’s differ by paid-up option, for example</w:t>
      </w:r>
      <w:r w:rsidR="00312464">
        <w:rPr>
          <w:rFonts w:ascii="Calibri" w:hAnsi="Calibri" w:cs="Calibri"/>
        </w:rPr>
        <w:t>:</w:t>
      </w:r>
      <w:r w:rsidRPr="0097271E">
        <w:rPr>
          <w:rFonts w:ascii="Calibri" w:hAnsi="Calibri" w:cs="Calibri"/>
        </w:rPr>
        <w:t xml:space="preserve"> </w:t>
      </w:r>
      <w:r w:rsidR="007B1A40">
        <w:rPr>
          <w:rFonts w:ascii="Calibri" w:hAnsi="Calibri" w:cs="Calibri"/>
        </w:rPr>
        <w:t xml:space="preserve"> </w:t>
      </w:r>
      <w:r w:rsidRPr="0097271E">
        <w:rPr>
          <w:rFonts w:ascii="Calibri" w:hAnsi="Calibri" w:cs="Calibri"/>
        </w:rPr>
        <w:t>Single-Pay, 10-Pay</w:t>
      </w:r>
      <w:r w:rsidR="0014599B">
        <w:rPr>
          <w:rFonts w:ascii="Calibri" w:hAnsi="Calibri" w:cs="Calibri"/>
        </w:rPr>
        <w:t>,</w:t>
      </w:r>
      <w:r w:rsidRPr="0097271E">
        <w:rPr>
          <w:rFonts w:ascii="Calibri" w:hAnsi="Calibri" w:cs="Calibri"/>
        </w:rPr>
        <w:t xml:space="preserve"> Paid-up at Age </w:t>
      </w:r>
      <w:r w:rsidR="0014599B">
        <w:rPr>
          <w:rFonts w:ascii="Calibri" w:hAnsi="Calibri" w:cs="Calibri"/>
        </w:rPr>
        <w:t>65,</w:t>
      </w:r>
      <w:r w:rsidRPr="0097271E">
        <w:rPr>
          <w:rFonts w:ascii="Calibri" w:hAnsi="Calibri" w:cs="Calibri"/>
        </w:rPr>
        <w:t xml:space="preserve"> and Lifetime Pay are four different classes</w:t>
      </w:r>
    </w:p>
    <w:p w14:paraId="52219082" w14:textId="1D932879" w:rsidR="007703C7" w:rsidRDefault="0097271E" w:rsidP="008E77F7">
      <w:pPr>
        <w:pStyle w:val="ListParagraph"/>
        <w:numPr>
          <w:ilvl w:val="0"/>
          <w:numId w:val="9"/>
        </w:numPr>
        <w:tabs>
          <w:tab w:val="left" w:pos="540"/>
          <w:tab w:val="left" w:pos="1080"/>
          <w:tab w:val="left" w:pos="1620"/>
          <w:tab w:val="left" w:pos="2160"/>
          <w:tab w:val="left" w:pos="2700"/>
          <w:tab w:val="left" w:pos="3240"/>
          <w:tab w:val="left" w:pos="3780"/>
          <w:tab w:val="left" w:pos="4320"/>
        </w:tabs>
        <w:ind w:left="1627" w:hanging="547"/>
        <w:rPr>
          <w:rFonts w:ascii="Calibri" w:hAnsi="Calibri" w:cs="Calibri"/>
        </w:rPr>
      </w:pPr>
      <w:r>
        <w:rPr>
          <w:rFonts w:ascii="Calibri" w:hAnsi="Calibri" w:cs="Calibri"/>
        </w:rPr>
        <w:t xml:space="preserve">Survivorship:  premium classes differ based on the Survivorship option; for example: </w:t>
      </w:r>
      <w:r w:rsidR="007B1A40">
        <w:rPr>
          <w:rFonts w:ascii="Calibri" w:hAnsi="Calibri" w:cs="Calibri"/>
        </w:rPr>
        <w:t xml:space="preserve"> </w:t>
      </w:r>
      <w:r>
        <w:rPr>
          <w:rFonts w:ascii="Calibri" w:hAnsi="Calibri" w:cs="Calibri"/>
        </w:rPr>
        <w:t>lifetime-pay with survivorship and lifetime-pay without survivorship are two different classes</w:t>
      </w:r>
    </w:p>
    <w:p w14:paraId="4AAF6FE3" w14:textId="5830B7E9" w:rsidR="007703C7" w:rsidRDefault="0097271E" w:rsidP="008E77F7">
      <w:pPr>
        <w:pStyle w:val="ListParagraph"/>
        <w:numPr>
          <w:ilvl w:val="0"/>
          <w:numId w:val="9"/>
        </w:numPr>
        <w:tabs>
          <w:tab w:val="left" w:pos="540"/>
          <w:tab w:val="left" w:pos="1080"/>
          <w:tab w:val="left" w:pos="1620"/>
          <w:tab w:val="left" w:pos="2160"/>
          <w:tab w:val="left" w:pos="2700"/>
          <w:tab w:val="left" w:pos="3240"/>
          <w:tab w:val="left" w:pos="3780"/>
          <w:tab w:val="left" w:pos="4320"/>
        </w:tabs>
        <w:ind w:left="1620" w:hanging="540"/>
        <w:rPr>
          <w:rFonts w:ascii="Calibri" w:hAnsi="Calibri" w:cs="Calibri"/>
        </w:rPr>
      </w:pPr>
      <w:r w:rsidRPr="007703C7">
        <w:rPr>
          <w:rFonts w:ascii="Calibri" w:hAnsi="Calibri" w:cs="Calibri"/>
        </w:rPr>
        <w:t xml:space="preserve">Number of lives: </w:t>
      </w:r>
      <w:r w:rsidR="00465C85" w:rsidRPr="007703C7">
        <w:rPr>
          <w:rFonts w:ascii="Calibri" w:hAnsi="Calibri" w:cs="Calibri"/>
        </w:rPr>
        <w:t xml:space="preserve"> </w:t>
      </w:r>
      <w:r w:rsidRPr="007703C7">
        <w:rPr>
          <w:rFonts w:ascii="Calibri" w:hAnsi="Calibri" w:cs="Calibri"/>
        </w:rPr>
        <w:t>single-life and joint-life</w:t>
      </w:r>
      <w:r w:rsidR="00312464" w:rsidRPr="007703C7">
        <w:rPr>
          <w:rFonts w:ascii="Calibri" w:hAnsi="Calibri" w:cs="Calibri"/>
        </w:rPr>
        <w:t xml:space="preserve"> are two different classes</w:t>
      </w:r>
      <w:r w:rsidR="007703C7">
        <w:rPr>
          <w:rFonts w:ascii="Calibri" w:hAnsi="Calibri" w:cs="Calibri"/>
        </w:rPr>
        <w:t>.</w:t>
      </w:r>
    </w:p>
    <w:p w14:paraId="5281977C" w14:textId="77777777" w:rsidR="007703C7" w:rsidRPr="007703C7" w:rsidRDefault="007703C7" w:rsidP="008E77F7">
      <w:pPr>
        <w:pStyle w:val="ListParagraph"/>
        <w:tabs>
          <w:tab w:val="left" w:pos="540"/>
          <w:tab w:val="left" w:pos="1080"/>
          <w:tab w:val="left" w:pos="1620"/>
          <w:tab w:val="left" w:pos="2160"/>
          <w:tab w:val="left" w:pos="2700"/>
          <w:tab w:val="left" w:pos="3240"/>
          <w:tab w:val="left" w:pos="3780"/>
          <w:tab w:val="left" w:pos="4320"/>
        </w:tabs>
        <w:ind w:left="1080"/>
        <w:rPr>
          <w:rFonts w:ascii="Calibri" w:hAnsi="Calibri" w:cs="Calibri"/>
        </w:rPr>
      </w:pPr>
    </w:p>
    <w:p w14:paraId="7B37B4DE" w14:textId="0395744C" w:rsidR="00312464" w:rsidRPr="007703C7" w:rsidRDefault="00312464" w:rsidP="008E77F7">
      <w:pPr>
        <w:pStyle w:val="ListParagraph"/>
        <w:numPr>
          <w:ilvl w:val="0"/>
          <w:numId w:val="15"/>
        </w:numPr>
        <w:tabs>
          <w:tab w:val="left" w:pos="540"/>
          <w:tab w:val="left" w:pos="1080"/>
          <w:tab w:val="left" w:pos="1620"/>
          <w:tab w:val="left" w:pos="2160"/>
          <w:tab w:val="left" w:pos="2700"/>
          <w:tab w:val="left" w:pos="3240"/>
          <w:tab w:val="left" w:pos="3780"/>
          <w:tab w:val="left" w:pos="4320"/>
        </w:tabs>
        <w:ind w:left="1080" w:hanging="540"/>
        <w:rPr>
          <w:rFonts w:ascii="Calibri" w:hAnsi="Calibri" w:cs="Calibri"/>
        </w:rPr>
      </w:pPr>
      <w:r w:rsidRPr="007703C7">
        <w:rPr>
          <w:rFonts w:ascii="Calibri" w:hAnsi="Calibri" w:cs="Calibri"/>
        </w:rPr>
        <w:t>Benefit Classes</w:t>
      </w:r>
    </w:p>
    <w:p w14:paraId="1197998F" w14:textId="2DB1957B" w:rsidR="00312464" w:rsidRDefault="00312464" w:rsidP="008E77F7">
      <w:pPr>
        <w:pStyle w:val="ListParagraph"/>
        <w:numPr>
          <w:ilvl w:val="0"/>
          <w:numId w:val="10"/>
        </w:numPr>
        <w:tabs>
          <w:tab w:val="left" w:pos="540"/>
          <w:tab w:val="left" w:pos="1080"/>
          <w:tab w:val="left" w:pos="1620"/>
          <w:tab w:val="left" w:pos="2160"/>
          <w:tab w:val="left" w:pos="2700"/>
          <w:tab w:val="left" w:pos="3240"/>
          <w:tab w:val="left" w:pos="3780"/>
          <w:tab w:val="left" w:pos="4320"/>
        </w:tabs>
        <w:ind w:hanging="540"/>
        <w:rPr>
          <w:rFonts w:ascii="Calibri" w:hAnsi="Calibri" w:cs="Calibri"/>
        </w:rPr>
      </w:pPr>
      <w:r>
        <w:rPr>
          <w:rFonts w:ascii="Calibri" w:hAnsi="Calibri" w:cs="Calibri"/>
        </w:rPr>
        <w:t>Federal tax qualified (</w:t>
      </w:r>
      <w:r w:rsidR="002D31D3">
        <w:rPr>
          <w:rFonts w:ascii="Calibri" w:hAnsi="Calibri" w:cs="Calibri"/>
        </w:rPr>
        <w:t>“</w:t>
      </w:r>
      <w:r w:rsidRPr="002D31D3">
        <w:rPr>
          <w:rFonts w:ascii="Calibri" w:hAnsi="Calibri" w:cs="Calibri"/>
          <w:b/>
          <w:bCs/>
        </w:rPr>
        <w:t>TQ</w:t>
      </w:r>
      <w:r w:rsidR="002D31D3">
        <w:rPr>
          <w:rFonts w:ascii="Calibri" w:hAnsi="Calibri" w:cs="Calibri"/>
          <w:b/>
          <w:bCs/>
        </w:rPr>
        <w:t>”</w:t>
      </w:r>
      <w:r w:rsidR="00900166">
        <w:rPr>
          <w:rFonts w:ascii="Calibri" w:hAnsi="Calibri" w:cs="Calibri"/>
        </w:rPr>
        <w:t>)</w:t>
      </w:r>
      <w:r>
        <w:rPr>
          <w:rFonts w:ascii="Calibri" w:hAnsi="Calibri" w:cs="Calibri"/>
        </w:rPr>
        <w:t xml:space="preserve">: </w:t>
      </w:r>
      <w:r w:rsidR="00465C85">
        <w:rPr>
          <w:rFonts w:ascii="Calibri" w:hAnsi="Calibri" w:cs="Calibri"/>
        </w:rPr>
        <w:t xml:space="preserve"> </w:t>
      </w:r>
      <w:r>
        <w:rPr>
          <w:rFonts w:ascii="Calibri" w:hAnsi="Calibri" w:cs="Calibri"/>
        </w:rPr>
        <w:t>Yes, No and Pre-TQ are three different classes</w:t>
      </w:r>
    </w:p>
    <w:p w14:paraId="6526BEC6" w14:textId="77777777" w:rsidR="007703C7" w:rsidRDefault="00312464" w:rsidP="008E77F7">
      <w:pPr>
        <w:pStyle w:val="ListParagraph"/>
        <w:numPr>
          <w:ilvl w:val="0"/>
          <w:numId w:val="16"/>
        </w:numPr>
        <w:tabs>
          <w:tab w:val="left" w:pos="540"/>
          <w:tab w:val="left" w:pos="1080"/>
          <w:tab w:val="left" w:pos="1620"/>
          <w:tab w:val="left" w:pos="2160"/>
          <w:tab w:val="left" w:pos="2700"/>
          <w:tab w:val="left" w:pos="3240"/>
          <w:tab w:val="left" w:pos="3780"/>
          <w:tab w:val="left" w:pos="4320"/>
        </w:tabs>
        <w:ind w:left="1620" w:hanging="540"/>
        <w:rPr>
          <w:rFonts w:ascii="Calibri" w:hAnsi="Calibri" w:cs="Calibri"/>
        </w:rPr>
      </w:pPr>
      <w:r w:rsidRPr="007703C7">
        <w:rPr>
          <w:rFonts w:ascii="Calibri" w:hAnsi="Calibri" w:cs="Calibri"/>
        </w:rPr>
        <w:t xml:space="preserve">Coverage: </w:t>
      </w:r>
      <w:r w:rsidR="00465C85" w:rsidRPr="007703C7">
        <w:rPr>
          <w:rFonts w:ascii="Calibri" w:hAnsi="Calibri" w:cs="Calibri"/>
        </w:rPr>
        <w:t xml:space="preserve"> </w:t>
      </w:r>
      <w:r w:rsidRPr="007703C7">
        <w:rPr>
          <w:rFonts w:ascii="Calibri" w:hAnsi="Calibri" w:cs="Calibri"/>
        </w:rPr>
        <w:t>Facility-only</w:t>
      </w:r>
      <w:r w:rsidR="00E756E8" w:rsidRPr="007703C7">
        <w:rPr>
          <w:rFonts w:ascii="Calibri" w:hAnsi="Calibri" w:cs="Calibri"/>
        </w:rPr>
        <w:t>,</w:t>
      </w:r>
      <w:r w:rsidRPr="007703C7">
        <w:rPr>
          <w:rFonts w:ascii="Calibri" w:hAnsi="Calibri" w:cs="Calibri"/>
        </w:rPr>
        <w:t xml:space="preserve"> Home-</w:t>
      </w:r>
      <w:r w:rsidR="00407865" w:rsidRPr="007703C7">
        <w:rPr>
          <w:rFonts w:ascii="Calibri" w:hAnsi="Calibri" w:cs="Calibri"/>
        </w:rPr>
        <w:t>C</w:t>
      </w:r>
      <w:r w:rsidRPr="007703C7">
        <w:rPr>
          <w:rFonts w:ascii="Calibri" w:hAnsi="Calibri" w:cs="Calibri"/>
        </w:rPr>
        <w:t xml:space="preserve">are only and </w:t>
      </w:r>
      <w:r w:rsidR="00407865" w:rsidRPr="007703C7">
        <w:rPr>
          <w:rFonts w:ascii="Calibri" w:hAnsi="Calibri" w:cs="Calibri"/>
        </w:rPr>
        <w:t>C</w:t>
      </w:r>
      <w:r w:rsidRPr="007703C7">
        <w:rPr>
          <w:rFonts w:ascii="Calibri" w:hAnsi="Calibri" w:cs="Calibri"/>
        </w:rPr>
        <w:t>omprehensive are three different classes</w:t>
      </w:r>
    </w:p>
    <w:p w14:paraId="3CFB27F9" w14:textId="77777777" w:rsidR="003F429F" w:rsidRDefault="00937635" w:rsidP="008E77F7">
      <w:pPr>
        <w:pStyle w:val="ListParagraph"/>
        <w:numPr>
          <w:ilvl w:val="0"/>
          <w:numId w:val="16"/>
        </w:numPr>
        <w:tabs>
          <w:tab w:val="left" w:pos="540"/>
          <w:tab w:val="left" w:pos="1080"/>
          <w:tab w:val="left" w:pos="1620"/>
          <w:tab w:val="left" w:pos="2160"/>
          <w:tab w:val="left" w:pos="2700"/>
          <w:tab w:val="left" w:pos="3240"/>
          <w:tab w:val="left" w:pos="3780"/>
          <w:tab w:val="left" w:pos="4320"/>
        </w:tabs>
        <w:ind w:left="1620" w:hanging="540"/>
        <w:rPr>
          <w:rFonts w:ascii="Calibri" w:hAnsi="Calibri" w:cs="Calibri"/>
        </w:rPr>
      </w:pPr>
      <w:r w:rsidRPr="007703C7">
        <w:rPr>
          <w:rFonts w:ascii="Calibri" w:hAnsi="Calibri" w:cs="Calibri"/>
        </w:rPr>
        <w:t>Indemnity vs. Reimbursement:  these are two different classes</w:t>
      </w:r>
    </w:p>
    <w:p w14:paraId="651D07D1" w14:textId="31845EA2" w:rsidR="003F429F" w:rsidRPr="003F429F" w:rsidRDefault="003F429F" w:rsidP="008E77F7">
      <w:pPr>
        <w:pStyle w:val="ListParagraph"/>
        <w:numPr>
          <w:ilvl w:val="0"/>
          <w:numId w:val="16"/>
        </w:numPr>
        <w:tabs>
          <w:tab w:val="left" w:pos="540"/>
          <w:tab w:val="left" w:pos="1080"/>
          <w:tab w:val="left" w:pos="1620"/>
          <w:tab w:val="left" w:pos="2160"/>
          <w:tab w:val="left" w:pos="2700"/>
          <w:tab w:val="left" w:pos="3240"/>
          <w:tab w:val="left" w:pos="3780"/>
          <w:tab w:val="left" w:pos="4320"/>
        </w:tabs>
        <w:ind w:left="1620" w:hanging="540"/>
        <w:rPr>
          <w:rFonts w:ascii="Calibri" w:hAnsi="Calibri" w:cs="Calibri"/>
        </w:rPr>
      </w:pPr>
      <w:r w:rsidRPr="003F429F">
        <w:rPr>
          <w:rFonts w:ascii="Calibri" w:hAnsi="Calibri" w:cs="Calibri"/>
        </w:rPr>
        <w:t>Restoration of Benefits (“</w:t>
      </w:r>
      <w:r w:rsidRPr="003F429F">
        <w:rPr>
          <w:rFonts w:ascii="Calibri" w:hAnsi="Calibri" w:cs="Calibri"/>
          <w:b/>
          <w:bCs/>
        </w:rPr>
        <w:t>ROB</w:t>
      </w:r>
      <w:r w:rsidRPr="003F429F">
        <w:rPr>
          <w:rFonts w:ascii="Calibri" w:hAnsi="Calibri" w:cs="Calibri"/>
        </w:rPr>
        <w:t xml:space="preserve">”):  with and without ROB are two different classes (note: </w:t>
      </w:r>
      <w:r w:rsidR="007B1A40">
        <w:rPr>
          <w:rFonts w:ascii="Calibri" w:hAnsi="Calibri" w:cs="Calibri"/>
        </w:rPr>
        <w:t xml:space="preserve"> </w:t>
      </w:r>
      <w:r w:rsidRPr="003F429F">
        <w:rPr>
          <w:rFonts w:ascii="Calibri" w:hAnsi="Calibri" w:cs="Calibri"/>
        </w:rPr>
        <w:t xml:space="preserve">commercial valuation systems assume all policies have ROB, thus, the liabilities for policies without the ROB benefit are </w:t>
      </w:r>
      <w:r w:rsidR="000B6114">
        <w:rPr>
          <w:rFonts w:ascii="Calibri" w:hAnsi="Calibri" w:cs="Calibri"/>
        </w:rPr>
        <w:t xml:space="preserve">often </w:t>
      </w:r>
      <w:r w:rsidRPr="003F429F">
        <w:rPr>
          <w:rFonts w:ascii="Calibri" w:hAnsi="Calibri" w:cs="Calibri"/>
        </w:rPr>
        <w:t>overstated).</w:t>
      </w:r>
    </w:p>
    <w:p w14:paraId="16B22AAB" w14:textId="77777777" w:rsidR="003F429F" w:rsidRDefault="003F429F" w:rsidP="008E77F7">
      <w:pPr>
        <w:pStyle w:val="ListParagraph"/>
        <w:tabs>
          <w:tab w:val="left" w:pos="540"/>
          <w:tab w:val="left" w:pos="1080"/>
          <w:tab w:val="left" w:pos="1620"/>
          <w:tab w:val="left" w:pos="2160"/>
          <w:tab w:val="left" w:pos="2700"/>
          <w:tab w:val="left" w:pos="3240"/>
          <w:tab w:val="left" w:pos="3780"/>
          <w:tab w:val="left" w:pos="4320"/>
        </w:tabs>
        <w:ind w:left="1080"/>
        <w:rPr>
          <w:rFonts w:ascii="Calibri" w:hAnsi="Calibri" w:cs="Calibri"/>
        </w:rPr>
      </w:pPr>
    </w:p>
    <w:p w14:paraId="0C6E2C78" w14:textId="25C1CBBF" w:rsidR="007703C7" w:rsidRPr="007703C7" w:rsidRDefault="007703C7" w:rsidP="003E789E">
      <w:pPr>
        <w:pStyle w:val="ListParagraph"/>
        <w:numPr>
          <w:ilvl w:val="0"/>
          <w:numId w:val="15"/>
        </w:numPr>
        <w:tabs>
          <w:tab w:val="left" w:pos="540"/>
          <w:tab w:val="left" w:pos="1080"/>
          <w:tab w:val="left" w:pos="1620"/>
          <w:tab w:val="left" w:pos="2160"/>
          <w:tab w:val="left" w:pos="2700"/>
          <w:tab w:val="left" w:pos="3240"/>
          <w:tab w:val="left" w:pos="3780"/>
          <w:tab w:val="left" w:pos="4320"/>
        </w:tabs>
        <w:ind w:left="1080" w:hanging="540"/>
        <w:rPr>
          <w:rFonts w:ascii="Calibri" w:hAnsi="Calibri" w:cs="Calibri"/>
        </w:rPr>
      </w:pPr>
      <w:r w:rsidRPr="007703C7">
        <w:rPr>
          <w:rFonts w:ascii="Calibri" w:hAnsi="Calibri" w:cs="Calibri"/>
        </w:rPr>
        <w:t>Benefit Options</w:t>
      </w:r>
    </w:p>
    <w:p w14:paraId="68BBC465" w14:textId="4C00B560" w:rsidR="003F429F" w:rsidRDefault="007703C7" w:rsidP="008E77F7">
      <w:pPr>
        <w:pStyle w:val="ListParagraph"/>
        <w:numPr>
          <w:ilvl w:val="0"/>
          <w:numId w:val="17"/>
        </w:numPr>
        <w:tabs>
          <w:tab w:val="left" w:pos="540"/>
          <w:tab w:val="left" w:pos="1080"/>
          <w:tab w:val="left" w:pos="1620"/>
          <w:tab w:val="left" w:pos="2160"/>
          <w:tab w:val="left" w:pos="2700"/>
          <w:tab w:val="left" w:pos="3240"/>
          <w:tab w:val="left" w:pos="3780"/>
          <w:tab w:val="left" w:pos="4320"/>
        </w:tabs>
        <w:ind w:left="1620" w:hanging="540"/>
        <w:rPr>
          <w:rFonts w:ascii="Calibri" w:hAnsi="Calibri" w:cs="Calibri"/>
        </w:rPr>
      </w:pPr>
      <w:r>
        <w:rPr>
          <w:rFonts w:ascii="Calibri" w:hAnsi="Calibri" w:cs="Calibri"/>
        </w:rPr>
        <w:t>Unlimited (or Lifetime) Benefit Period:</w:t>
      </w:r>
      <w:r w:rsidR="003F429F">
        <w:rPr>
          <w:rFonts w:ascii="Calibri" w:hAnsi="Calibri" w:cs="Calibri"/>
        </w:rPr>
        <w:t xml:space="preserve">  b</w:t>
      </w:r>
      <w:r>
        <w:rPr>
          <w:rFonts w:ascii="Calibri" w:hAnsi="Calibri" w:cs="Calibri"/>
        </w:rPr>
        <w:t xml:space="preserve">enefit </w:t>
      </w:r>
      <w:r w:rsidR="003F429F">
        <w:rPr>
          <w:rFonts w:ascii="Calibri" w:hAnsi="Calibri" w:cs="Calibri"/>
        </w:rPr>
        <w:t>periods of 10 or more years could be merged with the Unlimited Benefit Period</w:t>
      </w:r>
    </w:p>
    <w:p w14:paraId="31A7E28B" w14:textId="77777777" w:rsidR="008B68D4" w:rsidRDefault="008B68D4" w:rsidP="0001445A">
      <w:pPr>
        <w:pStyle w:val="ListParagraph"/>
        <w:numPr>
          <w:ilvl w:val="0"/>
          <w:numId w:val="18"/>
        </w:numPr>
        <w:tabs>
          <w:tab w:val="left" w:pos="540"/>
          <w:tab w:val="left" w:pos="1080"/>
          <w:tab w:val="left" w:pos="1620"/>
          <w:tab w:val="left" w:pos="2160"/>
          <w:tab w:val="left" w:pos="2700"/>
          <w:tab w:val="left" w:pos="3240"/>
          <w:tab w:val="left" w:pos="3780"/>
          <w:tab w:val="left" w:pos="4320"/>
        </w:tabs>
        <w:ind w:left="1627" w:hanging="547"/>
        <w:rPr>
          <w:rFonts w:ascii="Calibri" w:hAnsi="Calibri" w:cs="Calibri"/>
        </w:rPr>
      </w:pPr>
      <w:bookmarkStart w:id="0" w:name="_Hlk165411983"/>
      <w:r w:rsidRPr="008B68D4">
        <w:rPr>
          <w:rFonts w:ascii="Calibri" w:hAnsi="Calibri" w:cs="Calibri"/>
        </w:rPr>
        <w:t>5% Compound Inflation Protection option.</w:t>
      </w:r>
      <w:bookmarkEnd w:id="0"/>
    </w:p>
    <w:p w14:paraId="1ECF9999" w14:textId="2DB5C734" w:rsidR="008B68D4" w:rsidRPr="008B68D4" w:rsidRDefault="008B68D4" w:rsidP="005D29F9">
      <w:pPr>
        <w:pStyle w:val="ListParagraph"/>
        <w:tabs>
          <w:tab w:val="left" w:pos="540"/>
          <w:tab w:val="left" w:pos="1080"/>
          <w:tab w:val="left" w:pos="1620"/>
          <w:tab w:val="left" w:pos="2160"/>
          <w:tab w:val="left" w:pos="2700"/>
          <w:tab w:val="left" w:pos="3240"/>
          <w:tab w:val="left" w:pos="3780"/>
          <w:tab w:val="left" w:pos="4320"/>
        </w:tabs>
        <w:spacing w:before="160"/>
        <w:ind w:left="1080"/>
        <w:rPr>
          <w:rFonts w:ascii="Calibri" w:hAnsi="Calibri" w:cs="Calibri"/>
        </w:rPr>
      </w:pPr>
      <w:r w:rsidRPr="008B68D4">
        <w:rPr>
          <w:rFonts w:ascii="Calibri" w:hAnsi="Calibri" w:cs="Calibri"/>
        </w:rPr>
        <w:t>These two classes are generally the most expensive options.  Segregation of these classes allows the reviewer to ascertain that these two classes are not heavily subsidized by less expensive classes.</w:t>
      </w:r>
    </w:p>
    <w:p w14:paraId="1C87F5FC" w14:textId="43A30074" w:rsidR="00937635" w:rsidRPr="00B80836" w:rsidRDefault="00937635" w:rsidP="003E789E">
      <w:pPr>
        <w:pStyle w:val="ListParagraph"/>
        <w:numPr>
          <w:ilvl w:val="0"/>
          <w:numId w:val="15"/>
        </w:numPr>
        <w:tabs>
          <w:tab w:val="left" w:pos="540"/>
          <w:tab w:val="left" w:pos="1080"/>
          <w:tab w:val="left" w:pos="1620"/>
          <w:tab w:val="left" w:pos="2160"/>
          <w:tab w:val="left" w:pos="2700"/>
          <w:tab w:val="left" w:pos="3240"/>
          <w:tab w:val="left" w:pos="3780"/>
          <w:tab w:val="left" w:pos="4320"/>
        </w:tabs>
        <w:spacing w:after="0"/>
        <w:ind w:left="1080" w:hanging="540"/>
        <w:rPr>
          <w:rFonts w:ascii="Calibri" w:hAnsi="Calibri" w:cs="Calibri"/>
        </w:rPr>
      </w:pPr>
      <w:r w:rsidRPr="00B80836">
        <w:rPr>
          <w:rFonts w:ascii="Calibri" w:hAnsi="Calibri" w:cs="Calibri"/>
        </w:rPr>
        <w:lastRenderedPageBreak/>
        <w:t>R</w:t>
      </w:r>
      <w:r w:rsidR="00B80836" w:rsidRPr="00B80836">
        <w:rPr>
          <w:rFonts w:ascii="Calibri" w:hAnsi="Calibri" w:cs="Calibri"/>
        </w:rPr>
        <w:t xml:space="preserve">ate Increase:  Classes are separated by their initial filing and any </w:t>
      </w:r>
      <w:r w:rsidR="005D29F9">
        <w:rPr>
          <w:rFonts w:ascii="Calibri" w:hAnsi="Calibri" w:cs="Calibri"/>
        </w:rPr>
        <w:t>approved</w:t>
      </w:r>
      <w:r w:rsidR="00B80836" w:rsidRPr="00B80836">
        <w:rPr>
          <w:rFonts w:ascii="Calibri" w:hAnsi="Calibri" w:cs="Calibri"/>
        </w:rPr>
        <w:t xml:space="preserve"> rate increase.</w:t>
      </w:r>
    </w:p>
    <w:p w14:paraId="35F0C482" w14:textId="77777777" w:rsidR="00B80836" w:rsidRDefault="00B80836" w:rsidP="008E77F7">
      <w:pPr>
        <w:tabs>
          <w:tab w:val="left" w:pos="540"/>
          <w:tab w:val="left" w:pos="1080"/>
          <w:tab w:val="left" w:pos="1170"/>
          <w:tab w:val="left" w:pos="1620"/>
          <w:tab w:val="left" w:pos="2160"/>
          <w:tab w:val="left" w:pos="2700"/>
          <w:tab w:val="left" w:pos="3240"/>
          <w:tab w:val="left" w:pos="3780"/>
          <w:tab w:val="left" w:pos="4320"/>
        </w:tabs>
        <w:spacing w:after="0"/>
        <w:rPr>
          <w:rFonts w:ascii="Calibri" w:hAnsi="Calibri" w:cs="Calibri"/>
        </w:rPr>
      </w:pPr>
    </w:p>
    <w:p w14:paraId="6F752886" w14:textId="396B5480" w:rsidR="00B80836" w:rsidRDefault="00B80836" w:rsidP="003E789E">
      <w:pPr>
        <w:tabs>
          <w:tab w:val="left" w:pos="540"/>
          <w:tab w:val="left" w:pos="1080"/>
          <w:tab w:val="left" w:pos="1620"/>
          <w:tab w:val="left" w:pos="2160"/>
          <w:tab w:val="left" w:pos="2700"/>
          <w:tab w:val="left" w:pos="3240"/>
          <w:tab w:val="left" w:pos="3780"/>
          <w:tab w:val="left" w:pos="4320"/>
        </w:tabs>
        <w:spacing w:after="0"/>
        <w:rPr>
          <w:rFonts w:ascii="Calibri" w:hAnsi="Calibri" w:cs="Calibri"/>
        </w:rPr>
      </w:pPr>
      <w:r>
        <w:rPr>
          <w:rFonts w:ascii="Calibri" w:hAnsi="Calibri" w:cs="Calibri"/>
        </w:rPr>
        <w:t xml:space="preserve">All combinations of A) through </w:t>
      </w:r>
      <w:r w:rsidR="008C5B88">
        <w:rPr>
          <w:rFonts w:ascii="Calibri" w:hAnsi="Calibri" w:cs="Calibri"/>
        </w:rPr>
        <w:t>D</w:t>
      </w:r>
      <w:r>
        <w:rPr>
          <w:rFonts w:ascii="Calibri" w:hAnsi="Calibri" w:cs="Calibri"/>
        </w:rPr>
        <w:t>) should be considered separate classes if the choices are optional.</w:t>
      </w:r>
    </w:p>
    <w:p w14:paraId="58F0DDE8" w14:textId="77777777" w:rsidR="00B80836" w:rsidRDefault="00B80836" w:rsidP="008E77F7">
      <w:pPr>
        <w:tabs>
          <w:tab w:val="left" w:pos="540"/>
          <w:tab w:val="left" w:pos="1080"/>
          <w:tab w:val="left" w:pos="1170"/>
          <w:tab w:val="left" w:pos="1620"/>
          <w:tab w:val="left" w:pos="2160"/>
          <w:tab w:val="left" w:pos="2700"/>
          <w:tab w:val="left" w:pos="3240"/>
          <w:tab w:val="left" w:pos="3780"/>
          <w:tab w:val="left" w:pos="4320"/>
        </w:tabs>
        <w:spacing w:after="0"/>
        <w:rPr>
          <w:rFonts w:ascii="Calibri" w:hAnsi="Calibri" w:cs="Calibri"/>
        </w:rPr>
      </w:pPr>
    </w:p>
    <w:p w14:paraId="2A1F594A" w14:textId="77C4A1F7" w:rsidR="008C5B88" w:rsidRDefault="008C5B88" w:rsidP="003E789E">
      <w:pPr>
        <w:tabs>
          <w:tab w:val="left" w:pos="540"/>
          <w:tab w:val="left" w:pos="1080"/>
          <w:tab w:val="left" w:pos="1620"/>
          <w:tab w:val="left" w:pos="2160"/>
          <w:tab w:val="left" w:pos="2700"/>
          <w:tab w:val="left" w:pos="3240"/>
          <w:tab w:val="left" w:pos="3780"/>
          <w:tab w:val="left" w:pos="4320"/>
        </w:tabs>
        <w:rPr>
          <w:rFonts w:ascii="Calibri" w:hAnsi="Calibri" w:cs="Calibri"/>
          <w:b/>
          <w:bCs/>
        </w:rPr>
      </w:pPr>
      <w:r>
        <w:rPr>
          <w:rFonts w:ascii="Calibri" w:hAnsi="Calibri" w:cs="Calibri"/>
          <w:b/>
          <w:bCs/>
        </w:rPr>
        <w:t>Initial Point</w:t>
      </w:r>
      <w:r w:rsidR="00E94D8F">
        <w:rPr>
          <w:rFonts w:ascii="Calibri" w:hAnsi="Calibri" w:cs="Calibri"/>
          <w:b/>
          <w:bCs/>
        </w:rPr>
        <w:t>s</w:t>
      </w:r>
      <w:r>
        <w:rPr>
          <w:rFonts w:ascii="Calibri" w:hAnsi="Calibri" w:cs="Calibri"/>
          <w:b/>
          <w:bCs/>
        </w:rPr>
        <w:t xml:space="preserve"> Re: </w:t>
      </w:r>
      <w:r w:rsidR="003E789E">
        <w:rPr>
          <w:rFonts w:ascii="Calibri" w:hAnsi="Calibri" w:cs="Calibri"/>
          <w:b/>
          <w:bCs/>
        </w:rPr>
        <w:t xml:space="preserve"> </w:t>
      </w:r>
      <w:r>
        <w:rPr>
          <w:rFonts w:ascii="Calibri" w:hAnsi="Calibri" w:cs="Calibri"/>
          <w:b/>
          <w:bCs/>
        </w:rPr>
        <w:t>R</w:t>
      </w:r>
      <w:r w:rsidR="00470F0D">
        <w:rPr>
          <w:rFonts w:ascii="Calibri" w:hAnsi="Calibri" w:cs="Calibri"/>
          <w:b/>
          <w:bCs/>
        </w:rPr>
        <w:t xml:space="preserve">ate </w:t>
      </w:r>
      <w:r w:rsidR="00E94D8F">
        <w:rPr>
          <w:rFonts w:ascii="Calibri" w:hAnsi="Calibri" w:cs="Calibri"/>
          <w:b/>
          <w:bCs/>
        </w:rPr>
        <w:t>I</w:t>
      </w:r>
      <w:r w:rsidR="00470F0D">
        <w:rPr>
          <w:rFonts w:ascii="Calibri" w:hAnsi="Calibri" w:cs="Calibri"/>
          <w:b/>
          <w:bCs/>
        </w:rPr>
        <w:t>ncrease</w:t>
      </w:r>
      <w:r w:rsidR="00E94D8F">
        <w:rPr>
          <w:rFonts w:ascii="Calibri" w:hAnsi="Calibri" w:cs="Calibri"/>
          <w:b/>
          <w:bCs/>
        </w:rPr>
        <w:t xml:space="preserve"> Filings</w:t>
      </w:r>
    </w:p>
    <w:p w14:paraId="2F372837" w14:textId="700FD339" w:rsidR="008C5B88" w:rsidRPr="00E94D8F" w:rsidRDefault="00E94D8F" w:rsidP="003E789E">
      <w:pPr>
        <w:pStyle w:val="ListParagraph"/>
        <w:numPr>
          <w:ilvl w:val="0"/>
          <w:numId w:val="22"/>
        </w:numPr>
        <w:tabs>
          <w:tab w:val="left" w:pos="540"/>
          <w:tab w:val="left" w:pos="1080"/>
          <w:tab w:val="left" w:pos="1620"/>
          <w:tab w:val="left" w:pos="2160"/>
          <w:tab w:val="left" w:pos="2700"/>
          <w:tab w:val="left" w:pos="3240"/>
          <w:tab w:val="left" w:pos="3780"/>
          <w:tab w:val="left" w:pos="4320"/>
        </w:tabs>
        <w:ind w:left="1080" w:hanging="540"/>
        <w:rPr>
          <w:rFonts w:ascii="Calibri" w:hAnsi="Calibri" w:cs="Calibri"/>
        </w:rPr>
      </w:pPr>
      <w:r w:rsidRPr="00E94D8F">
        <w:rPr>
          <w:rFonts w:ascii="Calibri" w:hAnsi="Calibri" w:cs="Calibri"/>
        </w:rPr>
        <w:t xml:space="preserve">Pre-Rate Stability: </w:t>
      </w:r>
      <w:r w:rsidR="003E789E">
        <w:rPr>
          <w:rFonts w:ascii="Calibri" w:hAnsi="Calibri" w:cs="Calibri"/>
        </w:rPr>
        <w:t xml:space="preserve"> </w:t>
      </w:r>
      <w:r w:rsidR="008C5B88" w:rsidRPr="00E94D8F">
        <w:rPr>
          <w:rFonts w:ascii="Calibri" w:hAnsi="Calibri" w:cs="Calibri"/>
        </w:rPr>
        <w:t>The L/R for any rate increase filing cannot be less than the prior rate increase filing.</w:t>
      </w:r>
    </w:p>
    <w:p w14:paraId="255509CA" w14:textId="358FB0DC" w:rsidR="00273CF3" w:rsidRPr="00E94D8F" w:rsidRDefault="00273CF3" w:rsidP="003E789E">
      <w:pPr>
        <w:pStyle w:val="ListParagraph"/>
        <w:numPr>
          <w:ilvl w:val="0"/>
          <w:numId w:val="22"/>
        </w:numPr>
        <w:tabs>
          <w:tab w:val="left" w:pos="540"/>
          <w:tab w:val="left" w:pos="1080"/>
          <w:tab w:val="left" w:pos="1620"/>
          <w:tab w:val="left" w:pos="2160"/>
          <w:tab w:val="left" w:pos="2700"/>
          <w:tab w:val="left" w:pos="3240"/>
          <w:tab w:val="left" w:pos="3780"/>
          <w:tab w:val="left" w:pos="4320"/>
        </w:tabs>
        <w:ind w:left="1080" w:hanging="540"/>
        <w:rPr>
          <w:rFonts w:ascii="Calibri" w:hAnsi="Calibri" w:cs="Calibri"/>
        </w:rPr>
      </w:pPr>
      <w:r w:rsidRPr="00E94D8F">
        <w:rPr>
          <w:rFonts w:ascii="Calibri" w:hAnsi="Calibri" w:cs="Calibri"/>
        </w:rPr>
        <w:t>Post-Rate Stability</w:t>
      </w:r>
      <w:r w:rsidR="00E94D8F" w:rsidRPr="00E94D8F">
        <w:rPr>
          <w:rFonts w:ascii="Calibri" w:hAnsi="Calibri" w:cs="Calibri"/>
        </w:rPr>
        <w:t xml:space="preserve">:  </w:t>
      </w:r>
      <w:r w:rsidRPr="00E94D8F">
        <w:rPr>
          <w:rFonts w:ascii="Calibri" w:hAnsi="Calibri" w:cs="Calibri"/>
        </w:rPr>
        <w:t>The L/R for any rate increase filing cannot be less than the prior rate increase filing or 85%.</w:t>
      </w:r>
    </w:p>
    <w:p w14:paraId="1CF8D7A2" w14:textId="7B7A7E87" w:rsidR="00B80836" w:rsidRPr="00B62BEA" w:rsidRDefault="00F72A73" w:rsidP="008E77F7">
      <w:pPr>
        <w:tabs>
          <w:tab w:val="left" w:pos="540"/>
          <w:tab w:val="left" w:pos="1080"/>
          <w:tab w:val="left" w:pos="1170"/>
          <w:tab w:val="left" w:pos="1620"/>
          <w:tab w:val="left" w:pos="2160"/>
          <w:tab w:val="left" w:pos="2700"/>
          <w:tab w:val="left" w:pos="3240"/>
          <w:tab w:val="left" w:pos="3780"/>
          <w:tab w:val="left" w:pos="4320"/>
        </w:tabs>
        <w:rPr>
          <w:rFonts w:ascii="Calibri" w:hAnsi="Calibri" w:cs="Calibri"/>
          <w:b/>
          <w:bCs/>
        </w:rPr>
      </w:pPr>
      <w:r>
        <w:rPr>
          <w:rFonts w:ascii="Calibri" w:hAnsi="Calibri" w:cs="Calibri"/>
          <w:b/>
          <w:bCs/>
        </w:rPr>
        <w:t xml:space="preserve">First Rate Increase:  </w:t>
      </w:r>
      <w:r w:rsidR="00B80836" w:rsidRPr="00B62BEA">
        <w:rPr>
          <w:rFonts w:ascii="Calibri" w:hAnsi="Calibri" w:cs="Calibri"/>
          <w:b/>
          <w:bCs/>
        </w:rPr>
        <w:t>In</w:t>
      </w:r>
      <w:r>
        <w:rPr>
          <w:rFonts w:ascii="Calibri" w:hAnsi="Calibri" w:cs="Calibri"/>
          <w:b/>
          <w:bCs/>
        </w:rPr>
        <w:t>tro</w:t>
      </w:r>
    </w:p>
    <w:p w14:paraId="38B17C44" w14:textId="4C045D58" w:rsidR="000A3E35" w:rsidRDefault="00630CDC" w:rsidP="003E789E">
      <w:pPr>
        <w:tabs>
          <w:tab w:val="left" w:pos="540"/>
          <w:tab w:val="left" w:pos="1080"/>
          <w:tab w:val="left" w:pos="1620"/>
          <w:tab w:val="left" w:pos="2160"/>
          <w:tab w:val="left" w:pos="2700"/>
          <w:tab w:val="left" w:pos="3240"/>
          <w:tab w:val="left" w:pos="3780"/>
          <w:tab w:val="left" w:pos="4320"/>
        </w:tabs>
        <w:rPr>
          <w:rFonts w:ascii="Calibri" w:hAnsi="Calibri" w:cs="Calibri"/>
        </w:rPr>
      </w:pPr>
      <w:r>
        <w:rPr>
          <w:rFonts w:ascii="Calibri" w:hAnsi="Calibri" w:cs="Calibri"/>
        </w:rPr>
        <w:t>C</w:t>
      </w:r>
      <w:r w:rsidR="00D70C80">
        <w:rPr>
          <w:rFonts w:ascii="Calibri" w:hAnsi="Calibri" w:cs="Calibri"/>
        </w:rPr>
        <w:t xml:space="preserve">lasses </w:t>
      </w:r>
      <w:r>
        <w:rPr>
          <w:rFonts w:ascii="Calibri" w:hAnsi="Calibri" w:cs="Calibri"/>
        </w:rPr>
        <w:t xml:space="preserve">should be </w:t>
      </w:r>
      <w:r w:rsidR="00B04B9F">
        <w:rPr>
          <w:rFonts w:ascii="Calibri" w:hAnsi="Calibri" w:cs="Calibri"/>
        </w:rPr>
        <w:t>calculated individually and in total</w:t>
      </w:r>
      <w:r w:rsidR="000A3E35">
        <w:rPr>
          <w:rFonts w:ascii="Calibri" w:hAnsi="Calibri" w:cs="Calibri"/>
        </w:rPr>
        <w:t xml:space="preserve"> (for the form)</w:t>
      </w:r>
      <w:r w:rsidR="00D70C80">
        <w:rPr>
          <w:rFonts w:ascii="Calibri" w:hAnsi="Calibri" w:cs="Calibri"/>
        </w:rPr>
        <w:t xml:space="preserve">. </w:t>
      </w:r>
      <w:r w:rsidR="0014599B">
        <w:rPr>
          <w:rFonts w:ascii="Calibri" w:hAnsi="Calibri" w:cs="Calibri"/>
        </w:rPr>
        <w:t xml:space="preserve"> </w:t>
      </w:r>
      <w:r w:rsidR="00D03A32">
        <w:rPr>
          <w:rFonts w:ascii="Calibri" w:hAnsi="Calibri" w:cs="Calibri"/>
        </w:rPr>
        <w:t>With the first rate increase, t</w:t>
      </w:r>
      <w:r w:rsidR="00D70C80">
        <w:rPr>
          <w:rFonts w:ascii="Calibri" w:hAnsi="Calibri" w:cs="Calibri"/>
        </w:rPr>
        <w:t xml:space="preserve">wo </w:t>
      </w:r>
      <w:r w:rsidR="00D03A32">
        <w:rPr>
          <w:rFonts w:ascii="Calibri" w:hAnsi="Calibri" w:cs="Calibri"/>
        </w:rPr>
        <w:t xml:space="preserve">initial </w:t>
      </w:r>
      <w:r w:rsidR="00D70C80">
        <w:rPr>
          <w:rFonts w:ascii="Calibri" w:hAnsi="Calibri" w:cs="Calibri"/>
        </w:rPr>
        <w:t>L/R’s should be calculated for each class:</w:t>
      </w:r>
    </w:p>
    <w:p w14:paraId="66673407" w14:textId="6913C827" w:rsidR="000A3E35" w:rsidRDefault="004544DB" w:rsidP="003E789E">
      <w:pPr>
        <w:pStyle w:val="ListParagraph"/>
        <w:numPr>
          <w:ilvl w:val="0"/>
          <w:numId w:val="13"/>
        </w:numPr>
        <w:tabs>
          <w:tab w:val="left" w:pos="540"/>
          <w:tab w:val="left" w:pos="1080"/>
          <w:tab w:val="left" w:pos="1620"/>
          <w:tab w:val="left" w:pos="2160"/>
          <w:tab w:val="left" w:pos="2700"/>
          <w:tab w:val="left" w:pos="3240"/>
          <w:tab w:val="left" w:pos="3780"/>
          <w:tab w:val="left" w:pos="4320"/>
        </w:tabs>
        <w:ind w:left="1080" w:hanging="547"/>
        <w:rPr>
          <w:rFonts w:ascii="Calibri" w:hAnsi="Calibri" w:cs="Calibri"/>
        </w:rPr>
      </w:pPr>
      <w:r>
        <w:rPr>
          <w:rFonts w:ascii="Calibri" w:hAnsi="Calibri" w:cs="Calibri"/>
        </w:rPr>
        <w:t>T</w:t>
      </w:r>
      <w:r w:rsidR="00D70C80" w:rsidRPr="000A3E35">
        <w:rPr>
          <w:rFonts w:ascii="Calibri" w:hAnsi="Calibri" w:cs="Calibri"/>
        </w:rPr>
        <w:t>he expected L/R based on the assumed distribution of sales</w:t>
      </w:r>
    </w:p>
    <w:p w14:paraId="1A107025" w14:textId="3780A075" w:rsidR="000A3E35" w:rsidRDefault="004544DB" w:rsidP="003E789E">
      <w:pPr>
        <w:pStyle w:val="ListParagraph"/>
        <w:numPr>
          <w:ilvl w:val="0"/>
          <w:numId w:val="13"/>
        </w:numPr>
        <w:tabs>
          <w:tab w:val="left" w:pos="540"/>
          <w:tab w:val="left" w:pos="1080"/>
          <w:tab w:val="left" w:pos="1620"/>
          <w:tab w:val="left" w:pos="2160"/>
          <w:tab w:val="left" w:pos="2700"/>
          <w:tab w:val="left" w:pos="3240"/>
          <w:tab w:val="left" w:pos="3780"/>
          <w:tab w:val="left" w:pos="4320"/>
        </w:tabs>
        <w:ind w:left="1080" w:hanging="540"/>
        <w:rPr>
          <w:rFonts w:ascii="Calibri" w:hAnsi="Calibri" w:cs="Calibri"/>
        </w:rPr>
      </w:pPr>
      <w:r>
        <w:rPr>
          <w:rFonts w:ascii="Calibri" w:hAnsi="Calibri" w:cs="Calibri"/>
        </w:rPr>
        <w:t>T</w:t>
      </w:r>
      <w:r w:rsidR="00D70C80" w:rsidRPr="000A3E35">
        <w:rPr>
          <w:rFonts w:ascii="Calibri" w:hAnsi="Calibri" w:cs="Calibri"/>
        </w:rPr>
        <w:t>he expected L/R based on the actual distribution of sales.</w:t>
      </w:r>
    </w:p>
    <w:p w14:paraId="0A936A25" w14:textId="1A277FD2" w:rsidR="00B62BEA" w:rsidRDefault="00B62BEA" w:rsidP="003E789E">
      <w:pPr>
        <w:pStyle w:val="ListParagraph"/>
        <w:tabs>
          <w:tab w:val="left" w:pos="540"/>
          <w:tab w:val="left" w:pos="1080"/>
          <w:tab w:val="left" w:pos="1620"/>
          <w:tab w:val="left" w:pos="2160"/>
          <w:tab w:val="left" w:pos="2700"/>
          <w:tab w:val="left" w:pos="3240"/>
          <w:tab w:val="left" w:pos="3780"/>
          <w:tab w:val="left" w:pos="4320"/>
        </w:tabs>
        <w:ind w:left="540"/>
        <w:rPr>
          <w:rFonts w:ascii="Calibri" w:hAnsi="Calibri" w:cs="Calibri"/>
        </w:rPr>
      </w:pPr>
      <w:r>
        <w:rPr>
          <w:rFonts w:ascii="Calibri" w:hAnsi="Calibri" w:cs="Calibri"/>
        </w:rPr>
        <w:t>The minimum initial L/R should be the greater of these two.</w:t>
      </w:r>
      <w:r w:rsidR="004544DB">
        <w:rPr>
          <w:rFonts w:ascii="Calibri" w:hAnsi="Calibri" w:cs="Calibri"/>
        </w:rPr>
        <w:t xml:space="preserve">  This prevents a company from intentionally misrepresenting the expected L/R, or, more likely, not getting the distribution they were hoping for.</w:t>
      </w:r>
    </w:p>
    <w:p w14:paraId="51F366B1" w14:textId="6618AC7C" w:rsidR="00407865" w:rsidRPr="000A3E35" w:rsidRDefault="002A55E5" w:rsidP="003E789E">
      <w:pPr>
        <w:tabs>
          <w:tab w:val="left" w:pos="540"/>
          <w:tab w:val="left" w:pos="1080"/>
          <w:tab w:val="left" w:pos="1620"/>
          <w:tab w:val="left" w:pos="2160"/>
          <w:tab w:val="left" w:pos="2700"/>
          <w:tab w:val="left" w:pos="3240"/>
          <w:tab w:val="left" w:pos="3780"/>
          <w:tab w:val="left" w:pos="4320"/>
        </w:tabs>
        <w:rPr>
          <w:rFonts w:ascii="Calibri" w:hAnsi="Calibri" w:cs="Calibri"/>
        </w:rPr>
      </w:pPr>
      <w:r>
        <w:rPr>
          <w:rFonts w:ascii="Calibri" w:hAnsi="Calibri" w:cs="Calibri"/>
        </w:rPr>
        <w:t>The Margin for Adverse Experience (“</w:t>
      </w:r>
      <w:r w:rsidRPr="002A55E5">
        <w:rPr>
          <w:rFonts w:ascii="Calibri" w:hAnsi="Calibri" w:cs="Calibri"/>
          <w:b/>
          <w:bCs/>
        </w:rPr>
        <w:t>MAE</w:t>
      </w:r>
      <w:r>
        <w:rPr>
          <w:rFonts w:ascii="Calibri" w:hAnsi="Calibri" w:cs="Calibri"/>
        </w:rPr>
        <w:t>”) (minimum of 10%) should be included with all initial filings to help avoid rate increases.  The MAE should not be added to any rate increase filings.</w:t>
      </w:r>
    </w:p>
    <w:p w14:paraId="17647C0D" w14:textId="4C011825" w:rsidR="00D70C80" w:rsidRDefault="004372F5" w:rsidP="003E789E">
      <w:pPr>
        <w:tabs>
          <w:tab w:val="left" w:pos="540"/>
          <w:tab w:val="left" w:pos="1080"/>
          <w:tab w:val="left" w:pos="1620"/>
          <w:tab w:val="left" w:pos="2160"/>
          <w:tab w:val="left" w:pos="2700"/>
          <w:tab w:val="left" w:pos="3240"/>
          <w:tab w:val="left" w:pos="3780"/>
          <w:tab w:val="left" w:pos="4320"/>
        </w:tabs>
        <w:rPr>
          <w:rFonts w:ascii="Calibri" w:hAnsi="Calibri" w:cs="Calibri"/>
        </w:rPr>
      </w:pPr>
      <w:r>
        <w:rPr>
          <w:rFonts w:ascii="Calibri" w:hAnsi="Calibri" w:cs="Calibri"/>
        </w:rPr>
        <w:t xml:space="preserve">For a rate increase filing: </w:t>
      </w:r>
      <w:r w:rsidR="00465C85">
        <w:rPr>
          <w:rFonts w:ascii="Calibri" w:hAnsi="Calibri" w:cs="Calibri"/>
        </w:rPr>
        <w:t xml:space="preserve"> </w:t>
      </w:r>
      <w:r w:rsidR="00D70C80">
        <w:rPr>
          <w:rFonts w:ascii="Calibri" w:hAnsi="Calibri" w:cs="Calibri"/>
        </w:rPr>
        <w:t>in-force policies</w:t>
      </w:r>
      <w:r w:rsidR="00013E4C">
        <w:rPr>
          <w:rFonts w:ascii="Calibri" w:hAnsi="Calibri" w:cs="Calibri"/>
        </w:rPr>
        <w:t xml:space="preserve"> that are</w:t>
      </w:r>
      <w:r w:rsidR="00D70C80">
        <w:rPr>
          <w:rFonts w:ascii="Calibri" w:hAnsi="Calibri" w:cs="Calibri"/>
        </w:rPr>
        <w:t xml:space="preserve"> paid-up (that is</w:t>
      </w:r>
      <w:r w:rsidR="00E756E8">
        <w:rPr>
          <w:rFonts w:ascii="Calibri" w:hAnsi="Calibri" w:cs="Calibri"/>
        </w:rPr>
        <w:t>,</w:t>
      </w:r>
      <w:r w:rsidR="00D70C80">
        <w:rPr>
          <w:rFonts w:ascii="Calibri" w:hAnsi="Calibri" w:cs="Calibri"/>
        </w:rPr>
        <w:t xml:space="preserve"> the policies for which no further premium is due) should not be included</w:t>
      </w:r>
      <w:r w:rsidR="0095229A">
        <w:rPr>
          <w:rFonts w:ascii="Calibri" w:hAnsi="Calibri" w:cs="Calibri"/>
        </w:rPr>
        <w:t xml:space="preserve">. </w:t>
      </w:r>
      <w:r w:rsidR="00D70C80">
        <w:rPr>
          <w:rFonts w:ascii="Calibri" w:hAnsi="Calibri" w:cs="Calibri"/>
        </w:rPr>
        <w:t xml:space="preserve"> </w:t>
      </w:r>
      <w:r w:rsidR="00013E4C">
        <w:rPr>
          <w:rFonts w:ascii="Calibri" w:hAnsi="Calibri" w:cs="Calibri"/>
        </w:rPr>
        <w:t>Paid-up</w:t>
      </w:r>
      <w:r w:rsidR="0095229A">
        <w:rPr>
          <w:rFonts w:ascii="Calibri" w:hAnsi="Calibri" w:cs="Calibri"/>
        </w:rPr>
        <w:t xml:space="preserve"> policies are now the responsibility of the company and any premium deficit of paid-up policies cannot be charged to the premium-paying polic</w:t>
      </w:r>
      <w:r w:rsidR="00B62BEA">
        <w:rPr>
          <w:rFonts w:ascii="Calibri" w:hAnsi="Calibri" w:cs="Calibri"/>
        </w:rPr>
        <w:t>yholders</w:t>
      </w:r>
      <w:r w:rsidR="0095229A">
        <w:rPr>
          <w:rFonts w:ascii="Calibri" w:hAnsi="Calibri" w:cs="Calibri"/>
        </w:rPr>
        <w:t>.</w:t>
      </w:r>
    </w:p>
    <w:p w14:paraId="785D59A1" w14:textId="452A1D17" w:rsidR="001F63FC" w:rsidRDefault="00C125F1" w:rsidP="003E789E">
      <w:pPr>
        <w:tabs>
          <w:tab w:val="left" w:pos="540"/>
          <w:tab w:val="left" w:pos="1080"/>
          <w:tab w:val="left" w:pos="1620"/>
          <w:tab w:val="left" w:pos="2160"/>
          <w:tab w:val="left" w:pos="2700"/>
          <w:tab w:val="left" w:pos="3240"/>
          <w:tab w:val="left" w:pos="3780"/>
          <w:tab w:val="left" w:pos="4320"/>
        </w:tabs>
        <w:rPr>
          <w:rFonts w:ascii="Calibri" w:hAnsi="Calibri" w:cs="Calibri"/>
          <w:iCs/>
        </w:rPr>
      </w:pPr>
      <w:r>
        <w:rPr>
          <w:rFonts w:ascii="Calibri" w:hAnsi="Calibri" w:cs="Calibri"/>
        </w:rPr>
        <w:t>For each policy form, i</w:t>
      </w:r>
      <w:r w:rsidR="001F63FC">
        <w:rPr>
          <w:rFonts w:ascii="Calibri" w:hAnsi="Calibri" w:cs="Calibri"/>
        </w:rPr>
        <w:t>f</w:t>
      </w:r>
      <w:r w:rsidR="001F63FC" w:rsidRPr="001F63FC">
        <w:rPr>
          <w:rFonts w:ascii="Calibri" w:hAnsi="Calibri" w:cs="Calibri"/>
          <w:iCs/>
        </w:rPr>
        <w:t xml:space="preserve"> any class has less than 5% of the total number of in-force policies, that class is </w:t>
      </w:r>
      <w:r w:rsidR="00B62BEA">
        <w:rPr>
          <w:rFonts w:ascii="Calibri" w:hAnsi="Calibri" w:cs="Calibri"/>
          <w:iCs/>
        </w:rPr>
        <w:t>immaterial</w:t>
      </w:r>
      <w:r w:rsidR="001F63FC" w:rsidRPr="001F63FC">
        <w:rPr>
          <w:rFonts w:ascii="Calibri" w:hAnsi="Calibri" w:cs="Calibri"/>
          <w:iCs/>
        </w:rPr>
        <w:t xml:space="preserve">.  The </w:t>
      </w:r>
      <w:r w:rsidR="001F63FC">
        <w:rPr>
          <w:rFonts w:ascii="Calibri" w:hAnsi="Calibri" w:cs="Calibri"/>
          <w:iCs/>
        </w:rPr>
        <w:t xml:space="preserve">rate increase for any immaterial class </w:t>
      </w:r>
      <w:r w:rsidR="005213A9">
        <w:rPr>
          <w:rFonts w:ascii="Calibri" w:hAnsi="Calibri" w:cs="Calibri"/>
          <w:iCs/>
        </w:rPr>
        <w:t>should</w:t>
      </w:r>
      <w:r w:rsidR="001F63FC">
        <w:rPr>
          <w:rFonts w:ascii="Calibri" w:hAnsi="Calibri" w:cs="Calibri"/>
          <w:iCs/>
        </w:rPr>
        <w:t xml:space="preserve"> be determined by the similar material class.</w:t>
      </w:r>
    </w:p>
    <w:p w14:paraId="769FBD53" w14:textId="77777777" w:rsidR="00B62BEA" w:rsidRDefault="00B62BEA" w:rsidP="003E789E">
      <w:pPr>
        <w:tabs>
          <w:tab w:val="left" w:pos="540"/>
          <w:tab w:val="left" w:pos="1080"/>
          <w:tab w:val="left" w:pos="1620"/>
          <w:tab w:val="left" w:pos="2160"/>
          <w:tab w:val="left" w:pos="2700"/>
          <w:tab w:val="left" w:pos="3240"/>
          <w:tab w:val="left" w:pos="3780"/>
          <w:tab w:val="left" w:pos="4320"/>
        </w:tabs>
        <w:rPr>
          <w:rFonts w:ascii="Calibri" w:hAnsi="Calibri" w:cs="Calibri"/>
          <w:b/>
          <w:bCs/>
          <w:iCs/>
        </w:rPr>
      </w:pPr>
      <w:r>
        <w:rPr>
          <w:rFonts w:ascii="Calibri" w:hAnsi="Calibri" w:cs="Calibri"/>
          <w:b/>
          <w:bCs/>
          <w:iCs/>
        </w:rPr>
        <w:t>First Rate Increase</w:t>
      </w:r>
    </w:p>
    <w:p w14:paraId="2DE6AAF3" w14:textId="2D1BB739" w:rsidR="008B3D9E" w:rsidRDefault="00B62BEA" w:rsidP="003E789E">
      <w:pPr>
        <w:tabs>
          <w:tab w:val="left" w:pos="540"/>
          <w:tab w:val="left" w:pos="1080"/>
          <w:tab w:val="left" w:pos="1620"/>
          <w:tab w:val="left" w:pos="2160"/>
          <w:tab w:val="left" w:pos="2700"/>
          <w:tab w:val="left" w:pos="3240"/>
          <w:tab w:val="left" w:pos="3780"/>
          <w:tab w:val="left" w:pos="4320"/>
        </w:tabs>
        <w:rPr>
          <w:rFonts w:ascii="Calibri" w:hAnsi="Calibri" w:cs="Calibri"/>
          <w:iCs/>
        </w:rPr>
      </w:pPr>
      <w:r w:rsidRPr="00B62BEA">
        <w:rPr>
          <w:rFonts w:ascii="Calibri" w:hAnsi="Calibri" w:cs="Calibri"/>
          <w:iCs/>
        </w:rPr>
        <w:t>For the first rate increase</w:t>
      </w:r>
      <w:r w:rsidR="00187878">
        <w:rPr>
          <w:rFonts w:ascii="Calibri" w:hAnsi="Calibri" w:cs="Calibri"/>
          <w:iCs/>
        </w:rPr>
        <w:t xml:space="preserve"> and for each class</w:t>
      </w:r>
      <w:r w:rsidRPr="00B62BEA">
        <w:rPr>
          <w:rFonts w:ascii="Calibri" w:hAnsi="Calibri" w:cs="Calibri"/>
          <w:iCs/>
        </w:rPr>
        <w:t>, there will be t</w:t>
      </w:r>
      <w:r>
        <w:rPr>
          <w:rFonts w:ascii="Calibri" w:hAnsi="Calibri" w:cs="Calibri"/>
          <w:iCs/>
        </w:rPr>
        <w:t xml:space="preserve">wo </w:t>
      </w:r>
      <w:r w:rsidR="00DF05E2">
        <w:rPr>
          <w:rFonts w:ascii="Calibri" w:hAnsi="Calibri" w:cs="Calibri"/>
          <w:iCs/>
        </w:rPr>
        <w:t xml:space="preserve">projected </w:t>
      </w:r>
      <w:r>
        <w:rPr>
          <w:rFonts w:ascii="Calibri" w:hAnsi="Calibri" w:cs="Calibri"/>
          <w:iCs/>
        </w:rPr>
        <w:t>premium streams</w:t>
      </w:r>
      <w:r w:rsidR="00187878">
        <w:rPr>
          <w:rFonts w:ascii="Calibri" w:hAnsi="Calibri" w:cs="Calibri"/>
          <w:iCs/>
        </w:rPr>
        <w:t xml:space="preserve">: </w:t>
      </w:r>
      <w:r w:rsidR="00D03A32">
        <w:rPr>
          <w:rFonts w:ascii="Calibri" w:hAnsi="Calibri" w:cs="Calibri"/>
          <w:iCs/>
        </w:rPr>
        <w:t xml:space="preserve"> </w:t>
      </w:r>
      <w:r w:rsidR="00187878">
        <w:rPr>
          <w:rFonts w:ascii="Calibri" w:hAnsi="Calibri" w:cs="Calibri"/>
          <w:iCs/>
        </w:rPr>
        <w:t>t</w:t>
      </w:r>
      <w:r w:rsidRPr="00B62BEA">
        <w:rPr>
          <w:rFonts w:ascii="Calibri" w:hAnsi="Calibri" w:cs="Calibri"/>
          <w:iCs/>
        </w:rPr>
        <w:t xml:space="preserve">he initial premium </w:t>
      </w:r>
      <w:r>
        <w:rPr>
          <w:rFonts w:ascii="Calibri" w:hAnsi="Calibri" w:cs="Calibri"/>
          <w:iCs/>
        </w:rPr>
        <w:t>and the premium for the rate increase</w:t>
      </w:r>
      <w:r w:rsidR="00187878">
        <w:rPr>
          <w:rFonts w:ascii="Calibri" w:hAnsi="Calibri" w:cs="Calibri"/>
          <w:iCs/>
        </w:rPr>
        <w:t xml:space="preserve">.  The initial premium will have a historical portion and a projected portion.  </w:t>
      </w:r>
      <w:r w:rsidR="00097ACB">
        <w:rPr>
          <w:rFonts w:ascii="Calibri" w:hAnsi="Calibri" w:cs="Calibri"/>
          <w:iCs/>
        </w:rPr>
        <w:t>Similarly, claims will have historical claims and two pieces for the projection:  claims that were initially projected and the additional claims from the new assumptions.  For the Active Life Reserves (</w:t>
      </w:r>
      <w:r w:rsidR="00097ACB" w:rsidRPr="00AF1CA3">
        <w:rPr>
          <w:rFonts w:ascii="Calibri" w:hAnsi="Calibri" w:cs="Calibri"/>
          <w:b/>
          <w:bCs/>
          <w:iCs/>
        </w:rPr>
        <w:t>ALR</w:t>
      </w:r>
      <w:r w:rsidR="00097ACB">
        <w:rPr>
          <w:rFonts w:ascii="Calibri" w:hAnsi="Calibri" w:cs="Calibri"/>
          <w:iCs/>
        </w:rPr>
        <w:t xml:space="preserve">), most companies do not change their reserve factors, yet the reserves will still change </w:t>
      </w:r>
      <w:r w:rsidR="008B3D9E">
        <w:rPr>
          <w:rFonts w:ascii="Calibri" w:hAnsi="Calibri" w:cs="Calibri"/>
          <w:iCs/>
        </w:rPr>
        <w:t xml:space="preserve">due </w:t>
      </w:r>
      <w:proofErr w:type="gramStart"/>
      <w:r w:rsidR="008B3D9E">
        <w:rPr>
          <w:rFonts w:ascii="Calibri" w:hAnsi="Calibri" w:cs="Calibri"/>
          <w:iCs/>
        </w:rPr>
        <w:t>to:</w:t>
      </w:r>
      <w:proofErr w:type="gramEnd"/>
      <w:r w:rsidR="008B3D9E">
        <w:rPr>
          <w:rFonts w:ascii="Calibri" w:hAnsi="Calibri" w:cs="Calibri"/>
          <w:iCs/>
        </w:rPr>
        <w:t xml:space="preserve">  1) the new projection, 2) if the requested rate increase is adjusted, and 3) policyholder behavior.</w:t>
      </w:r>
    </w:p>
    <w:p w14:paraId="3E0CDFEB" w14:textId="3E5E3CC2" w:rsidR="00083E72" w:rsidRDefault="00AF1CA3" w:rsidP="003E789E">
      <w:pPr>
        <w:tabs>
          <w:tab w:val="left" w:pos="540"/>
          <w:tab w:val="left" w:pos="1080"/>
          <w:tab w:val="left" w:pos="1620"/>
          <w:tab w:val="left" w:pos="2160"/>
          <w:tab w:val="left" w:pos="2700"/>
          <w:tab w:val="left" w:pos="3240"/>
          <w:tab w:val="left" w:pos="3780"/>
          <w:tab w:val="left" w:pos="4320"/>
        </w:tabs>
        <w:rPr>
          <w:rFonts w:ascii="Calibri" w:hAnsi="Calibri" w:cs="Calibri"/>
          <w:iCs/>
        </w:rPr>
      </w:pPr>
      <w:r>
        <w:rPr>
          <w:rFonts w:ascii="Calibri" w:hAnsi="Calibri" w:cs="Calibri"/>
          <w:iCs/>
        </w:rPr>
        <w:t xml:space="preserve">From the projected premiums and claims, new </w:t>
      </w:r>
      <w:r w:rsidR="007B7627">
        <w:rPr>
          <w:rFonts w:ascii="Calibri" w:hAnsi="Calibri" w:cs="Calibri"/>
          <w:iCs/>
        </w:rPr>
        <w:t>L/R’s</w:t>
      </w:r>
      <w:r>
        <w:rPr>
          <w:rFonts w:ascii="Calibri" w:hAnsi="Calibri" w:cs="Calibri"/>
          <w:iCs/>
        </w:rPr>
        <w:t xml:space="preserve"> may be calculated</w:t>
      </w:r>
      <w:r w:rsidR="008B3D9E">
        <w:rPr>
          <w:rFonts w:ascii="Calibri" w:hAnsi="Calibri" w:cs="Calibri"/>
          <w:iCs/>
        </w:rPr>
        <w:t xml:space="preserve"> f</w:t>
      </w:r>
      <w:r>
        <w:rPr>
          <w:rFonts w:ascii="Calibri" w:hAnsi="Calibri" w:cs="Calibri"/>
          <w:iCs/>
        </w:rPr>
        <w:t>or each class</w:t>
      </w:r>
      <w:r w:rsidR="007B7627">
        <w:rPr>
          <w:rFonts w:ascii="Calibri" w:hAnsi="Calibri" w:cs="Calibri"/>
          <w:iCs/>
        </w:rPr>
        <w:t xml:space="preserve"> and in total</w:t>
      </w:r>
      <w:r>
        <w:rPr>
          <w:rFonts w:ascii="Calibri" w:hAnsi="Calibri" w:cs="Calibri"/>
          <w:iCs/>
        </w:rPr>
        <w:t xml:space="preserve">.  </w:t>
      </w:r>
      <w:r w:rsidR="00F72A73">
        <w:rPr>
          <w:rFonts w:ascii="Calibri" w:hAnsi="Calibri" w:cs="Calibri"/>
          <w:iCs/>
        </w:rPr>
        <w:t>A new maximum L/R may be calculated</w:t>
      </w:r>
      <w:r w:rsidR="00083E72">
        <w:rPr>
          <w:rFonts w:ascii="Calibri" w:hAnsi="Calibri" w:cs="Calibri"/>
          <w:iCs/>
        </w:rPr>
        <w:t xml:space="preserve"> using</w:t>
      </w:r>
      <w:r w:rsidR="00F72A73">
        <w:rPr>
          <w:rFonts w:ascii="Calibri" w:hAnsi="Calibri" w:cs="Calibri"/>
          <w:iCs/>
        </w:rPr>
        <w:t>:</w:t>
      </w:r>
    </w:p>
    <w:p w14:paraId="702ADCC4" w14:textId="77777777" w:rsidR="00083E72" w:rsidRDefault="00AF1CA3" w:rsidP="003E789E">
      <w:pPr>
        <w:pStyle w:val="ListParagraph"/>
        <w:numPr>
          <w:ilvl w:val="0"/>
          <w:numId w:val="19"/>
        </w:numPr>
        <w:tabs>
          <w:tab w:val="left" w:pos="540"/>
          <w:tab w:val="left" w:pos="1080"/>
          <w:tab w:val="left" w:pos="1620"/>
          <w:tab w:val="left" w:pos="2160"/>
          <w:tab w:val="left" w:pos="2700"/>
          <w:tab w:val="left" w:pos="3240"/>
          <w:tab w:val="left" w:pos="3780"/>
          <w:tab w:val="left" w:pos="4320"/>
        </w:tabs>
        <w:ind w:left="1080" w:hanging="540"/>
        <w:rPr>
          <w:rFonts w:ascii="Calibri" w:hAnsi="Calibri" w:cs="Calibri"/>
          <w:iCs/>
        </w:rPr>
      </w:pPr>
      <w:r w:rsidRPr="00083E72">
        <w:rPr>
          <w:rFonts w:ascii="Calibri" w:hAnsi="Calibri" w:cs="Calibri"/>
          <w:iCs/>
        </w:rPr>
        <w:t>the original loss ratio and the anticipated premium from the original premium</w:t>
      </w:r>
    </w:p>
    <w:p w14:paraId="4DC19741" w14:textId="3E2F3AED" w:rsidR="00B62BEA" w:rsidRPr="00083E72" w:rsidRDefault="00AF1CA3" w:rsidP="003E789E">
      <w:pPr>
        <w:pStyle w:val="ListParagraph"/>
        <w:numPr>
          <w:ilvl w:val="0"/>
          <w:numId w:val="19"/>
        </w:numPr>
        <w:tabs>
          <w:tab w:val="left" w:pos="540"/>
          <w:tab w:val="left" w:pos="1080"/>
          <w:tab w:val="left" w:pos="1620"/>
          <w:tab w:val="left" w:pos="2160"/>
          <w:tab w:val="left" w:pos="2700"/>
          <w:tab w:val="left" w:pos="3240"/>
          <w:tab w:val="left" w:pos="3780"/>
          <w:tab w:val="left" w:pos="4320"/>
        </w:tabs>
        <w:ind w:left="1080" w:hanging="540"/>
        <w:rPr>
          <w:rFonts w:ascii="Calibri" w:hAnsi="Calibri" w:cs="Calibri"/>
          <w:iCs/>
        </w:rPr>
      </w:pPr>
      <w:r w:rsidRPr="00083E72">
        <w:rPr>
          <w:rFonts w:ascii="Calibri" w:hAnsi="Calibri" w:cs="Calibri"/>
          <w:iCs/>
        </w:rPr>
        <w:t>the projected rate</w:t>
      </w:r>
      <w:r w:rsidR="00083E72">
        <w:rPr>
          <w:rFonts w:ascii="Calibri" w:hAnsi="Calibri" w:cs="Calibri"/>
          <w:iCs/>
        </w:rPr>
        <w:t>-</w:t>
      </w:r>
      <w:r w:rsidRPr="00083E72">
        <w:rPr>
          <w:rFonts w:ascii="Calibri" w:hAnsi="Calibri" w:cs="Calibri"/>
          <w:iCs/>
        </w:rPr>
        <w:t>increase premium and it</w:t>
      </w:r>
      <w:r w:rsidR="008B3D9E" w:rsidRPr="00083E72">
        <w:rPr>
          <w:rFonts w:ascii="Calibri" w:hAnsi="Calibri" w:cs="Calibri"/>
          <w:iCs/>
        </w:rPr>
        <w:t>s</w:t>
      </w:r>
      <w:r w:rsidRPr="00083E72">
        <w:rPr>
          <w:rFonts w:ascii="Calibri" w:hAnsi="Calibri" w:cs="Calibri"/>
          <w:iCs/>
        </w:rPr>
        <w:t xml:space="preserve"> associated </w:t>
      </w:r>
      <w:r w:rsidR="00DF05E2">
        <w:rPr>
          <w:rFonts w:ascii="Calibri" w:hAnsi="Calibri" w:cs="Calibri"/>
          <w:iCs/>
        </w:rPr>
        <w:t>L/R (this L/R will not be less than 80% for pre-Rate Stability and 85% for post-Rate Stability).</w:t>
      </w:r>
    </w:p>
    <w:p w14:paraId="15A4DB36" w14:textId="77777777" w:rsidR="00046FB4" w:rsidRDefault="00046FB4" w:rsidP="008E77F7">
      <w:pPr>
        <w:tabs>
          <w:tab w:val="left" w:pos="540"/>
          <w:tab w:val="left" w:pos="1080"/>
          <w:tab w:val="left" w:pos="1170"/>
          <w:tab w:val="left" w:pos="1620"/>
          <w:tab w:val="left" w:pos="2160"/>
          <w:tab w:val="left" w:pos="2700"/>
          <w:tab w:val="left" w:pos="3240"/>
          <w:tab w:val="left" w:pos="3780"/>
          <w:tab w:val="left" w:pos="4320"/>
        </w:tabs>
        <w:rPr>
          <w:rFonts w:ascii="Calibri" w:hAnsi="Calibri" w:cs="Calibri"/>
          <w:b/>
          <w:bCs/>
          <w:iCs/>
        </w:rPr>
      </w:pPr>
    </w:p>
    <w:p w14:paraId="35EC8F36" w14:textId="0A5C653F" w:rsidR="00956511" w:rsidRPr="00046FB4" w:rsidRDefault="00956511" w:rsidP="003E789E">
      <w:pPr>
        <w:tabs>
          <w:tab w:val="left" w:pos="540"/>
          <w:tab w:val="left" w:pos="1080"/>
          <w:tab w:val="left" w:pos="1620"/>
          <w:tab w:val="left" w:pos="2160"/>
          <w:tab w:val="left" w:pos="2700"/>
          <w:tab w:val="left" w:pos="3240"/>
          <w:tab w:val="left" w:pos="3780"/>
          <w:tab w:val="left" w:pos="4320"/>
        </w:tabs>
        <w:rPr>
          <w:rFonts w:ascii="Calibri" w:hAnsi="Calibri" w:cs="Calibri"/>
          <w:b/>
          <w:bCs/>
          <w:iCs/>
        </w:rPr>
      </w:pPr>
      <w:r w:rsidRPr="00046FB4">
        <w:rPr>
          <w:rFonts w:ascii="Calibri" w:hAnsi="Calibri" w:cs="Calibri"/>
          <w:b/>
          <w:bCs/>
          <w:iCs/>
        </w:rPr>
        <w:t>Overview</w:t>
      </w:r>
    </w:p>
    <w:p w14:paraId="066AA04D" w14:textId="377881DA" w:rsidR="002D31D3" w:rsidRDefault="00630CDC" w:rsidP="003E789E">
      <w:pPr>
        <w:tabs>
          <w:tab w:val="left" w:pos="540"/>
          <w:tab w:val="left" w:pos="1080"/>
          <w:tab w:val="left" w:pos="1620"/>
          <w:tab w:val="left" w:pos="2160"/>
          <w:tab w:val="left" w:pos="2700"/>
          <w:tab w:val="left" w:pos="3240"/>
          <w:tab w:val="left" w:pos="3780"/>
          <w:tab w:val="left" w:pos="4320"/>
        </w:tabs>
        <w:rPr>
          <w:rFonts w:ascii="Calibri" w:hAnsi="Calibri" w:cs="Calibri"/>
          <w:iCs/>
        </w:rPr>
      </w:pPr>
      <w:r>
        <w:rPr>
          <w:rFonts w:ascii="Calibri" w:hAnsi="Calibri" w:cs="Calibri"/>
          <w:iCs/>
        </w:rPr>
        <w:t>For any rate increase</w:t>
      </w:r>
      <w:r w:rsidR="00E756E8">
        <w:rPr>
          <w:rFonts w:ascii="Calibri" w:hAnsi="Calibri" w:cs="Calibri"/>
          <w:iCs/>
        </w:rPr>
        <w:t>,</w:t>
      </w:r>
      <w:r>
        <w:rPr>
          <w:rFonts w:ascii="Calibri" w:hAnsi="Calibri" w:cs="Calibri"/>
          <w:iCs/>
        </w:rPr>
        <w:t xml:space="preserve"> there will probably be several classes.  For each class, there will be </w:t>
      </w:r>
      <w:r w:rsidR="00C125F1">
        <w:rPr>
          <w:rFonts w:ascii="Calibri" w:hAnsi="Calibri" w:cs="Calibri"/>
          <w:iCs/>
        </w:rPr>
        <w:t>separate premium streams for the initial premium and each rate increase</w:t>
      </w:r>
      <w:r>
        <w:rPr>
          <w:rFonts w:ascii="Calibri" w:hAnsi="Calibri" w:cs="Calibri"/>
          <w:iCs/>
        </w:rPr>
        <w:t>.  Each premium stream will have its own loss ratio requirement, so each premium stream must be kept separate.</w:t>
      </w:r>
      <w:r w:rsidR="00C125F1">
        <w:rPr>
          <w:rFonts w:ascii="Calibri" w:hAnsi="Calibri" w:cs="Calibri"/>
          <w:iCs/>
        </w:rPr>
        <w:t xml:space="preserve"> </w:t>
      </w:r>
      <w:r w:rsidR="00465C85">
        <w:rPr>
          <w:rFonts w:ascii="Calibri" w:hAnsi="Calibri" w:cs="Calibri"/>
          <w:iCs/>
        </w:rPr>
        <w:t xml:space="preserve"> </w:t>
      </w:r>
      <w:r w:rsidR="00124BEC">
        <w:rPr>
          <w:rFonts w:ascii="Calibri" w:hAnsi="Calibri" w:cs="Calibri"/>
          <w:iCs/>
        </w:rPr>
        <w:t xml:space="preserve">The loss ratio is determined by the filing (initial or rate increase). </w:t>
      </w:r>
      <w:r w:rsidR="00465C85">
        <w:rPr>
          <w:rFonts w:ascii="Calibri" w:hAnsi="Calibri" w:cs="Calibri"/>
          <w:iCs/>
        </w:rPr>
        <w:t xml:space="preserve"> </w:t>
      </w:r>
      <w:r w:rsidR="00124BEC">
        <w:rPr>
          <w:rFonts w:ascii="Calibri" w:hAnsi="Calibri" w:cs="Calibri"/>
          <w:iCs/>
        </w:rPr>
        <w:t>From rate</w:t>
      </w:r>
      <w:r w:rsidR="007B1A40">
        <w:rPr>
          <w:rFonts w:ascii="Calibri" w:hAnsi="Calibri" w:cs="Calibri"/>
          <w:iCs/>
        </w:rPr>
        <w:t>-increase</w:t>
      </w:r>
      <w:r w:rsidR="00124BEC">
        <w:rPr>
          <w:rFonts w:ascii="Calibri" w:hAnsi="Calibri" w:cs="Calibri"/>
          <w:iCs/>
        </w:rPr>
        <w:t xml:space="preserve"> filing to rate</w:t>
      </w:r>
      <w:r w:rsidR="007B1A40">
        <w:rPr>
          <w:rFonts w:ascii="Calibri" w:hAnsi="Calibri" w:cs="Calibri"/>
          <w:iCs/>
        </w:rPr>
        <w:t>-increase</w:t>
      </w:r>
      <w:r w:rsidR="00124BEC">
        <w:rPr>
          <w:rFonts w:ascii="Calibri" w:hAnsi="Calibri" w:cs="Calibri"/>
          <w:iCs/>
        </w:rPr>
        <w:t xml:space="preserve"> filing, the L/R cannot decrease.</w:t>
      </w:r>
      <w:r w:rsidR="00B62BEA">
        <w:rPr>
          <w:rFonts w:ascii="Calibri" w:hAnsi="Calibri" w:cs="Calibri"/>
          <w:iCs/>
        </w:rPr>
        <w:t xml:space="preserve">  To keep rate increases to a minimum, rate </w:t>
      </w:r>
      <w:r w:rsidR="00F730B1">
        <w:rPr>
          <w:rFonts w:ascii="Calibri" w:hAnsi="Calibri" w:cs="Calibri"/>
          <w:iCs/>
        </w:rPr>
        <w:t>increases should n</w:t>
      </w:r>
      <w:r w:rsidR="00B62BEA">
        <w:rPr>
          <w:rFonts w:ascii="Calibri" w:hAnsi="Calibri" w:cs="Calibri"/>
          <w:iCs/>
        </w:rPr>
        <w:t>ot be delayed – this is the company’s responsibility.</w:t>
      </w:r>
    </w:p>
    <w:p w14:paraId="2C98848C" w14:textId="1920E663" w:rsidR="002D31D3" w:rsidRDefault="002D31D3" w:rsidP="003E789E">
      <w:pPr>
        <w:tabs>
          <w:tab w:val="left" w:pos="540"/>
          <w:tab w:val="left" w:pos="1080"/>
          <w:tab w:val="left" w:pos="1620"/>
          <w:tab w:val="left" w:pos="2160"/>
          <w:tab w:val="left" w:pos="2700"/>
          <w:tab w:val="left" w:pos="3240"/>
          <w:tab w:val="left" w:pos="3780"/>
          <w:tab w:val="left" w:pos="4320"/>
        </w:tabs>
        <w:rPr>
          <w:rFonts w:ascii="Calibri" w:hAnsi="Calibri" w:cs="Calibri"/>
          <w:iCs/>
        </w:rPr>
      </w:pPr>
      <w:r>
        <w:rPr>
          <w:rFonts w:ascii="Calibri" w:hAnsi="Calibri" w:cs="Calibri"/>
          <w:iCs/>
        </w:rPr>
        <w:t xml:space="preserve">For all </w:t>
      </w:r>
      <w:r w:rsidR="00C125F1">
        <w:rPr>
          <w:rFonts w:ascii="Calibri" w:hAnsi="Calibri" w:cs="Calibri"/>
          <w:iCs/>
        </w:rPr>
        <w:t>premium stream</w:t>
      </w:r>
      <w:r>
        <w:rPr>
          <w:rFonts w:ascii="Calibri" w:hAnsi="Calibri" w:cs="Calibri"/>
          <w:iCs/>
        </w:rPr>
        <w:t>s:</w:t>
      </w:r>
      <w:r w:rsidR="00C125F1">
        <w:rPr>
          <w:rFonts w:ascii="Calibri" w:hAnsi="Calibri" w:cs="Calibri"/>
          <w:iCs/>
        </w:rPr>
        <w:t xml:space="preserve"> </w:t>
      </w:r>
      <w:r w:rsidR="00956511">
        <w:rPr>
          <w:rFonts w:ascii="Calibri" w:hAnsi="Calibri" w:cs="Calibri"/>
          <w:iCs/>
        </w:rPr>
        <w:t xml:space="preserve"> the proposed rate increase </w:t>
      </w:r>
      <w:r w:rsidR="00C125F1">
        <w:rPr>
          <w:rFonts w:ascii="Calibri" w:hAnsi="Calibri" w:cs="Calibri"/>
          <w:iCs/>
        </w:rPr>
        <w:t>will be affected by policyholder behavior.  Policyholder behavior will lead to additional lapses</w:t>
      </w:r>
      <w:r w:rsidR="00956511">
        <w:rPr>
          <w:rFonts w:ascii="Calibri" w:hAnsi="Calibri" w:cs="Calibri"/>
          <w:iCs/>
        </w:rPr>
        <w:t xml:space="preserve"> and reduced premiums</w:t>
      </w:r>
      <w:r>
        <w:rPr>
          <w:rFonts w:ascii="Calibri" w:hAnsi="Calibri" w:cs="Calibri"/>
          <w:iCs/>
        </w:rPr>
        <w:t xml:space="preserve"> and liabilities</w:t>
      </w:r>
      <w:r w:rsidR="00956511">
        <w:rPr>
          <w:rFonts w:ascii="Calibri" w:hAnsi="Calibri" w:cs="Calibri"/>
          <w:iCs/>
        </w:rPr>
        <w:t xml:space="preserve"> due to benefit reductions</w:t>
      </w:r>
      <w:r w:rsidR="00C125F1">
        <w:rPr>
          <w:rFonts w:ascii="Calibri" w:hAnsi="Calibri" w:cs="Calibri"/>
          <w:iCs/>
        </w:rPr>
        <w:t>.</w:t>
      </w:r>
    </w:p>
    <w:p w14:paraId="50C61B7B" w14:textId="0F8F714C" w:rsidR="00F730B1" w:rsidRDefault="00DD2656" w:rsidP="003E789E">
      <w:pPr>
        <w:tabs>
          <w:tab w:val="left" w:pos="540"/>
          <w:tab w:val="left" w:pos="1080"/>
          <w:tab w:val="left" w:pos="1620"/>
          <w:tab w:val="left" w:pos="2160"/>
          <w:tab w:val="left" w:pos="2700"/>
          <w:tab w:val="left" w:pos="3240"/>
          <w:tab w:val="left" w:pos="3780"/>
          <w:tab w:val="left" w:pos="4320"/>
        </w:tabs>
        <w:rPr>
          <w:rFonts w:ascii="Calibri" w:hAnsi="Calibri" w:cs="Calibri"/>
          <w:iCs/>
        </w:rPr>
      </w:pPr>
      <w:r>
        <w:rPr>
          <w:rFonts w:ascii="Calibri" w:hAnsi="Calibri" w:cs="Calibri"/>
          <w:iCs/>
        </w:rPr>
        <w:t xml:space="preserve">For each premium stream (initial, first rate increase, second rate increase, …) the </w:t>
      </w:r>
      <w:r w:rsidR="00083E72">
        <w:rPr>
          <w:rFonts w:ascii="Calibri" w:hAnsi="Calibri" w:cs="Calibri"/>
          <w:iCs/>
        </w:rPr>
        <w:t xml:space="preserve">accumulated </w:t>
      </w:r>
      <w:r>
        <w:rPr>
          <w:rFonts w:ascii="Calibri" w:hAnsi="Calibri" w:cs="Calibri"/>
          <w:iCs/>
        </w:rPr>
        <w:t xml:space="preserve">premium and </w:t>
      </w:r>
      <w:r w:rsidR="007B7627">
        <w:rPr>
          <w:rFonts w:ascii="Calibri" w:hAnsi="Calibri" w:cs="Calibri"/>
          <w:iCs/>
        </w:rPr>
        <w:t>L/R</w:t>
      </w:r>
      <w:r>
        <w:rPr>
          <w:rFonts w:ascii="Calibri" w:hAnsi="Calibri" w:cs="Calibri"/>
          <w:iCs/>
        </w:rPr>
        <w:t xml:space="preserve"> may be used to calculate the overall loss ratio.  </w:t>
      </w:r>
      <w:r w:rsidR="00083E72">
        <w:rPr>
          <w:rFonts w:ascii="Calibri" w:hAnsi="Calibri" w:cs="Calibri"/>
          <w:iCs/>
        </w:rPr>
        <w:t>For each class and the total: i</w:t>
      </w:r>
      <w:r>
        <w:rPr>
          <w:rFonts w:ascii="Calibri" w:hAnsi="Calibri" w:cs="Calibri"/>
          <w:iCs/>
        </w:rPr>
        <w:t xml:space="preserve">f, after the requested rate increase, the loss ratio is too low, the requested rate increase may need to be </w:t>
      </w:r>
      <w:r w:rsidR="002D31D3">
        <w:rPr>
          <w:rFonts w:ascii="Calibri" w:hAnsi="Calibri" w:cs="Calibri"/>
          <w:iCs/>
        </w:rPr>
        <w:t>adjusted downward</w:t>
      </w:r>
      <w:r>
        <w:rPr>
          <w:rFonts w:ascii="Calibri" w:hAnsi="Calibri" w:cs="Calibri"/>
          <w:iCs/>
        </w:rPr>
        <w:t>.</w:t>
      </w:r>
    </w:p>
    <w:p w14:paraId="12A2A9DB" w14:textId="1A64F314" w:rsidR="00E315CF" w:rsidRDefault="00E315CF" w:rsidP="003E789E">
      <w:pPr>
        <w:tabs>
          <w:tab w:val="left" w:pos="540"/>
          <w:tab w:val="left" w:pos="1080"/>
          <w:tab w:val="left" w:pos="1620"/>
          <w:tab w:val="left" w:pos="2160"/>
          <w:tab w:val="left" w:pos="2700"/>
          <w:tab w:val="left" w:pos="3240"/>
          <w:tab w:val="left" w:pos="3780"/>
          <w:tab w:val="left" w:pos="4320"/>
        </w:tabs>
        <w:rPr>
          <w:rFonts w:ascii="Calibri" w:hAnsi="Calibri" w:cs="Calibri"/>
          <w:b/>
          <w:bCs/>
        </w:rPr>
      </w:pPr>
      <w:r w:rsidRPr="00E315CF">
        <w:rPr>
          <w:rFonts w:ascii="Calibri" w:hAnsi="Calibri" w:cs="Calibri"/>
          <w:b/>
          <w:bCs/>
        </w:rPr>
        <w:t>L</w:t>
      </w:r>
      <w:r>
        <w:rPr>
          <w:rFonts w:ascii="Calibri" w:hAnsi="Calibri" w:cs="Calibri"/>
          <w:b/>
          <w:bCs/>
        </w:rPr>
        <w:t>/</w:t>
      </w:r>
      <w:r w:rsidRPr="00E315CF">
        <w:rPr>
          <w:rFonts w:ascii="Calibri" w:hAnsi="Calibri" w:cs="Calibri"/>
          <w:b/>
          <w:bCs/>
        </w:rPr>
        <w:t>R Calculations</w:t>
      </w:r>
      <w:r>
        <w:rPr>
          <w:rFonts w:ascii="Calibri" w:hAnsi="Calibri" w:cs="Calibri"/>
          <w:b/>
          <w:bCs/>
        </w:rPr>
        <w:t xml:space="preserve"> for the Rate Increase</w:t>
      </w:r>
    </w:p>
    <w:p w14:paraId="3978ABFB" w14:textId="4249B86A" w:rsidR="00B2119C" w:rsidRDefault="00B2119C" w:rsidP="003E789E">
      <w:pPr>
        <w:tabs>
          <w:tab w:val="left" w:pos="540"/>
          <w:tab w:val="left" w:pos="1080"/>
          <w:tab w:val="left" w:pos="1620"/>
          <w:tab w:val="left" w:pos="2160"/>
          <w:tab w:val="left" w:pos="2700"/>
          <w:tab w:val="left" w:pos="3240"/>
          <w:tab w:val="left" w:pos="3780"/>
          <w:tab w:val="left" w:pos="4320"/>
        </w:tabs>
        <w:rPr>
          <w:rFonts w:ascii="Calibri" w:hAnsi="Calibri" w:cs="Calibri"/>
        </w:rPr>
      </w:pPr>
      <w:r>
        <w:rPr>
          <w:rFonts w:ascii="Calibri" w:hAnsi="Calibri" w:cs="Calibri"/>
        </w:rPr>
        <w:t>Within each material class, there will be premium streams associated with the initial premium and eac</w:t>
      </w:r>
      <w:r w:rsidR="00C613A0">
        <w:rPr>
          <w:rFonts w:ascii="Calibri" w:hAnsi="Calibri" w:cs="Calibri"/>
        </w:rPr>
        <w:t>h</w:t>
      </w:r>
      <w:r>
        <w:rPr>
          <w:rFonts w:ascii="Calibri" w:hAnsi="Calibri" w:cs="Calibri"/>
        </w:rPr>
        <w:t xml:space="preserve"> rate increase. </w:t>
      </w:r>
      <w:r w:rsidR="005F3EFA">
        <w:rPr>
          <w:rFonts w:ascii="Calibri" w:hAnsi="Calibri" w:cs="Calibri"/>
        </w:rPr>
        <w:t xml:space="preserve"> </w:t>
      </w:r>
      <w:r>
        <w:rPr>
          <w:rFonts w:ascii="Calibri" w:hAnsi="Calibri" w:cs="Calibri"/>
        </w:rPr>
        <w:t>For each prior rate increase there is a historic</w:t>
      </w:r>
      <w:r w:rsidR="00E315CF" w:rsidRPr="00E315CF">
        <w:rPr>
          <w:rFonts w:ascii="Calibri" w:hAnsi="Calibri" w:cs="Calibri"/>
        </w:rPr>
        <w:t xml:space="preserve"> L/R </w:t>
      </w:r>
      <w:r>
        <w:rPr>
          <w:rFonts w:ascii="Calibri" w:hAnsi="Calibri" w:cs="Calibri"/>
        </w:rPr>
        <w:t xml:space="preserve">and a new L/R associated with the current rate increase.  Applying these L/Rs to each associated premium stream provides the </w:t>
      </w:r>
      <w:r w:rsidR="00142919">
        <w:rPr>
          <w:rFonts w:ascii="Calibri" w:hAnsi="Calibri" w:cs="Calibri"/>
        </w:rPr>
        <w:t xml:space="preserve">minimum </w:t>
      </w:r>
      <w:r>
        <w:rPr>
          <w:rFonts w:ascii="Calibri" w:hAnsi="Calibri" w:cs="Calibri"/>
        </w:rPr>
        <w:t xml:space="preserve">loss ratio </w:t>
      </w:r>
      <w:r w:rsidR="00142919">
        <w:rPr>
          <w:rFonts w:ascii="Calibri" w:hAnsi="Calibri" w:cs="Calibri"/>
        </w:rPr>
        <w:t>fo</w:t>
      </w:r>
      <w:r>
        <w:rPr>
          <w:rFonts w:ascii="Calibri" w:hAnsi="Calibri" w:cs="Calibri"/>
        </w:rPr>
        <w:t>r the class.</w:t>
      </w:r>
      <w:r w:rsidR="00142919">
        <w:rPr>
          <w:rFonts w:ascii="Calibri" w:hAnsi="Calibri" w:cs="Calibri"/>
        </w:rPr>
        <w:t xml:space="preserve"> </w:t>
      </w:r>
      <w:r w:rsidR="009C4A57">
        <w:rPr>
          <w:rFonts w:ascii="Calibri" w:hAnsi="Calibri" w:cs="Calibri"/>
        </w:rPr>
        <w:t xml:space="preserve"> </w:t>
      </w:r>
      <w:r w:rsidR="00142919">
        <w:rPr>
          <w:rFonts w:ascii="Calibri" w:hAnsi="Calibri" w:cs="Calibri"/>
        </w:rPr>
        <w:t>The rate increase may be adjusted downward if the L/R after the proposed rate increase is too low.</w:t>
      </w:r>
    </w:p>
    <w:p w14:paraId="1F0CCABE" w14:textId="093E7598" w:rsidR="00B2119C" w:rsidRPr="00B2119C" w:rsidRDefault="00B2119C" w:rsidP="003E789E">
      <w:pPr>
        <w:tabs>
          <w:tab w:val="left" w:pos="540"/>
          <w:tab w:val="left" w:pos="1080"/>
          <w:tab w:val="left" w:pos="1620"/>
          <w:tab w:val="left" w:pos="2160"/>
          <w:tab w:val="left" w:pos="2700"/>
          <w:tab w:val="left" w:pos="3240"/>
          <w:tab w:val="left" w:pos="3780"/>
          <w:tab w:val="left" w:pos="4320"/>
        </w:tabs>
        <w:rPr>
          <w:rFonts w:ascii="Calibri" w:hAnsi="Calibri" w:cs="Calibri"/>
          <w:b/>
          <w:bCs/>
        </w:rPr>
      </w:pPr>
      <w:r w:rsidRPr="00B2119C">
        <w:rPr>
          <w:rFonts w:ascii="Calibri" w:hAnsi="Calibri" w:cs="Calibri"/>
          <w:b/>
          <w:bCs/>
        </w:rPr>
        <w:t>Calculation</w:t>
      </w:r>
      <w:r w:rsidR="00142919">
        <w:rPr>
          <w:rFonts w:ascii="Calibri" w:hAnsi="Calibri" w:cs="Calibri"/>
          <w:b/>
          <w:bCs/>
        </w:rPr>
        <w:t>s</w:t>
      </w:r>
      <w:r w:rsidRPr="00B2119C">
        <w:rPr>
          <w:rFonts w:ascii="Calibri" w:hAnsi="Calibri" w:cs="Calibri"/>
          <w:b/>
          <w:bCs/>
        </w:rPr>
        <w:t xml:space="preserve"> for Surplus</w:t>
      </w:r>
    </w:p>
    <w:p w14:paraId="122F9BAD" w14:textId="77777777" w:rsidR="00173B3C" w:rsidRDefault="00173B3C" w:rsidP="003E789E">
      <w:pPr>
        <w:tabs>
          <w:tab w:val="left" w:pos="540"/>
          <w:tab w:val="left" w:pos="1080"/>
          <w:tab w:val="left" w:pos="1620"/>
          <w:tab w:val="left" w:pos="2160"/>
          <w:tab w:val="left" w:pos="2700"/>
          <w:tab w:val="left" w:pos="3240"/>
          <w:tab w:val="left" w:pos="3780"/>
          <w:tab w:val="left" w:pos="4320"/>
        </w:tabs>
        <w:rPr>
          <w:rFonts w:ascii="Calibri" w:hAnsi="Calibri" w:cs="Calibri"/>
          <w:iCs/>
        </w:rPr>
      </w:pPr>
      <w:r>
        <w:rPr>
          <w:rFonts w:ascii="Calibri" w:hAnsi="Calibri" w:cs="Calibri"/>
          <w:iCs/>
        </w:rPr>
        <w:t>For each class, the “surplus” (ALR + PVF Premium – PVF Claims – PVF Expenses) (</w:t>
      </w:r>
      <w:r w:rsidRPr="00F730B1">
        <w:rPr>
          <w:rFonts w:ascii="Calibri" w:hAnsi="Calibri" w:cs="Calibri"/>
          <w:b/>
          <w:bCs/>
          <w:iCs/>
        </w:rPr>
        <w:t>PVF</w:t>
      </w:r>
      <w:r>
        <w:rPr>
          <w:rFonts w:ascii="Calibri" w:hAnsi="Calibri" w:cs="Calibri"/>
          <w:iCs/>
        </w:rPr>
        <w:t xml:space="preserve"> = Present Value of Future) may be calculated, </w:t>
      </w:r>
      <w:r w:rsidRPr="00B62BEA">
        <w:rPr>
          <w:rFonts w:ascii="Calibri" w:hAnsi="Calibri" w:cs="Calibri"/>
          <w:iCs/>
        </w:rPr>
        <w:t>and summed for all classes</w:t>
      </w:r>
      <w:r>
        <w:rPr>
          <w:rFonts w:ascii="Calibri" w:hAnsi="Calibri" w:cs="Calibri"/>
          <w:iCs/>
        </w:rPr>
        <w:t>.  Overall surplus for the product may be analyzed to determine if the rate increase needs further adjustment.</w:t>
      </w:r>
    </w:p>
    <w:p w14:paraId="50897792" w14:textId="1BAAA8C7" w:rsidR="00B2119C" w:rsidRDefault="00FA12F2" w:rsidP="003E789E">
      <w:pPr>
        <w:tabs>
          <w:tab w:val="left" w:pos="540"/>
          <w:tab w:val="left" w:pos="1080"/>
          <w:tab w:val="left" w:pos="1620"/>
          <w:tab w:val="left" w:pos="2160"/>
          <w:tab w:val="left" w:pos="2700"/>
          <w:tab w:val="left" w:pos="3240"/>
          <w:tab w:val="left" w:pos="3780"/>
          <w:tab w:val="left" w:pos="4320"/>
        </w:tabs>
        <w:rPr>
          <w:rFonts w:ascii="Calibri" w:hAnsi="Calibri" w:cs="Calibri"/>
        </w:rPr>
      </w:pPr>
      <w:r>
        <w:rPr>
          <w:rFonts w:ascii="Calibri" w:hAnsi="Calibri" w:cs="Calibri"/>
        </w:rPr>
        <w:t xml:space="preserve">Each premium stream will be divided by historical and projected. </w:t>
      </w:r>
      <w:r w:rsidR="009C4A57">
        <w:rPr>
          <w:rFonts w:ascii="Calibri" w:hAnsi="Calibri" w:cs="Calibri"/>
        </w:rPr>
        <w:t xml:space="preserve"> </w:t>
      </w:r>
      <w:r>
        <w:rPr>
          <w:rFonts w:ascii="Calibri" w:hAnsi="Calibri" w:cs="Calibri"/>
        </w:rPr>
        <w:t>T</w:t>
      </w:r>
      <w:r w:rsidR="00E315CF">
        <w:rPr>
          <w:rFonts w:ascii="Calibri" w:hAnsi="Calibri" w:cs="Calibri"/>
        </w:rPr>
        <w:t>he projected premiums</w:t>
      </w:r>
      <w:r>
        <w:rPr>
          <w:rFonts w:ascii="Calibri" w:hAnsi="Calibri" w:cs="Calibri"/>
        </w:rPr>
        <w:t xml:space="preserve"> </w:t>
      </w:r>
      <w:r w:rsidR="00E315CF">
        <w:rPr>
          <w:rFonts w:ascii="Calibri" w:hAnsi="Calibri" w:cs="Calibri"/>
        </w:rPr>
        <w:t xml:space="preserve">will be impacted by the proposed rate increase with </w:t>
      </w:r>
      <w:r>
        <w:rPr>
          <w:rFonts w:ascii="Calibri" w:hAnsi="Calibri" w:cs="Calibri"/>
        </w:rPr>
        <w:t xml:space="preserve">expected </w:t>
      </w:r>
      <w:r w:rsidR="00E315CF">
        <w:rPr>
          <w:rFonts w:ascii="Calibri" w:hAnsi="Calibri" w:cs="Calibri"/>
        </w:rPr>
        <w:t xml:space="preserve">shock lapses and </w:t>
      </w:r>
      <w:r>
        <w:rPr>
          <w:rFonts w:ascii="Calibri" w:hAnsi="Calibri" w:cs="Calibri"/>
        </w:rPr>
        <w:t xml:space="preserve">expected </w:t>
      </w:r>
      <w:r w:rsidR="00E315CF">
        <w:rPr>
          <w:rFonts w:ascii="Calibri" w:hAnsi="Calibri" w:cs="Calibri"/>
        </w:rPr>
        <w:t>benefit reductions</w:t>
      </w:r>
      <w:r>
        <w:rPr>
          <w:rFonts w:ascii="Calibri" w:hAnsi="Calibri" w:cs="Calibri"/>
        </w:rPr>
        <w:t>.</w:t>
      </w:r>
      <w:r w:rsidR="00C613A0">
        <w:rPr>
          <w:rFonts w:ascii="Calibri" w:hAnsi="Calibri" w:cs="Calibri"/>
        </w:rPr>
        <w:t xml:space="preserve"> </w:t>
      </w:r>
      <w:r w:rsidR="009C4A57">
        <w:rPr>
          <w:rFonts w:ascii="Calibri" w:hAnsi="Calibri" w:cs="Calibri"/>
        </w:rPr>
        <w:t xml:space="preserve"> </w:t>
      </w:r>
      <w:r w:rsidR="00B2119C">
        <w:rPr>
          <w:rFonts w:ascii="Calibri" w:hAnsi="Calibri" w:cs="Calibri"/>
        </w:rPr>
        <w:t>ALR should be calculated before the rate increase</w:t>
      </w:r>
      <w:r w:rsidR="00367E72">
        <w:rPr>
          <w:rFonts w:ascii="Calibri" w:hAnsi="Calibri" w:cs="Calibri"/>
        </w:rPr>
        <w:t xml:space="preserve">, </w:t>
      </w:r>
      <w:r w:rsidR="00B2119C">
        <w:rPr>
          <w:rFonts w:ascii="Calibri" w:hAnsi="Calibri" w:cs="Calibri"/>
        </w:rPr>
        <w:t>after the rate increase</w:t>
      </w:r>
      <w:r w:rsidR="00367E72">
        <w:rPr>
          <w:rFonts w:ascii="Calibri" w:hAnsi="Calibri" w:cs="Calibri"/>
        </w:rPr>
        <w:t>, and after the adjusted rate increase</w:t>
      </w:r>
      <w:r w:rsidR="00DF05E2">
        <w:rPr>
          <w:rFonts w:ascii="Calibri" w:hAnsi="Calibri" w:cs="Calibri"/>
        </w:rPr>
        <w:t xml:space="preserve"> (Note: the ALR before and after the rate increase are usually the same as companies do not usually change the ALR factors due to the rate increase – the ALR is usually change</w:t>
      </w:r>
      <w:r w:rsidR="004A7B78">
        <w:rPr>
          <w:rFonts w:ascii="Calibri" w:hAnsi="Calibri" w:cs="Calibri"/>
        </w:rPr>
        <w:t>d</w:t>
      </w:r>
      <w:r w:rsidR="00DF05E2">
        <w:rPr>
          <w:rFonts w:ascii="Calibri" w:hAnsi="Calibri" w:cs="Calibri"/>
        </w:rPr>
        <w:t xml:space="preserve"> only due to policyholder beha</w:t>
      </w:r>
      <w:r w:rsidR="004A7B78">
        <w:rPr>
          <w:rFonts w:ascii="Calibri" w:hAnsi="Calibri" w:cs="Calibri"/>
        </w:rPr>
        <w:t>v</w:t>
      </w:r>
      <w:r w:rsidR="00DF05E2">
        <w:rPr>
          <w:rFonts w:ascii="Calibri" w:hAnsi="Calibri" w:cs="Calibri"/>
        </w:rPr>
        <w:t>ior</w:t>
      </w:r>
      <w:r w:rsidR="004A7B78">
        <w:rPr>
          <w:rFonts w:ascii="Calibri" w:hAnsi="Calibri" w:cs="Calibri"/>
        </w:rPr>
        <w:t>, and policyholder behavior changes only</w:t>
      </w:r>
      <w:r w:rsidR="00D355A5">
        <w:rPr>
          <w:rFonts w:ascii="Calibri" w:hAnsi="Calibri" w:cs="Calibri"/>
        </w:rPr>
        <w:t xml:space="preserve">: 1) </w:t>
      </w:r>
      <w:r w:rsidR="004A7B78">
        <w:rPr>
          <w:rFonts w:ascii="Calibri" w:hAnsi="Calibri" w:cs="Calibri"/>
        </w:rPr>
        <w:t>due to the rate increase</w:t>
      </w:r>
      <w:r w:rsidR="00D355A5">
        <w:rPr>
          <w:rFonts w:ascii="Calibri" w:hAnsi="Calibri" w:cs="Calibri"/>
        </w:rPr>
        <w:t xml:space="preserve"> and 2) any adjustment that is made to the rate increase</w:t>
      </w:r>
      <w:r w:rsidR="004A7B78">
        <w:rPr>
          <w:rFonts w:ascii="Calibri" w:hAnsi="Calibri" w:cs="Calibri"/>
        </w:rPr>
        <w:t>)</w:t>
      </w:r>
      <w:r w:rsidR="00B2119C">
        <w:rPr>
          <w:rFonts w:ascii="Calibri" w:hAnsi="Calibri" w:cs="Calibri"/>
        </w:rPr>
        <w:t>.  These will be used to calculate the surplus for each class</w:t>
      </w:r>
      <w:r w:rsidR="00C613A0">
        <w:rPr>
          <w:rFonts w:ascii="Calibri" w:hAnsi="Calibri" w:cs="Calibri"/>
        </w:rPr>
        <w:t>, and in total for the filing</w:t>
      </w:r>
      <w:r w:rsidR="00B2119C">
        <w:rPr>
          <w:rFonts w:ascii="Calibri" w:hAnsi="Calibri" w:cs="Calibri"/>
        </w:rPr>
        <w:t>.</w:t>
      </w:r>
    </w:p>
    <w:p w14:paraId="622B9115" w14:textId="77777777" w:rsidR="005D29F9" w:rsidRDefault="005D29F9">
      <w:pPr>
        <w:rPr>
          <w:rFonts w:ascii="Calibri" w:hAnsi="Calibri" w:cs="Calibri"/>
          <w:b/>
          <w:bCs/>
        </w:rPr>
      </w:pPr>
      <w:r>
        <w:rPr>
          <w:rFonts w:ascii="Calibri" w:hAnsi="Calibri" w:cs="Calibri"/>
          <w:b/>
          <w:bCs/>
        </w:rPr>
        <w:br w:type="page"/>
      </w:r>
    </w:p>
    <w:p w14:paraId="20F87023" w14:textId="61F3D47C" w:rsidR="00C613A0" w:rsidRPr="00C613A0" w:rsidRDefault="00C613A0" w:rsidP="003E789E">
      <w:pPr>
        <w:tabs>
          <w:tab w:val="left" w:pos="540"/>
          <w:tab w:val="left" w:pos="1080"/>
          <w:tab w:val="left" w:pos="1620"/>
          <w:tab w:val="left" w:pos="2160"/>
          <w:tab w:val="left" w:pos="2700"/>
          <w:tab w:val="left" w:pos="3240"/>
          <w:tab w:val="left" w:pos="3780"/>
          <w:tab w:val="left" w:pos="4320"/>
        </w:tabs>
        <w:rPr>
          <w:rFonts w:ascii="Calibri" w:hAnsi="Calibri" w:cs="Calibri"/>
          <w:b/>
          <w:bCs/>
        </w:rPr>
      </w:pPr>
      <w:r w:rsidRPr="00C613A0">
        <w:rPr>
          <w:rFonts w:ascii="Calibri" w:hAnsi="Calibri" w:cs="Calibri"/>
          <w:b/>
          <w:bCs/>
        </w:rPr>
        <w:lastRenderedPageBreak/>
        <w:t>ALR</w:t>
      </w:r>
    </w:p>
    <w:p w14:paraId="20955873" w14:textId="3D28E840" w:rsidR="00C613A0" w:rsidRDefault="00AE5BBE" w:rsidP="003E789E">
      <w:pPr>
        <w:tabs>
          <w:tab w:val="left" w:pos="540"/>
          <w:tab w:val="left" w:pos="1080"/>
          <w:tab w:val="left" w:pos="1620"/>
          <w:tab w:val="left" w:pos="2160"/>
          <w:tab w:val="left" w:pos="2700"/>
          <w:tab w:val="left" w:pos="3240"/>
          <w:tab w:val="left" w:pos="3780"/>
          <w:tab w:val="left" w:pos="4320"/>
        </w:tabs>
        <w:rPr>
          <w:rFonts w:ascii="Calibri" w:hAnsi="Calibri" w:cs="Calibri"/>
        </w:rPr>
      </w:pPr>
      <w:r>
        <w:rPr>
          <w:rFonts w:ascii="Calibri" w:hAnsi="Calibri" w:cs="Calibri"/>
        </w:rPr>
        <w:t xml:space="preserve">New assumptions affect the premium and should also impact the ALR. </w:t>
      </w:r>
      <w:r w:rsidR="009C4A57">
        <w:rPr>
          <w:rFonts w:ascii="Calibri" w:hAnsi="Calibri" w:cs="Calibri"/>
        </w:rPr>
        <w:t xml:space="preserve"> </w:t>
      </w:r>
      <w:r>
        <w:rPr>
          <w:rFonts w:ascii="Calibri" w:hAnsi="Calibri" w:cs="Calibri"/>
        </w:rPr>
        <w:t xml:space="preserve">However, most companies do not change the ALR factors due to a rate increase.  The thought is that the new premiums and the current ALR should be sufficient for the block of business.  However, in many cases, the present value of the premium and the ALR is not sufficient for the block of business.  This should be analyzed to determine if the rate increase needs to be larger </w:t>
      </w:r>
      <w:r w:rsidR="00AD714D">
        <w:rPr>
          <w:rFonts w:ascii="Calibri" w:hAnsi="Calibri" w:cs="Calibri"/>
        </w:rPr>
        <w:t>(perhaps as large as the requested rate increase, but n</w:t>
      </w:r>
      <w:r w:rsidR="005B0A42">
        <w:rPr>
          <w:rFonts w:ascii="Calibri" w:hAnsi="Calibri" w:cs="Calibri"/>
        </w:rPr>
        <w:t>o</w:t>
      </w:r>
      <w:r w:rsidR="00AD714D">
        <w:rPr>
          <w:rFonts w:ascii="Calibri" w:hAnsi="Calibri" w:cs="Calibri"/>
        </w:rPr>
        <w:t xml:space="preserve">t larger than the requested rate increase) </w:t>
      </w:r>
      <w:r>
        <w:rPr>
          <w:rFonts w:ascii="Calibri" w:hAnsi="Calibri" w:cs="Calibri"/>
        </w:rPr>
        <w:t>to make the block sufficient.</w:t>
      </w:r>
    </w:p>
    <w:p w14:paraId="76567979" w14:textId="77777777" w:rsidR="00B719B4" w:rsidRPr="00877241" w:rsidRDefault="00B719B4" w:rsidP="003E789E">
      <w:pPr>
        <w:tabs>
          <w:tab w:val="left" w:pos="540"/>
          <w:tab w:val="left" w:pos="1080"/>
          <w:tab w:val="left" w:pos="1620"/>
          <w:tab w:val="left" w:pos="2160"/>
          <w:tab w:val="left" w:pos="2700"/>
          <w:tab w:val="left" w:pos="3240"/>
          <w:tab w:val="left" w:pos="3780"/>
          <w:tab w:val="left" w:pos="4320"/>
        </w:tabs>
        <w:rPr>
          <w:rFonts w:ascii="Calibri" w:hAnsi="Calibri" w:cs="Calibri"/>
          <w:b/>
          <w:bCs/>
        </w:rPr>
      </w:pPr>
      <w:r w:rsidRPr="00877241">
        <w:rPr>
          <w:rFonts w:ascii="Calibri" w:hAnsi="Calibri" w:cs="Calibri"/>
          <w:b/>
          <w:bCs/>
        </w:rPr>
        <w:t>L/R’s Cannot Decrease</w:t>
      </w:r>
    </w:p>
    <w:p w14:paraId="098465FA" w14:textId="54B5BEEB" w:rsidR="00B719B4" w:rsidRDefault="004562AB" w:rsidP="003E789E">
      <w:pPr>
        <w:tabs>
          <w:tab w:val="left" w:pos="540"/>
          <w:tab w:val="left" w:pos="1080"/>
          <w:tab w:val="left" w:pos="1620"/>
          <w:tab w:val="left" w:pos="2160"/>
          <w:tab w:val="left" w:pos="2700"/>
          <w:tab w:val="left" w:pos="3240"/>
          <w:tab w:val="left" w:pos="3780"/>
          <w:tab w:val="left" w:pos="4320"/>
        </w:tabs>
        <w:rPr>
          <w:rFonts w:ascii="Calibri" w:hAnsi="Calibri" w:cs="Calibri"/>
        </w:rPr>
      </w:pPr>
      <w:r>
        <w:rPr>
          <w:rFonts w:ascii="Calibri" w:hAnsi="Calibri" w:cs="Calibri"/>
        </w:rPr>
        <w:t xml:space="preserve">A decreasing </w:t>
      </w:r>
      <w:r w:rsidR="000B6114">
        <w:rPr>
          <w:rFonts w:ascii="Calibri" w:hAnsi="Calibri" w:cs="Calibri"/>
        </w:rPr>
        <w:t>L</w:t>
      </w:r>
      <w:r>
        <w:rPr>
          <w:rFonts w:ascii="Calibri" w:hAnsi="Calibri" w:cs="Calibri"/>
        </w:rPr>
        <w:t>/R</w:t>
      </w:r>
      <w:r w:rsidR="00B719B4">
        <w:rPr>
          <w:rFonts w:ascii="Calibri" w:hAnsi="Calibri" w:cs="Calibri"/>
        </w:rPr>
        <w:t xml:space="preserve"> is somewhat related to Bait and Switch.  What would be easier than to sell a product with a hi</w:t>
      </w:r>
      <w:r w:rsidR="000B6114">
        <w:rPr>
          <w:rFonts w:ascii="Calibri" w:hAnsi="Calibri" w:cs="Calibri"/>
        </w:rPr>
        <w:t>gh L/R</w:t>
      </w:r>
      <w:r w:rsidR="00B719B4">
        <w:rPr>
          <w:rFonts w:ascii="Calibri" w:hAnsi="Calibri" w:cs="Calibri"/>
        </w:rPr>
        <w:t xml:space="preserve"> and then rate increase </w:t>
      </w:r>
      <w:r w:rsidR="000B6114">
        <w:rPr>
          <w:rFonts w:ascii="Calibri" w:hAnsi="Calibri" w:cs="Calibri"/>
        </w:rPr>
        <w:t xml:space="preserve">the </w:t>
      </w:r>
      <w:r w:rsidR="00B719B4">
        <w:rPr>
          <w:rFonts w:ascii="Calibri" w:hAnsi="Calibri" w:cs="Calibri"/>
        </w:rPr>
        <w:t>policies to a low L/R as policyholders attain age 80  -- forcing policyholders to lapse just before the average age of claim.</w:t>
      </w:r>
    </w:p>
    <w:p w14:paraId="65825F6C" w14:textId="41118831" w:rsidR="00B719B4" w:rsidRPr="00407865" w:rsidRDefault="00B719B4" w:rsidP="003E789E">
      <w:pPr>
        <w:tabs>
          <w:tab w:val="left" w:pos="540"/>
          <w:tab w:val="left" w:pos="1080"/>
          <w:tab w:val="left" w:pos="1620"/>
          <w:tab w:val="left" w:pos="2160"/>
          <w:tab w:val="left" w:pos="2700"/>
          <w:tab w:val="left" w:pos="3240"/>
          <w:tab w:val="left" w:pos="3780"/>
          <w:tab w:val="left" w:pos="4320"/>
        </w:tabs>
        <w:rPr>
          <w:rFonts w:ascii="Calibri" w:hAnsi="Calibri" w:cs="Calibri"/>
        </w:rPr>
      </w:pPr>
      <w:r>
        <w:rPr>
          <w:rFonts w:ascii="Calibri" w:hAnsi="Calibri" w:cs="Calibri"/>
        </w:rPr>
        <w:t xml:space="preserve">Similarly, some companies may have a high expected L/R and give a “partial” rate increase to lower the L/R and then give another rate increase to </w:t>
      </w:r>
      <w:r w:rsidR="007D6678">
        <w:rPr>
          <w:rFonts w:ascii="Calibri" w:hAnsi="Calibri" w:cs="Calibri"/>
        </w:rPr>
        <w:t xml:space="preserve">further </w:t>
      </w:r>
      <w:r>
        <w:rPr>
          <w:rFonts w:ascii="Calibri" w:hAnsi="Calibri" w:cs="Calibri"/>
        </w:rPr>
        <w:t xml:space="preserve">lower the L/R.  This process is unfair to the policyholder as the final rate is higher than if </w:t>
      </w:r>
      <w:r w:rsidR="007D6678">
        <w:rPr>
          <w:rFonts w:ascii="Calibri" w:hAnsi="Calibri" w:cs="Calibri"/>
        </w:rPr>
        <w:t xml:space="preserve">the first rate increase </w:t>
      </w:r>
      <w:r w:rsidR="008E77F7">
        <w:rPr>
          <w:rFonts w:ascii="Calibri" w:hAnsi="Calibri" w:cs="Calibri"/>
        </w:rPr>
        <w:t>had</w:t>
      </w:r>
      <w:r w:rsidR="007D6678">
        <w:rPr>
          <w:rFonts w:ascii="Calibri" w:hAnsi="Calibri" w:cs="Calibri"/>
        </w:rPr>
        <w:t xml:space="preserve"> been given</w:t>
      </w:r>
      <w:r>
        <w:rPr>
          <w:rFonts w:ascii="Calibri" w:hAnsi="Calibri" w:cs="Calibri"/>
        </w:rPr>
        <w:t>.</w:t>
      </w:r>
      <w:r w:rsidR="00E44F22">
        <w:rPr>
          <w:rFonts w:ascii="Calibri" w:hAnsi="Calibri" w:cs="Calibri"/>
        </w:rPr>
        <w:t xml:space="preserve">  If a policyholder must lapse due to inability to afford, they should have early knowledge so that they can lapse sooner rather than later.</w:t>
      </w:r>
    </w:p>
    <w:p w14:paraId="309CDC47" w14:textId="2B8F598F" w:rsidR="00AE5BBE" w:rsidRPr="00046FB4" w:rsidRDefault="00046FB4" w:rsidP="003E789E">
      <w:pPr>
        <w:tabs>
          <w:tab w:val="left" w:pos="540"/>
          <w:tab w:val="left" w:pos="1080"/>
          <w:tab w:val="left" w:pos="1620"/>
          <w:tab w:val="left" w:pos="2160"/>
          <w:tab w:val="left" w:pos="2700"/>
          <w:tab w:val="left" w:pos="3240"/>
          <w:tab w:val="left" w:pos="3780"/>
          <w:tab w:val="left" w:pos="4320"/>
        </w:tabs>
        <w:rPr>
          <w:rFonts w:ascii="Calibri" w:hAnsi="Calibri" w:cs="Calibri"/>
          <w:b/>
          <w:bCs/>
        </w:rPr>
      </w:pPr>
      <w:r w:rsidRPr="00046FB4">
        <w:rPr>
          <w:rFonts w:ascii="Calibri" w:hAnsi="Calibri" w:cs="Calibri"/>
          <w:b/>
          <w:bCs/>
        </w:rPr>
        <w:t>Post-Rate Stability</w:t>
      </w:r>
    </w:p>
    <w:p w14:paraId="436CCFA1" w14:textId="039E4AEA" w:rsidR="00046FB4" w:rsidRDefault="00046FB4" w:rsidP="003E789E">
      <w:pPr>
        <w:tabs>
          <w:tab w:val="left" w:pos="540"/>
          <w:tab w:val="left" w:pos="1080"/>
          <w:tab w:val="left" w:pos="1620"/>
          <w:tab w:val="left" w:pos="2160"/>
          <w:tab w:val="left" w:pos="2700"/>
          <w:tab w:val="left" w:pos="3240"/>
          <w:tab w:val="left" w:pos="3780"/>
          <w:tab w:val="left" w:pos="4320"/>
        </w:tabs>
        <w:rPr>
          <w:rFonts w:ascii="Calibri" w:hAnsi="Calibri" w:cs="Calibri"/>
        </w:rPr>
      </w:pPr>
      <w:r>
        <w:rPr>
          <w:rFonts w:ascii="Calibri" w:hAnsi="Calibri" w:cs="Calibri"/>
        </w:rPr>
        <w:t xml:space="preserve">During the 1990’s, a number of </w:t>
      </w:r>
      <w:r w:rsidR="006634D3">
        <w:rPr>
          <w:rFonts w:ascii="Calibri" w:hAnsi="Calibri" w:cs="Calibri"/>
        </w:rPr>
        <w:t xml:space="preserve">agent-owned </w:t>
      </w:r>
      <w:r>
        <w:rPr>
          <w:rFonts w:ascii="Calibri" w:hAnsi="Calibri" w:cs="Calibri"/>
        </w:rPr>
        <w:t xml:space="preserve">companies were selling LTC benefits.  </w:t>
      </w:r>
      <w:r w:rsidR="00877241">
        <w:rPr>
          <w:rFonts w:ascii="Calibri" w:hAnsi="Calibri" w:cs="Calibri"/>
        </w:rPr>
        <w:t>Many of these companies</w:t>
      </w:r>
      <w:r>
        <w:rPr>
          <w:rFonts w:ascii="Calibri" w:hAnsi="Calibri" w:cs="Calibri"/>
        </w:rPr>
        <w:t xml:space="preserve"> began</w:t>
      </w:r>
      <w:r w:rsidR="00640C46">
        <w:rPr>
          <w:rFonts w:ascii="Calibri" w:hAnsi="Calibri" w:cs="Calibri"/>
        </w:rPr>
        <w:t xml:space="preserve"> </w:t>
      </w:r>
      <w:r>
        <w:rPr>
          <w:rFonts w:ascii="Calibri" w:hAnsi="Calibri" w:cs="Calibri"/>
        </w:rPr>
        <w:t>their sales in Florida</w:t>
      </w:r>
      <w:r w:rsidR="006634D3">
        <w:rPr>
          <w:rFonts w:ascii="Calibri" w:hAnsi="Calibri" w:cs="Calibri"/>
        </w:rPr>
        <w:t>, with an aging population</w:t>
      </w:r>
      <w:r>
        <w:rPr>
          <w:rFonts w:ascii="Calibri" w:hAnsi="Calibri" w:cs="Calibri"/>
        </w:rPr>
        <w:t xml:space="preserve">.  </w:t>
      </w:r>
      <w:r w:rsidR="00640C46">
        <w:rPr>
          <w:rFonts w:ascii="Calibri" w:hAnsi="Calibri" w:cs="Calibri"/>
        </w:rPr>
        <w:t>Often, these companies utilized quick issuance and paid their claims rapidly: features often advertised to the publi</w:t>
      </w:r>
      <w:r w:rsidR="006634D3">
        <w:rPr>
          <w:rFonts w:ascii="Calibri" w:hAnsi="Calibri" w:cs="Calibri"/>
        </w:rPr>
        <w:t xml:space="preserve">c.  These actions encouraged the public to </w:t>
      </w:r>
      <w:proofErr w:type="gramStart"/>
      <w:r w:rsidR="006634D3">
        <w:rPr>
          <w:rFonts w:ascii="Calibri" w:hAnsi="Calibri" w:cs="Calibri"/>
        </w:rPr>
        <w:t>apply for</w:t>
      </w:r>
      <w:proofErr w:type="gramEnd"/>
      <w:r w:rsidR="006634D3">
        <w:rPr>
          <w:rFonts w:ascii="Calibri" w:hAnsi="Calibri" w:cs="Calibri"/>
        </w:rPr>
        <w:t xml:space="preserve"> their policies.  One of the more prominent carriers was known for approving applications that had been disapproved by non-agent owned companies.  </w:t>
      </w:r>
      <w:r w:rsidR="00B21D60">
        <w:rPr>
          <w:rFonts w:ascii="Calibri" w:hAnsi="Calibri" w:cs="Calibri"/>
        </w:rPr>
        <w:t xml:space="preserve">The initial premium rates were very competitive.  </w:t>
      </w:r>
      <w:r w:rsidR="006634D3">
        <w:rPr>
          <w:rFonts w:ascii="Calibri" w:hAnsi="Calibri" w:cs="Calibri"/>
        </w:rPr>
        <w:t xml:space="preserve">This company began a habit of giving a rate increase in the second policy year, and paying a first-year commission on the rate increase.  Many agents accepted this policy, </w:t>
      </w:r>
      <w:r w:rsidR="00B21D60">
        <w:rPr>
          <w:rFonts w:ascii="Calibri" w:hAnsi="Calibri" w:cs="Calibri"/>
        </w:rPr>
        <w:t xml:space="preserve">feeling fully compensated </w:t>
      </w:r>
      <w:r w:rsidR="006634D3">
        <w:rPr>
          <w:rFonts w:ascii="Calibri" w:hAnsi="Calibri" w:cs="Calibri"/>
        </w:rPr>
        <w:t>because they w</w:t>
      </w:r>
      <w:r w:rsidR="00B21D60">
        <w:rPr>
          <w:rFonts w:ascii="Calibri" w:hAnsi="Calibri" w:cs="Calibri"/>
        </w:rPr>
        <w:t>e</w:t>
      </w:r>
      <w:r w:rsidR="006634D3">
        <w:rPr>
          <w:rFonts w:ascii="Calibri" w:hAnsi="Calibri" w:cs="Calibri"/>
        </w:rPr>
        <w:t>re paid a ful</w:t>
      </w:r>
      <w:r w:rsidR="00B21D60">
        <w:rPr>
          <w:rFonts w:ascii="Calibri" w:hAnsi="Calibri" w:cs="Calibri"/>
        </w:rPr>
        <w:t>l</w:t>
      </w:r>
      <w:r w:rsidR="006634D3">
        <w:rPr>
          <w:rFonts w:ascii="Calibri" w:hAnsi="Calibri" w:cs="Calibri"/>
        </w:rPr>
        <w:t xml:space="preserve"> commission on the initial premium and the premium increase.</w:t>
      </w:r>
      <w:r w:rsidR="00B21D60">
        <w:rPr>
          <w:rFonts w:ascii="Calibri" w:hAnsi="Calibri" w:cs="Calibri"/>
        </w:rPr>
        <w:t xml:space="preserve"> </w:t>
      </w:r>
      <w:r w:rsidR="00CC32AF">
        <w:rPr>
          <w:rFonts w:ascii="Calibri" w:hAnsi="Calibri" w:cs="Calibri"/>
        </w:rPr>
        <w:t xml:space="preserve"> </w:t>
      </w:r>
      <w:r w:rsidR="00B21D60">
        <w:rPr>
          <w:rFonts w:ascii="Calibri" w:hAnsi="Calibri" w:cs="Calibri"/>
        </w:rPr>
        <w:t>Unsuspecting policyholders were surprised by the ra</w:t>
      </w:r>
      <w:r w:rsidR="007D6678">
        <w:rPr>
          <w:rFonts w:ascii="Calibri" w:hAnsi="Calibri" w:cs="Calibri"/>
        </w:rPr>
        <w:t>p</w:t>
      </w:r>
      <w:r w:rsidR="00B21D60">
        <w:rPr>
          <w:rFonts w:ascii="Calibri" w:hAnsi="Calibri" w:cs="Calibri"/>
        </w:rPr>
        <w:t>id rate increase.</w:t>
      </w:r>
      <w:r w:rsidR="00CC32AF">
        <w:rPr>
          <w:rFonts w:ascii="Calibri" w:hAnsi="Calibri" w:cs="Calibri"/>
        </w:rPr>
        <w:t xml:space="preserve">  </w:t>
      </w:r>
      <w:r w:rsidR="007D6678">
        <w:rPr>
          <w:rFonts w:ascii="Calibri" w:hAnsi="Calibri" w:cs="Calibri"/>
        </w:rPr>
        <w:t>Understandably, t</w:t>
      </w:r>
      <w:r w:rsidR="00CC32AF">
        <w:rPr>
          <w:rFonts w:ascii="Calibri" w:hAnsi="Calibri" w:cs="Calibri"/>
        </w:rPr>
        <w:t xml:space="preserve">hese rapid rate increases led to many complaints at various state </w:t>
      </w:r>
      <w:r w:rsidR="002F0A50">
        <w:rPr>
          <w:rFonts w:ascii="Calibri" w:hAnsi="Calibri" w:cs="Calibri"/>
        </w:rPr>
        <w:t>Departments of Insurance (“</w:t>
      </w:r>
      <w:r w:rsidR="002F0A50" w:rsidRPr="002F0A50">
        <w:rPr>
          <w:rFonts w:ascii="Calibri" w:hAnsi="Calibri" w:cs="Calibri"/>
          <w:b/>
          <w:bCs/>
        </w:rPr>
        <w:t>DOI</w:t>
      </w:r>
      <w:r w:rsidR="002F0A50">
        <w:rPr>
          <w:rFonts w:ascii="Calibri" w:hAnsi="Calibri" w:cs="Calibri"/>
        </w:rPr>
        <w:t>”)</w:t>
      </w:r>
      <w:r w:rsidR="00CC32AF">
        <w:rPr>
          <w:rFonts w:ascii="Calibri" w:hAnsi="Calibri" w:cs="Calibri"/>
        </w:rPr>
        <w:t>.</w:t>
      </w:r>
    </w:p>
    <w:p w14:paraId="24ED464F" w14:textId="53812FEA" w:rsidR="002726F6" w:rsidRDefault="00CC32AF" w:rsidP="003E789E">
      <w:pPr>
        <w:tabs>
          <w:tab w:val="left" w:pos="540"/>
          <w:tab w:val="left" w:pos="1080"/>
          <w:tab w:val="left" w:pos="1620"/>
          <w:tab w:val="left" w:pos="2160"/>
          <w:tab w:val="left" w:pos="2700"/>
          <w:tab w:val="left" w:pos="3240"/>
          <w:tab w:val="left" w:pos="3780"/>
          <w:tab w:val="left" w:pos="4320"/>
        </w:tabs>
        <w:rPr>
          <w:rFonts w:ascii="Calibri" w:hAnsi="Calibri" w:cs="Calibri"/>
        </w:rPr>
      </w:pPr>
      <w:r>
        <w:rPr>
          <w:rFonts w:ascii="Calibri" w:hAnsi="Calibri" w:cs="Calibri"/>
        </w:rPr>
        <w:t xml:space="preserve">Rate Stability was enacted to solve this issue.  The primary impact was the </w:t>
      </w:r>
      <w:r w:rsidR="00CF1022">
        <w:rPr>
          <w:rFonts w:ascii="Calibri" w:hAnsi="Calibri" w:cs="Calibri"/>
        </w:rPr>
        <w:t>minimum 85% L/R requirement for any</w:t>
      </w:r>
      <w:r>
        <w:rPr>
          <w:rFonts w:ascii="Calibri" w:hAnsi="Calibri" w:cs="Calibri"/>
        </w:rPr>
        <w:t xml:space="preserve"> rate increase. </w:t>
      </w:r>
      <w:r w:rsidR="00CF1022">
        <w:rPr>
          <w:rFonts w:ascii="Calibri" w:hAnsi="Calibri" w:cs="Calibri"/>
        </w:rPr>
        <w:t xml:space="preserve"> Long-term care is an expensive product for companies to administer.  </w:t>
      </w:r>
      <w:r w:rsidR="002726F6">
        <w:rPr>
          <w:rFonts w:ascii="Calibri" w:hAnsi="Calibri" w:cs="Calibri"/>
        </w:rPr>
        <w:t>With a</w:t>
      </w:r>
      <w:r w:rsidR="007D6678">
        <w:rPr>
          <w:rFonts w:ascii="Calibri" w:hAnsi="Calibri" w:cs="Calibri"/>
        </w:rPr>
        <w:t xml:space="preserve"> loss ratio of 85%, an</w:t>
      </w:r>
      <w:r w:rsidR="002726F6">
        <w:rPr>
          <w:rFonts w:ascii="Calibri" w:hAnsi="Calibri" w:cs="Calibri"/>
        </w:rPr>
        <w:t xml:space="preserve"> expense ratio of 10 - 12% and premium taxes of 2-3%, companies could have </w:t>
      </w:r>
      <w:r w:rsidR="00CF1022">
        <w:rPr>
          <w:rFonts w:ascii="Calibri" w:hAnsi="Calibri" w:cs="Calibri"/>
        </w:rPr>
        <w:t>little expectation of making a profit on their LTC product.</w:t>
      </w:r>
      <w:r>
        <w:rPr>
          <w:rFonts w:ascii="Calibri" w:hAnsi="Calibri" w:cs="Calibri"/>
        </w:rPr>
        <w:t xml:space="preserve">  Thus, to make a profit, a company could not have an initial </w:t>
      </w:r>
      <w:r w:rsidR="002726F6">
        <w:rPr>
          <w:rFonts w:ascii="Calibri" w:hAnsi="Calibri" w:cs="Calibri"/>
        </w:rPr>
        <w:t>‘</w:t>
      </w:r>
      <w:r>
        <w:rPr>
          <w:rFonts w:ascii="Calibri" w:hAnsi="Calibri" w:cs="Calibri"/>
        </w:rPr>
        <w:t>loss leader’ premium and follow that with a large rate increase</w:t>
      </w:r>
      <w:r w:rsidR="002726F6">
        <w:rPr>
          <w:rFonts w:ascii="Calibri" w:hAnsi="Calibri" w:cs="Calibri"/>
        </w:rPr>
        <w:t xml:space="preserve"> to create the profit</w:t>
      </w:r>
      <w:r>
        <w:rPr>
          <w:rFonts w:ascii="Calibri" w:hAnsi="Calibri" w:cs="Calibri"/>
        </w:rPr>
        <w:t>.</w:t>
      </w:r>
    </w:p>
    <w:p w14:paraId="0DDCFD71" w14:textId="365A39D4" w:rsidR="005B0A42" w:rsidRDefault="005B0A42" w:rsidP="003E789E">
      <w:pPr>
        <w:tabs>
          <w:tab w:val="left" w:pos="540"/>
          <w:tab w:val="left" w:pos="1080"/>
          <w:tab w:val="left" w:pos="1620"/>
          <w:tab w:val="left" w:pos="2160"/>
          <w:tab w:val="left" w:pos="2700"/>
          <w:tab w:val="left" w:pos="3240"/>
          <w:tab w:val="left" w:pos="3780"/>
          <w:tab w:val="left" w:pos="4320"/>
        </w:tabs>
        <w:rPr>
          <w:rFonts w:ascii="Calibri" w:hAnsi="Calibri" w:cs="Calibri"/>
          <w:b/>
          <w:bCs/>
        </w:rPr>
      </w:pPr>
      <w:r>
        <w:rPr>
          <w:rFonts w:ascii="Calibri" w:hAnsi="Calibri" w:cs="Calibri"/>
          <w:b/>
          <w:bCs/>
        </w:rPr>
        <w:t xml:space="preserve">Initial Premiums Prior to </w:t>
      </w:r>
      <w:r w:rsidR="00170595">
        <w:rPr>
          <w:rFonts w:ascii="Calibri" w:hAnsi="Calibri" w:cs="Calibri"/>
          <w:b/>
          <w:bCs/>
        </w:rPr>
        <w:t>“</w:t>
      </w:r>
      <w:r>
        <w:rPr>
          <w:rFonts w:ascii="Calibri" w:hAnsi="Calibri" w:cs="Calibri"/>
          <w:b/>
          <w:bCs/>
        </w:rPr>
        <w:t>Rate Stability</w:t>
      </w:r>
      <w:r w:rsidR="00170595">
        <w:rPr>
          <w:rFonts w:ascii="Calibri" w:hAnsi="Calibri" w:cs="Calibri"/>
          <w:b/>
          <w:bCs/>
        </w:rPr>
        <w:t>” Regulations</w:t>
      </w:r>
    </w:p>
    <w:p w14:paraId="72AA8634" w14:textId="62532265" w:rsidR="00E44F22" w:rsidRDefault="005B0A42" w:rsidP="008E77F7">
      <w:pPr>
        <w:tabs>
          <w:tab w:val="left" w:pos="540"/>
          <w:tab w:val="left" w:pos="1080"/>
          <w:tab w:val="left" w:pos="1620"/>
          <w:tab w:val="left" w:pos="2160"/>
          <w:tab w:val="left" w:pos="2700"/>
          <w:tab w:val="left" w:pos="3240"/>
          <w:tab w:val="left" w:pos="3780"/>
          <w:tab w:val="left" w:pos="4320"/>
        </w:tabs>
        <w:rPr>
          <w:rFonts w:ascii="Calibri" w:hAnsi="Calibri" w:cs="Calibri"/>
        </w:rPr>
      </w:pPr>
      <w:r w:rsidRPr="005B0A42">
        <w:rPr>
          <w:rFonts w:ascii="Calibri" w:hAnsi="Calibri" w:cs="Calibri"/>
        </w:rPr>
        <w:t xml:space="preserve">In the early days of LTC, </w:t>
      </w:r>
      <w:r>
        <w:rPr>
          <w:rFonts w:ascii="Calibri" w:hAnsi="Calibri" w:cs="Calibri"/>
        </w:rPr>
        <w:t xml:space="preserve">there was very little experience to draw upon for expected claim costs. </w:t>
      </w:r>
      <w:r w:rsidR="00170595">
        <w:rPr>
          <w:rFonts w:ascii="Calibri" w:hAnsi="Calibri" w:cs="Calibri"/>
        </w:rPr>
        <w:t xml:space="preserve"> </w:t>
      </w:r>
      <w:r>
        <w:rPr>
          <w:rFonts w:ascii="Calibri" w:hAnsi="Calibri" w:cs="Calibri"/>
        </w:rPr>
        <w:t xml:space="preserve">Most </w:t>
      </w:r>
      <w:r w:rsidR="000A4EBB">
        <w:rPr>
          <w:rFonts w:ascii="Calibri" w:hAnsi="Calibri" w:cs="Calibri"/>
        </w:rPr>
        <w:t xml:space="preserve">experience assumptions </w:t>
      </w:r>
      <w:r>
        <w:rPr>
          <w:rFonts w:ascii="Calibri" w:hAnsi="Calibri" w:cs="Calibri"/>
        </w:rPr>
        <w:t xml:space="preserve">came from Medicare policies.  With hindsight, we now realize that Medicare policies understated the claim period and overstated the </w:t>
      </w:r>
      <w:r w:rsidR="00E44F22">
        <w:rPr>
          <w:rFonts w:ascii="Calibri" w:hAnsi="Calibri" w:cs="Calibri"/>
        </w:rPr>
        <w:t xml:space="preserve">lapse and </w:t>
      </w:r>
      <w:r>
        <w:rPr>
          <w:rFonts w:ascii="Calibri" w:hAnsi="Calibri" w:cs="Calibri"/>
        </w:rPr>
        <w:t xml:space="preserve">mortality rates.  As data was collected from LTC policies, these differences were recognized – </w:t>
      </w:r>
      <w:r w:rsidR="007D6678">
        <w:rPr>
          <w:rFonts w:ascii="Calibri" w:hAnsi="Calibri" w:cs="Calibri"/>
        </w:rPr>
        <w:t xml:space="preserve">and the data improved </w:t>
      </w:r>
      <w:r>
        <w:rPr>
          <w:rFonts w:ascii="Calibri" w:hAnsi="Calibri" w:cs="Calibri"/>
        </w:rPr>
        <w:t>over time.</w:t>
      </w:r>
      <w:r w:rsidR="003D0233">
        <w:rPr>
          <w:rFonts w:ascii="Calibri" w:hAnsi="Calibri" w:cs="Calibri"/>
        </w:rPr>
        <w:t xml:space="preserve">  </w:t>
      </w:r>
      <w:r w:rsidR="002A55E5">
        <w:rPr>
          <w:rFonts w:ascii="Calibri" w:hAnsi="Calibri" w:cs="Calibri"/>
        </w:rPr>
        <w:t xml:space="preserve">The needs for </w:t>
      </w:r>
      <w:r w:rsidR="003D0233">
        <w:rPr>
          <w:rFonts w:ascii="Calibri" w:hAnsi="Calibri" w:cs="Calibri"/>
        </w:rPr>
        <w:t xml:space="preserve">LTC data </w:t>
      </w:r>
      <w:r w:rsidR="002A55E5">
        <w:rPr>
          <w:rFonts w:ascii="Calibri" w:hAnsi="Calibri" w:cs="Calibri"/>
        </w:rPr>
        <w:t xml:space="preserve">updates </w:t>
      </w:r>
      <w:proofErr w:type="gramStart"/>
      <w:r w:rsidR="003D0233">
        <w:rPr>
          <w:rFonts w:ascii="Calibri" w:hAnsi="Calibri" w:cs="Calibri"/>
        </w:rPr>
        <w:t>continue</w:t>
      </w:r>
      <w:r w:rsidR="002A55E5">
        <w:rPr>
          <w:rFonts w:ascii="Calibri" w:hAnsi="Calibri" w:cs="Calibri"/>
        </w:rPr>
        <w:t>s</w:t>
      </w:r>
      <w:proofErr w:type="gramEnd"/>
      <w:r w:rsidR="003D0233">
        <w:rPr>
          <w:rFonts w:ascii="Calibri" w:hAnsi="Calibri" w:cs="Calibri"/>
        </w:rPr>
        <w:t>.</w:t>
      </w:r>
    </w:p>
    <w:p w14:paraId="1BDF89D8" w14:textId="64202063" w:rsidR="005B0A42" w:rsidRDefault="00E44F22" w:rsidP="008E77F7">
      <w:pPr>
        <w:tabs>
          <w:tab w:val="left" w:pos="540"/>
          <w:tab w:val="left" w:pos="1080"/>
          <w:tab w:val="left" w:pos="1620"/>
          <w:tab w:val="left" w:pos="2160"/>
          <w:tab w:val="left" w:pos="2700"/>
          <w:tab w:val="left" w:pos="3240"/>
          <w:tab w:val="left" w:pos="3780"/>
          <w:tab w:val="left" w:pos="4320"/>
        </w:tabs>
        <w:rPr>
          <w:rFonts w:ascii="Calibri" w:hAnsi="Calibri" w:cs="Calibri"/>
        </w:rPr>
      </w:pPr>
      <w:r>
        <w:rPr>
          <w:rFonts w:ascii="Calibri" w:hAnsi="Calibri" w:cs="Calibri"/>
        </w:rPr>
        <w:lastRenderedPageBreak/>
        <w:t xml:space="preserve">In the 1990’s average issue ages were often in the 70’s.  </w:t>
      </w:r>
      <w:r w:rsidR="000A4EBB">
        <w:rPr>
          <w:rFonts w:ascii="Calibri" w:hAnsi="Calibri" w:cs="Calibri"/>
        </w:rPr>
        <w:t xml:space="preserve">As tax-qualification was approved, carriers were aware that </w:t>
      </w:r>
      <w:r>
        <w:rPr>
          <w:rFonts w:ascii="Calibri" w:hAnsi="Calibri" w:cs="Calibri"/>
        </w:rPr>
        <w:t xml:space="preserve">lapse rates </w:t>
      </w:r>
      <w:r w:rsidR="000A4EBB">
        <w:rPr>
          <w:rFonts w:ascii="Calibri" w:hAnsi="Calibri" w:cs="Calibri"/>
        </w:rPr>
        <w:t xml:space="preserve">appeared to be </w:t>
      </w:r>
      <w:r>
        <w:rPr>
          <w:rFonts w:ascii="Calibri" w:hAnsi="Calibri" w:cs="Calibri"/>
        </w:rPr>
        <w:t>overstated, and claims were beginning to look</w:t>
      </w:r>
      <w:r w:rsidR="000A4EBB">
        <w:rPr>
          <w:rFonts w:ascii="Calibri" w:hAnsi="Calibri" w:cs="Calibri"/>
        </w:rPr>
        <w:t xml:space="preserve"> higher than expected.  Unfortunately, the carriers delayed rate increases because they did not want to give rate increases to the elderly without being assured of the adverse data trends.  By the time that Rate Stability became regulations, the need for rate increases was formally realized by most carriers.  As the carriers began to file rate increases, the state DOI’s also were against raising rate for the elderly.  Thus, rate increases were doubly delayed, leading to larger rate increases due to their late </w:t>
      </w:r>
      <w:r w:rsidR="003D0233">
        <w:rPr>
          <w:rFonts w:ascii="Calibri" w:hAnsi="Calibri" w:cs="Calibri"/>
        </w:rPr>
        <w:t xml:space="preserve">filings and later </w:t>
      </w:r>
      <w:r w:rsidR="000A4EBB">
        <w:rPr>
          <w:rFonts w:ascii="Calibri" w:hAnsi="Calibri" w:cs="Calibri"/>
        </w:rPr>
        <w:t>approval.  Today, there are cumulative rate increases that exceed 500%.</w:t>
      </w:r>
    </w:p>
    <w:p w14:paraId="48415C5F" w14:textId="447E3DF3" w:rsidR="000B6114" w:rsidRPr="000B6114" w:rsidRDefault="000B6114" w:rsidP="00760133">
      <w:pPr>
        <w:tabs>
          <w:tab w:val="left" w:pos="540"/>
          <w:tab w:val="left" w:pos="1080"/>
          <w:tab w:val="left" w:pos="1620"/>
          <w:tab w:val="left" w:pos="2160"/>
          <w:tab w:val="left" w:pos="2700"/>
          <w:tab w:val="left" w:pos="3240"/>
          <w:tab w:val="left" w:pos="3780"/>
          <w:tab w:val="left" w:pos="4320"/>
        </w:tabs>
        <w:rPr>
          <w:rFonts w:ascii="Calibri" w:hAnsi="Calibri" w:cs="Calibri"/>
          <w:b/>
          <w:bCs/>
        </w:rPr>
      </w:pPr>
      <w:r w:rsidRPr="000B6114">
        <w:rPr>
          <w:rFonts w:ascii="Calibri" w:hAnsi="Calibri" w:cs="Calibri"/>
          <w:b/>
          <w:bCs/>
        </w:rPr>
        <w:t>Actuarial Equivalency</w:t>
      </w:r>
    </w:p>
    <w:p w14:paraId="2B5196E4" w14:textId="57428A3E" w:rsidR="003D0233" w:rsidRDefault="009613A1" w:rsidP="00F54836">
      <w:pPr>
        <w:tabs>
          <w:tab w:val="left" w:pos="540"/>
          <w:tab w:val="left" w:pos="1080"/>
          <w:tab w:val="left" w:pos="1620"/>
          <w:tab w:val="left" w:pos="2160"/>
          <w:tab w:val="left" w:pos="2700"/>
          <w:tab w:val="left" w:pos="3240"/>
          <w:tab w:val="left" w:pos="3780"/>
          <w:tab w:val="left" w:pos="4320"/>
        </w:tabs>
        <w:rPr>
          <w:rFonts w:ascii="Calibri" w:hAnsi="Calibri" w:cs="Calibri"/>
        </w:rPr>
      </w:pPr>
      <w:r w:rsidRPr="009613A1">
        <w:rPr>
          <w:rFonts w:ascii="Calibri" w:hAnsi="Calibri" w:cs="Calibri"/>
        </w:rPr>
        <w:t xml:space="preserve">LTC policies </w:t>
      </w:r>
      <w:r w:rsidR="00AD714D">
        <w:rPr>
          <w:rFonts w:ascii="Calibri" w:hAnsi="Calibri" w:cs="Calibri"/>
        </w:rPr>
        <w:t xml:space="preserve">build a large ALR.  The ALR is </w:t>
      </w:r>
      <w:r w:rsidR="002A55E5">
        <w:rPr>
          <w:rFonts w:ascii="Calibri" w:hAnsi="Calibri" w:cs="Calibri"/>
        </w:rPr>
        <w:t xml:space="preserve">calculated with the initial policy </w:t>
      </w:r>
      <w:proofErr w:type="gramStart"/>
      <w:r w:rsidR="002A55E5">
        <w:rPr>
          <w:rFonts w:ascii="Calibri" w:hAnsi="Calibri" w:cs="Calibri"/>
        </w:rPr>
        <w:t>premiums</w:t>
      </w:r>
      <w:proofErr w:type="gramEnd"/>
      <w:r w:rsidR="002A55E5">
        <w:rPr>
          <w:rFonts w:ascii="Calibri" w:hAnsi="Calibri" w:cs="Calibri"/>
        </w:rPr>
        <w:t xml:space="preserve"> is </w:t>
      </w:r>
      <w:r w:rsidR="00AD714D">
        <w:rPr>
          <w:rFonts w:ascii="Calibri" w:hAnsi="Calibri" w:cs="Calibri"/>
        </w:rPr>
        <w:t>funded with policyholder premiums</w:t>
      </w:r>
      <w:r w:rsidR="005B0A42">
        <w:rPr>
          <w:rFonts w:ascii="Calibri" w:hAnsi="Calibri" w:cs="Calibri"/>
        </w:rPr>
        <w:t xml:space="preserve"> (and </w:t>
      </w:r>
      <w:r w:rsidR="00AD714D">
        <w:rPr>
          <w:rFonts w:ascii="Calibri" w:hAnsi="Calibri" w:cs="Calibri"/>
        </w:rPr>
        <w:t>not with the company’s monies</w:t>
      </w:r>
      <w:r w:rsidR="005B0A42">
        <w:rPr>
          <w:rFonts w:ascii="Calibri" w:hAnsi="Calibri" w:cs="Calibri"/>
        </w:rPr>
        <w:t>)</w:t>
      </w:r>
      <w:r w:rsidR="00AD714D">
        <w:rPr>
          <w:rFonts w:ascii="Calibri" w:hAnsi="Calibri" w:cs="Calibri"/>
        </w:rPr>
        <w:t>.</w:t>
      </w:r>
    </w:p>
    <w:p w14:paraId="685D57E4" w14:textId="37B4BB8E" w:rsidR="000B6114" w:rsidRDefault="003D0233" w:rsidP="00F54836">
      <w:pPr>
        <w:tabs>
          <w:tab w:val="left" w:pos="540"/>
          <w:tab w:val="left" w:pos="1080"/>
          <w:tab w:val="left" w:pos="1620"/>
          <w:tab w:val="left" w:pos="2160"/>
          <w:tab w:val="left" w:pos="2700"/>
          <w:tab w:val="left" w:pos="3240"/>
          <w:tab w:val="left" w:pos="3780"/>
          <w:tab w:val="left" w:pos="4320"/>
        </w:tabs>
        <w:rPr>
          <w:rFonts w:ascii="Calibri" w:hAnsi="Calibri" w:cs="Calibri"/>
        </w:rPr>
      </w:pPr>
      <w:r>
        <w:rPr>
          <w:rFonts w:ascii="Calibri" w:hAnsi="Calibri" w:cs="Calibri"/>
        </w:rPr>
        <w:t>Generally, lapses are regarded as being due to policyholder circumstances.  However, a</w:t>
      </w:r>
      <w:r w:rsidR="00170595">
        <w:rPr>
          <w:rFonts w:ascii="Calibri" w:hAnsi="Calibri" w:cs="Calibri"/>
        </w:rPr>
        <w:t xml:space="preserve">s rate increases become very large, policyholders cannot be expected to continue to afford the rate increases.  On the positive side, policyholders continue to realize </w:t>
      </w:r>
      <w:r w:rsidR="00704993">
        <w:rPr>
          <w:rFonts w:ascii="Calibri" w:hAnsi="Calibri" w:cs="Calibri"/>
        </w:rPr>
        <w:t>t</w:t>
      </w:r>
      <w:r w:rsidR="00170595">
        <w:rPr>
          <w:rFonts w:ascii="Calibri" w:hAnsi="Calibri" w:cs="Calibri"/>
        </w:rPr>
        <w:t xml:space="preserve">he value of their policy and try to keep them in-force, although often with lowered benefits as they cannot afford the premium for the benefits they originally </w:t>
      </w:r>
      <w:r w:rsidR="00704993">
        <w:rPr>
          <w:rFonts w:ascii="Calibri" w:hAnsi="Calibri" w:cs="Calibri"/>
        </w:rPr>
        <w:t xml:space="preserve">purchased.  When the policyholders lower their benefits, their ALR is reduced as well.  However, since the policyholders funded the reserve, the reserve should belong to the policyholders.  When policyholder benefits are lowered, the decrease in reserve should be used to fund the benefits that remain </w:t>
      </w:r>
      <w:r w:rsidR="00123ECB">
        <w:rPr>
          <w:rFonts w:ascii="Calibri" w:hAnsi="Calibri" w:cs="Calibri"/>
        </w:rPr>
        <w:t>(</w:t>
      </w:r>
      <w:r w:rsidR="00704993">
        <w:rPr>
          <w:rFonts w:ascii="Calibri" w:hAnsi="Calibri" w:cs="Calibri"/>
        </w:rPr>
        <w:t xml:space="preserve">termed “actuarially equivalent”).  Today, this is not required in the model regulations (although some states may require the reserve decrease to be used for the remaining policyholder benefits).  In states where Actuarial </w:t>
      </w:r>
      <w:r w:rsidR="00123ECB">
        <w:rPr>
          <w:rFonts w:ascii="Calibri" w:hAnsi="Calibri" w:cs="Calibri"/>
        </w:rPr>
        <w:t>E</w:t>
      </w:r>
      <w:r w:rsidR="00704993">
        <w:rPr>
          <w:rFonts w:ascii="Calibri" w:hAnsi="Calibri" w:cs="Calibri"/>
        </w:rPr>
        <w:t>quivalency is not required, companies are permitted to do whatever they want with the reserve decrease.</w:t>
      </w:r>
    </w:p>
    <w:p w14:paraId="7410F8B6" w14:textId="5442DB16" w:rsidR="00AE4424" w:rsidRDefault="00AE4424" w:rsidP="00F54836">
      <w:pPr>
        <w:tabs>
          <w:tab w:val="left" w:pos="540"/>
          <w:tab w:val="left" w:pos="1080"/>
          <w:tab w:val="left" w:pos="1620"/>
          <w:tab w:val="left" w:pos="2160"/>
          <w:tab w:val="left" w:pos="2700"/>
          <w:tab w:val="left" w:pos="3240"/>
          <w:tab w:val="left" w:pos="3780"/>
          <w:tab w:val="left" w:pos="4320"/>
        </w:tabs>
        <w:rPr>
          <w:rFonts w:ascii="Calibri" w:hAnsi="Calibri" w:cs="Calibri"/>
        </w:rPr>
      </w:pPr>
      <w:r>
        <w:rPr>
          <w:rFonts w:ascii="Calibri" w:hAnsi="Calibri" w:cs="Calibri"/>
        </w:rPr>
        <w:t xml:space="preserve">An example of Actuarial Equivalency is when a policyholder is allowed to lower their Inflation Protection option going forward (the current benefit level is not reduced), and accept a lower </w:t>
      </w:r>
      <w:r w:rsidR="00683C9C">
        <w:rPr>
          <w:rFonts w:ascii="Calibri" w:hAnsi="Calibri" w:cs="Calibri"/>
        </w:rPr>
        <w:t>I</w:t>
      </w:r>
      <w:r>
        <w:rPr>
          <w:rFonts w:ascii="Calibri" w:hAnsi="Calibri" w:cs="Calibri"/>
        </w:rPr>
        <w:t xml:space="preserve">nflation </w:t>
      </w:r>
      <w:r w:rsidR="00683C9C">
        <w:rPr>
          <w:rFonts w:ascii="Calibri" w:hAnsi="Calibri" w:cs="Calibri"/>
        </w:rPr>
        <w:t>P</w:t>
      </w:r>
      <w:r>
        <w:rPr>
          <w:rFonts w:ascii="Calibri" w:hAnsi="Calibri" w:cs="Calibri"/>
        </w:rPr>
        <w:t>rotection interest rate going forward</w:t>
      </w:r>
      <w:r w:rsidR="00123ECB">
        <w:rPr>
          <w:rFonts w:ascii="Calibri" w:hAnsi="Calibri" w:cs="Calibri"/>
        </w:rPr>
        <w:t xml:space="preserve"> . . . </w:t>
      </w:r>
      <w:r>
        <w:rPr>
          <w:rFonts w:ascii="Calibri" w:hAnsi="Calibri" w:cs="Calibri"/>
        </w:rPr>
        <w:t xml:space="preserve">and their premium is not increased.  </w:t>
      </w:r>
      <w:r w:rsidR="00123ECB">
        <w:rPr>
          <w:rFonts w:ascii="Calibri" w:hAnsi="Calibri" w:cs="Calibri"/>
        </w:rPr>
        <w:t>An example is:</w:t>
      </w:r>
    </w:p>
    <w:p w14:paraId="6CD16F43" w14:textId="5FEF521B" w:rsidR="002C0A28" w:rsidRDefault="00653ED4" w:rsidP="00F54836">
      <w:pPr>
        <w:tabs>
          <w:tab w:val="left" w:pos="540"/>
          <w:tab w:val="left" w:pos="1080"/>
          <w:tab w:val="left" w:pos="1620"/>
          <w:tab w:val="left" w:pos="2160"/>
          <w:tab w:val="left" w:pos="2700"/>
          <w:tab w:val="left" w:pos="3240"/>
          <w:tab w:val="left" w:pos="3780"/>
          <w:tab w:val="left" w:pos="4320"/>
        </w:tabs>
        <w:ind w:left="540" w:hanging="540"/>
        <w:rPr>
          <w:rFonts w:ascii="Calibri" w:hAnsi="Calibri" w:cs="Calibri"/>
        </w:rPr>
      </w:pPr>
      <w:r>
        <w:rPr>
          <w:rFonts w:ascii="Calibri" w:hAnsi="Calibri" w:cs="Calibri"/>
        </w:rPr>
        <w:tab/>
        <w:t xml:space="preserve">A block of business has a 5% Compound Inflation Protection interest rate and an ALR of a billion dollars.  An offer to lower the Compound Inflation Protection interest rate (going forward) from 5% to 3% might be made so that the policyholder’s premium does not increase.  This is generally termed a Landing Spot (where the going forward inflation protection interest rate is lowered from the original interest rate to a “Landing Spot” </w:t>
      </w:r>
      <w:r w:rsidR="006C2C51">
        <w:rPr>
          <w:rFonts w:ascii="Calibri" w:hAnsi="Calibri" w:cs="Calibri"/>
        </w:rPr>
        <w:t>[</w:t>
      </w:r>
      <w:r>
        <w:rPr>
          <w:rFonts w:ascii="Calibri" w:hAnsi="Calibri" w:cs="Calibri"/>
        </w:rPr>
        <w:t>in this example, the 5% initial Inflation Protection Interest Rate is lower</w:t>
      </w:r>
      <w:r w:rsidR="006C2C51">
        <w:rPr>
          <w:rFonts w:ascii="Calibri" w:hAnsi="Calibri" w:cs="Calibri"/>
        </w:rPr>
        <w:t>e</w:t>
      </w:r>
      <w:r>
        <w:rPr>
          <w:rFonts w:ascii="Calibri" w:hAnsi="Calibri" w:cs="Calibri"/>
        </w:rPr>
        <w:t>d, for future policy years, to 3%</w:t>
      </w:r>
      <w:r w:rsidR="006C2C51">
        <w:rPr>
          <w:rFonts w:ascii="Calibri" w:hAnsi="Calibri" w:cs="Calibri"/>
        </w:rPr>
        <w:t>]</w:t>
      </w:r>
      <w:r>
        <w:rPr>
          <w:rFonts w:ascii="Calibri" w:hAnsi="Calibri" w:cs="Calibri"/>
        </w:rPr>
        <w:t xml:space="preserve">).  </w:t>
      </w:r>
      <w:r w:rsidR="00504D06">
        <w:rPr>
          <w:rFonts w:ascii="Calibri" w:hAnsi="Calibri" w:cs="Calibri"/>
        </w:rPr>
        <w:t xml:space="preserve">For </w:t>
      </w:r>
      <w:r w:rsidR="002C0A28">
        <w:rPr>
          <w:rFonts w:ascii="Calibri" w:hAnsi="Calibri" w:cs="Calibri"/>
        </w:rPr>
        <w:t>all policyholders with the 5% inflation protection interest rate</w:t>
      </w:r>
      <w:r w:rsidR="00504D06">
        <w:rPr>
          <w:rFonts w:ascii="Calibri" w:hAnsi="Calibri" w:cs="Calibri"/>
        </w:rPr>
        <w:t>,</w:t>
      </w:r>
      <w:r w:rsidR="002C0A28">
        <w:rPr>
          <w:rFonts w:ascii="Calibri" w:hAnsi="Calibri" w:cs="Calibri"/>
        </w:rPr>
        <w:t xml:space="preserve"> </w:t>
      </w:r>
      <w:r w:rsidR="006C2C51">
        <w:rPr>
          <w:rFonts w:ascii="Calibri" w:hAnsi="Calibri" w:cs="Calibri"/>
        </w:rPr>
        <w:t>the current reserve is a billion dollars</w:t>
      </w:r>
      <w:r w:rsidR="00504D06">
        <w:rPr>
          <w:rFonts w:ascii="Calibri" w:hAnsi="Calibri" w:cs="Calibri"/>
        </w:rPr>
        <w:t xml:space="preserve">.  If </w:t>
      </w:r>
      <w:r w:rsidR="008E77F7">
        <w:rPr>
          <w:rFonts w:ascii="Calibri" w:hAnsi="Calibri" w:cs="Calibri"/>
        </w:rPr>
        <w:t>all the policyholders choose t</w:t>
      </w:r>
      <w:r w:rsidR="00504D06">
        <w:rPr>
          <w:rFonts w:ascii="Calibri" w:hAnsi="Calibri" w:cs="Calibri"/>
        </w:rPr>
        <w:t>h</w:t>
      </w:r>
      <w:r w:rsidR="008E77F7">
        <w:rPr>
          <w:rFonts w:ascii="Calibri" w:hAnsi="Calibri" w:cs="Calibri"/>
        </w:rPr>
        <w:t xml:space="preserve">e Landing Spot, </w:t>
      </w:r>
      <w:r w:rsidR="006C2C51">
        <w:rPr>
          <w:rFonts w:ascii="Calibri" w:hAnsi="Calibri" w:cs="Calibri"/>
        </w:rPr>
        <w:t xml:space="preserve">the reserve </w:t>
      </w:r>
      <w:r w:rsidR="008E77F7">
        <w:rPr>
          <w:rFonts w:ascii="Calibri" w:hAnsi="Calibri" w:cs="Calibri"/>
        </w:rPr>
        <w:t>is lowered from $1,000,000,000 to $600,000,000</w:t>
      </w:r>
      <w:r w:rsidR="006C2C51">
        <w:rPr>
          <w:rFonts w:ascii="Calibri" w:hAnsi="Calibri" w:cs="Calibri"/>
        </w:rPr>
        <w:t>.  Without Actuarial Equivalency, the decrease in the reserve ($1,000,000</w:t>
      </w:r>
      <w:r w:rsidR="008E77F7">
        <w:rPr>
          <w:rFonts w:ascii="Calibri" w:hAnsi="Calibri" w:cs="Calibri"/>
        </w:rPr>
        <w:t>,000</w:t>
      </w:r>
      <w:r w:rsidR="006C2C51">
        <w:rPr>
          <w:rFonts w:ascii="Calibri" w:hAnsi="Calibri" w:cs="Calibri"/>
        </w:rPr>
        <w:t xml:space="preserve"> - $600,000</w:t>
      </w:r>
      <w:r w:rsidR="008E77F7">
        <w:rPr>
          <w:rFonts w:ascii="Calibri" w:hAnsi="Calibri" w:cs="Calibri"/>
        </w:rPr>
        <w:t>,000</w:t>
      </w:r>
      <w:r w:rsidR="00504D06">
        <w:rPr>
          <w:rFonts w:ascii="Calibri" w:hAnsi="Calibri" w:cs="Calibri"/>
        </w:rPr>
        <w:t xml:space="preserve"> = $400,000,000</w:t>
      </w:r>
      <w:r w:rsidR="006C2C51">
        <w:rPr>
          <w:rFonts w:ascii="Calibri" w:hAnsi="Calibri" w:cs="Calibri"/>
        </w:rPr>
        <w:t xml:space="preserve">) is given to the company </w:t>
      </w:r>
      <w:r w:rsidR="002C0A28">
        <w:rPr>
          <w:rFonts w:ascii="Calibri" w:hAnsi="Calibri" w:cs="Calibri"/>
        </w:rPr>
        <w:t>t</w:t>
      </w:r>
      <w:r w:rsidR="006C2C51">
        <w:rPr>
          <w:rFonts w:ascii="Calibri" w:hAnsi="Calibri" w:cs="Calibri"/>
        </w:rPr>
        <w:t>o do whatever they want</w:t>
      </w:r>
      <w:r w:rsidR="00504D06">
        <w:rPr>
          <w:rFonts w:ascii="Calibri" w:hAnsi="Calibri" w:cs="Calibri"/>
        </w:rPr>
        <w:t xml:space="preserve"> with the $400,000,000</w:t>
      </w:r>
      <w:r w:rsidR="006C2C51">
        <w:rPr>
          <w:rFonts w:ascii="Calibri" w:hAnsi="Calibri" w:cs="Calibri"/>
        </w:rPr>
        <w:t xml:space="preserve">. </w:t>
      </w:r>
      <w:r w:rsidR="00683C9C">
        <w:rPr>
          <w:rFonts w:ascii="Calibri" w:hAnsi="Calibri" w:cs="Calibri"/>
        </w:rPr>
        <w:t xml:space="preserve"> </w:t>
      </w:r>
      <w:r w:rsidR="006C2C51">
        <w:rPr>
          <w:rFonts w:ascii="Calibri" w:hAnsi="Calibri" w:cs="Calibri"/>
        </w:rPr>
        <w:t>With Actuarial Equivalency, the initial reserve for the Landing Spot should be the current reserve of $1,000,000</w:t>
      </w:r>
      <w:r w:rsidR="00A0392F">
        <w:rPr>
          <w:rFonts w:ascii="Calibri" w:hAnsi="Calibri" w:cs="Calibri"/>
        </w:rPr>
        <w:t>,000</w:t>
      </w:r>
      <w:r w:rsidR="006C2C51">
        <w:rPr>
          <w:rFonts w:ascii="Calibri" w:hAnsi="Calibri" w:cs="Calibri"/>
        </w:rPr>
        <w:t>.</w:t>
      </w:r>
    </w:p>
    <w:p w14:paraId="3F557D1D" w14:textId="4DFD809E" w:rsidR="00760133" w:rsidRDefault="002C0A28" w:rsidP="00F54836">
      <w:pPr>
        <w:tabs>
          <w:tab w:val="left" w:pos="540"/>
          <w:tab w:val="left" w:pos="1080"/>
          <w:tab w:val="left" w:pos="1620"/>
          <w:tab w:val="left" w:pos="2160"/>
          <w:tab w:val="left" w:pos="2700"/>
          <w:tab w:val="left" w:pos="3240"/>
          <w:tab w:val="left" w:pos="3780"/>
          <w:tab w:val="left" w:pos="4320"/>
        </w:tabs>
        <w:ind w:left="90"/>
        <w:rPr>
          <w:rFonts w:ascii="Calibri" w:hAnsi="Calibri" w:cs="Calibri"/>
        </w:rPr>
      </w:pPr>
      <w:r>
        <w:rPr>
          <w:rFonts w:ascii="Calibri" w:hAnsi="Calibri" w:cs="Calibri"/>
        </w:rPr>
        <w:t>In the example, Actuarial Equivalency increase</w:t>
      </w:r>
      <w:r w:rsidR="00504D06">
        <w:rPr>
          <w:rFonts w:ascii="Calibri" w:hAnsi="Calibri" w:cs="Calibri"/>
        </w:rPr>
        <w:t>s</w:t>
      </w:r>
      <w:r>
        <w:rPr>
          <w:rFonts w:ascii="Calibri" w:hAnsi="Calibri" w:cs="Calibri"/>
        </w:rPr>
        <w:t xml:space="preserve"> the Landing </w:t>
      </w:r>
      <w:r w:rsidR="00760133">
        <w:rPr>
          <w:rFonts w:ascii="Calibri" w:hAnsi="Calibri" w:cs="Calibri"/>
        </w:rPr>
        <w:t>S</w:t>
      </w:r>
      <w:r>
        <w:rPr>
          <w:rFonts w:ascii="Calibri" w:hAnsi="Calibri" w:cs="Calibri"/>
        </w:rPr>
        <w:t xml:space="preserve">pot from </w:t>
      </w:r>
      <w:r w:rsidR="00585F8C">
        <w:rPr>
          <w:rFonts w:ascii="Calibri" w:hAnsi="Calibri" w:cs="Calibri"/>
        </w:rPr>
        <w:t>3.0</w:t>
      </w:r>
      <w:r>
        <w:rPr>
          <w:rFonts w:ascii="Calibri" w:hAnsi="Calibri" w:cs="Calibri"/>
        </w:rPr>
        <w:t>% to 3.5%, the carrier’s reserve did not change, and the policyholder</w:t>
      </w:r>
      <w:r w:rsidR="00585F8C">
        <w:rPr>
          <w:rFonts w:ascii="Calibri" w:hAnsi="Calibri" w:cs="Calibri"/>
        </w:rPr>
        <w:t>s</w:t>
      </w:r>
      <w:r>
        <w:rPr>
          <w:rFonts w:ascii="Calibri" w:hAnsi="Calibri" w:cs="Calibri"/>
        </w:rPr>
        <w:t xml:space="preserve"> w</w:t>
      </w:r>
      <w:r w:rsidR="00585F8C">
        <w:rPr>
          <w:rFonts w:ascii="Calibri" w:hAnsi="Calibri" w:cs="Calibri"/>
        </w:rPr>
        <w:t>ere</w:t>
      </w:r>
      <w:r>
        <w:rPr>
          <w:rFonts w:ascii="Calibri" w:hAnsi="Calibri" w:cs="Calibri"/>
        </w:rPr>
        <w:t xml:space="preserve"> able to use the entire reserve </w:t>
      </w:r>
      <w:r w:rsidR="00504D06">
        <w:rPr>
          <w:rFonts w:ascii="Calibri" w:hAnsi="Calibri" w:cs="Calibri"/>
        </w:rPr>
        <w:t xml:space="preserve">(that they </w:t>
      </w:r>
      <w:r w:rsidR="00760133">
        <w:rPr>
          <w:rFonts w:ascii="Calibri" w:hAnsi="Calibri" w:cs="Calibri"/>
        </w:rPr>
        <w:t>funded</w:t>
      </w:r>
      <w:r>
        <w:rPr>
          <w:rFonts w:ascii="Calibri" w:hAnsi="Calibri" w:cs="Calibri"/>
        </w:rPr>
        <w:t xml:space="preserve"> with their </w:t>
      </w:r>
      <w:r w:rsidR="00585F8C">
        <w:rPr>
          <w:rFonts w:ascii="Calibri" w:hAnsi="Calibri" w:cs="Calibri"/>
        </w:rPr>
        <w:t xml:space="preserve">prior </w:t>
      </w:r>
      <w:r>
        <w:rPr>
          <w:rFonts w:ascii="Calibri" w:hAnsi="Calibri" w:cs="Calibri"/>
        </w:rPr>
        <w:t>premiums</w:t>
      </w:r>
      <w:r w:rsidR="00504D06">
        <w:rPr>
          <w:rFonts w:ascii="Calibri" w:hAnsi="Calibri" w:cs="Calibri"/>
        </w:rPr>
        <w:t>)</w:t>
      </w:r>
      <w:r>
        <w:rPr>
          <w:rFonts w:ascii="Calibri" w:hAnsi="Calibri" w:cs="Calibri"/>
        </w:rPr>
        <w:t>.</w:t>
      </w:r>
      <w:r w:rsidR="00585F8C">
        <w:rPr>
          <w:rFonts w:ascii="Calibri" w:hAnsi="Calibri" w:cs="Calibri"/>
        </w:rPr>
        <w:t xml:space="preserve">  </w:t>
      </w:r>
      <w:r w:rsidR="00760133">
        <w:rPr>
          <w:rFonts w:ascii="Calibri" w:hAnsi="Calibri" w:cs="Calibri"/>
        </w:rPr>
        <w:t xml:space="preserve">Similarly, for any group that reduces their benefits, the accompanying </w:t>
      </w:r>
      <w:r w:rsidR="00760133">
        <w:rPr>
          <w:rFonts w:ascii="Calibri" w:hAnsi="Calibri" w:cs="Calibri"/>
        </w:rPr>
        <w:lastRenderedPageBreak/>
        <w:t>reserve reduction could be used to decrease the benefit reduction</w:t>
      </w:r>
      <w:r w:rsidR="005D29F9">
        <w:rPr>
          <w:rFonts w:ascii="Calibri" w:hAnsi="Calibri" w:cs="Calibri"/>
        </w:rPr>
        <w:t>, giving the policyholder the benefit of their prior funding of the ALR.</w:t>
      </w:r>
    </w:p>
    <w:p w14:paraId="280D83E0" w14:textId="2138FA46" w:rsidR="00760133" w:rsidRDefault="00760133" w:rsidP="00F54836">
      <w:pPr>
        <w:tabs>
          <w:tab w:val="left" w:pos="540"/>
          <w:tab w:val="left" w:pos="1080"/>
          <w:tab w:val="left" w:pos="1620"/>
          <w:tab w:val="left" w:pos="2160"/>
          <w:tab w:val="left" w:pos="2700"/>
          <w:tab w:val="left" w:pos="3240"/>
          <w:tab w:val="left" w:pos="3780"/>
          <w:tab w:val="left" w:pos="4320"/>
        </w:tabs>
        <w:rPr>
          <w:rFonts w:ascii="Calibri" w:hAnsi="Calibri" w:cs="Calibri"/>
        </w:rPr>
      </w:pPr>
      <w:r>
        <w:rPr>
          <w:rFonts w:ascii="Calibri" w:hAnsi="Calibri" w:cs="Calibri"/>
        </w:rPr>
        <w:t xml:space="preserve">At a minimum, for Actuarial Equivalency, the company </w:t>
      </w:r>
      <w:r w:rsidR="00504D06">
        <w:rPr>
          <w:rFonts w:ascii="Calibri" w:hAnsi="Calibri" w:cs="Calibri"/>
        </w:rPr>
        <w:t>sh</w:t>
      </w:r>
      <w:r>
        <w:rPr>
          <w:rFonts w:ascii="Calibri" w:hAnsi="Calibri" w:cs="Calibri"/>
        </w:rPr>
        <w:t xml:space="preserve">ould hold the reserve reduction as a separate amount.  The amount </w:t>
      </w:r>
      <w:r w:rsidR="00683C9C">
        <w:rPr>
          <w:rFonts w:ascii="Calibri" w:hAnsi="Calibri" w:cs="Calibri"/>
        </w:rPr>
        <w:t>sh</w:t>
      </w:r>
      <w:r>
        <w:rPr>
          <w:rFonts w:ascii="Calibri" w:hAnsi="Calibri" w:cs="Calibri"/>
        </w:rPr>
        <w:t>ould increase with investment earnings and be used to lower any future rate increase.</w:t>
      </w:r>
    </w:p>
    <w:p w14:paraId="4E27CFE4" w14:textId="77777777" w:rsidR="00504D06" w:rsidRDefault="00504D06" w:rsidP="00504D06">
      <w:pPr>
        <w:rPr>
          <w:rFonts w:ascii="Calibri" w:hAnsi="Calibri" w:cs="Calibri"/>
          <w:b/>
          <w:bCs/>
        </w:rPr>
      </w:pPr>
      <w:r>
        <w:rPr>
          <w:rFonts w:ascii="Calibri" w:hAnsi="Calibri" w:cs="Calibri"/>
          <w:b/>
          <w:bCs/>
        </w:rPr>
        <w:t>Today’s Regulatory Environment</w:t>
      </w:r>
    </w:p>
    <w:p w14:paraId="2826A9F3" w14:textId="22425947" w:rsidR="00504D06" w:rsidRPr="00504D06" w:rsidRDefault="00504D06" w:rsidP="00504D06">
      <w:pPr>
        <w:rPr>
          <w:rFonts w:ascii="Calibri" w:hAnsi="Calibri" w:cs="Calibri"/>
        </w:rPr>
      </w:pPr>
      <w:r w:rsidRPr="00504D06">
        <w:rPr>
          <w:rFonts w:ascii="Calibri" w:hAnsi="Calibri" w:cs="Calibri"/>
        </w:rPr>
        <w:t xml:space="preserve">LTC carriers </w:t>
      </w:r>
      <w:r>
        <w:rPr>
          <w:rFonts w:ascii="Calibri" w:hAnsi="Calibri" w:cs="Calibri"/>
        </w:rPr>
        <w:t>are removing themselves from the LTC marketplace.  There were some early mistakes (</w:t>
      </w:r>
      <w:r w:rsidR="00027438">
        <w:rPr>
          <w:rFonts w:ascii="Calibri" w:hAnsi="Calibri" w:cs="Calibri"/>
        </w:rPr>
        <w:t xml:space="preserve">no LTC data, carrier delay of filing a rate increase).  But these have, for the most part, been rectified. </w:t>
      </w:r>
      <w:r w:rsidR="007B5D2B">
        <w:rPr>
          <w:rFonts w:ascii="Calibri" w:hAnsi="Calibri" w:cs="Calibri"/>
        </w:rPr>
        <w:t xml:space="preserve"> </w:t>
      </w:r>
      <w:r w:rsidR="00027438">
        <w:rPr>
          <w:rFonts w:ascii="Calibri" w:hAnsi="Calibri" w:cs="Calibri"/>
        </w:rPr>
        <w:t>However, some states continue to delay rate increase approval.  Although carriers see the need for the product as the population ages, they tend to view LTC as a product where they cannot make a positive return.  Thus, many, if not most carriers, are no longer accepting new sales.  It appears there are no new carriers entering the marketplace.</w:t>
      </w:r>
    </w:p>
    <w:p w14:paraId="5379711A" w14:textId="685F3950" w:rsidR="00504D06" w:rsidRDefault="00504D06" w:rsidP="00504D06">
      <w:pPr>
        <w:rPr>
          <w:rFonts w:ascii="Calibri" w:hAnsi="Calibri" w:cs="Calibri"/>
          <w:b/>
          <w:bCs/>
        </w:rPr>
      </w:pPr>
      <w:r w:rsidRPr="003644E7">
        <w:rPr>
          <w:rFonts w:ascii="Calibri" w:hAnsi="Calibri" w:cs="Calibri"/>
          <w:b/>
          <w:bCs/>
        </w:rPr>
        <w:t>Rate Increase Variance by State</w:t>
      </w:r>
    </w:p>
    <w:p w14:paraId="2C7BF5DC" w14:textId="5D402265" w:rsidR="00F6082B" w:rsidRDefault="00800592" w:rsidP="00504D06">
      <w:pPr>
        <w:tabs>
          <w:tab w:val="left" w:pos="540"/>
          <w:tab w:val="left" w:pos="1080"/>
          <w:tab w:val="left" w:pos="1620"/>
          <w:tab w:val="left" w:pos="2160"/>
          <w:tab w:val="left" w:pos="2700"/>
          <w:tab w:val="left" w:pos="3240"/>
          <w:tab w:val="left" w:pos="3780"/>
          <w:tab w:val="left" w:pos="4320"/>
        </w:tabs>
        <w:rPr>
          <w:rFonts w:ascii="Calibri" w:hAnsi="Calibri" w:cs="Calibri"/>
        </w:rPr>
      </w:pPr>
      <w:r>
        <w:rPr>
          <w:rFonts w:ascii="Calibri" w:hAnsi="Calibri" w:cs="Calibri"/>
        </w:rPr>
        <w:t>State differences in regulations and definitions affect premium rate increase filings.  Past history of some states approving all or a majority of rate increase filings versus states that either deny or approve only a small portion of the requested rate increase has resulted in large variances in premiums on a state by state basis.  Policyholders in one state could be paying significantly more or less than policyholders with the exact same coverage in a different state.  Companies are striving to achieve the same L/R in all states taking into consideration prior rate increase filings and the large variances that are the result of state approvals or disapprovals.  The goal to achieve level rates across all state is neither reasonable nor actuarial.</w:t>
      </w:r>
    </w:p>
    <w:p w14:paraId="1DB3A610" w14:textId="4655EE95" w:rsidR="00C12D97" w:rsidRPr="00C12D97" w:rsidRDefault="00C12D97" w:rsidP="00504D06">
      <w:pPr>
        <w:tabs>
          <w:tab w:val="left" w:pos="540"/>
          <w:tab w:val="left" w:pos="1080"/>
          <w:tab w:val="left" w:pos="1620"/>
          <w:tab w:val="left" w:pos="2160"/>
          <w:tab w:val="left" w:pos="2700"/>
          <w:tab w:val="left" w:pos="3240"/>
          <w:tab w:val="left" w:pos="3780"/>
          <w:tab w:val="left" w:pos="4320"/>
        </w:tabs>
        <w:rPr>
          <w:rFonts w:ascii="Calibri" w:hAnsi="Calibri" w:cs="Calibri"/>
          <w:b/>
          <w:bCs/>
        </w:rPr>
      </w:pPr>
      <w:r w:rsidRPr="00C12D97">
        <w:rPr>
          <w:rFonts w:ascii="Calibri" w:hAnsi="Calibri" w:cs="Calibri"/>
          <w:b/>
          <w:bCs/>
        </w:rPr>
        <w:t>Solutions to a Necessary, but Rapidly Dying, Product</w:t>
      </w:r>
    </w:p>
    <w:p w14:paraId="10065C38" w14:textId="3D11FC5D" w:rsidR="00BE63C4" w:rsidRPr="009613A1" w:rsidRDefault="00BE63C4" w:rsidP="00F54836">
      <w:pPr>
        <w:tabs>
          <w:tab w:val="left" w:pos="540"/>
          <w:tab w:val="left" w:pos="1080"/>
          <w:tab w:val="left" w:pos="1620"/>
          <w:tab w:val="left" w:pos="2160"/>
          <w:tab w:val="left" w:pos="2700"/>
          <w:tab w:val="left" w:pos="3240"/>
          <w:tab w:val="left" w:pos="3780"/>
          <w:tab w:val="left" w:pos="4320"/>
        </w:tabs>
        <w:rPr>
          <w:rFonts w:ascii="Calibri" w:hAnsi="Calibri" w:cs="Calibri"/>
        </w:rPr>
      </w:pPr>
      <w:r>
        <w:rPr>
          <w:rFonts w:ascii="Calibri" w:hAnsi="Calibri" w:cs="Calibri"/>
        </w:rPr>
        <w:t xml:space="preserve">We need </w:t>
      </w:r>
      <w:r w:rsidR="005801E7">
        <w:rPr>
          <w:rFonts w:ascii="Calibri" w:hAnsi="Calibri" w:cs="Calibri"/>
        </w:rPr>
        <w:t xml:space="preserve">insurers – but they are a dying breed.  </w:t>
      </w:r>
      <w:r w:rsidR="00800592">
        <w:rPr>
          <w:rFonts w:ascii="Calibri" w:hAnsi="Calibri" w:cs="Calibri"/>
        </w:rPr>
        <w:t>Consumers need a way to pre-fund potential long-term care services and expenses.  We should work towards a solution that works for both the public and the carriers.</w:t>
      </w:r>
    </w:p>
    <w:sectPr w:rsidR="00BE63C4" w:rsidRPr="009613A1" w:rsidSect="00AC20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9078D2" w14:textId="77777777" w:rsidR="00AC20B7" w:rsidRDefault="00AC20B7" w:rsidP="00AC4249">
      <w:pPr>
        <w:spacing w:after="0" w:line="240" w:lineRule="auto"/>
      </w:pPr>
      <w:r>
        <w:separator/>
      </w:r>
    </w:p>
  </w:endnote>
  <w:endnote w:type="continuationSeparator" w:id="0">
    <w:p w14:paraId="3C638567" w14:textId="77777777" w:rsidR="00AC20B7" w:rsidRDefault="00AC20B7" w:rsidP="00AC4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945BB2" w14:textId="77777777" w:rsidR="00AC4249" w:rsidRDefault="00AC4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247565" w14:textId="77777777" w:rsidR="00AC4249" w:rsidRDefault="00AC4249">
    <w:pPr>
      <w:tabs>
        <w:tab w:val="center" w:pos="4550"/>
        <w:tab w:val="left" w:pos="5818"/>
      </w:tabs>
      <w:ind w:right="260"/>
      <w:jc w:val="right"/>
      <w:rPr>
        <w:color w:val="2C7FCE" w:themeColor="text2" w:themeTint="99"/>
        <w:spacing w:val="60"/>
        <w:sz w:val="24"/>
        <w:szCs w:val="24"/>
      </w:rPr>
    </w:pPr>
  </w:p>
  <w:p w14:paraId="4CE85283" w14:textId="07B2383F" w:rsidR="00AC4249" w:rsidRDefault="00AC4249">
    <w:pPr>
      <w:tabs>
        <w:tab w:val="center" w:pos="4550"/>
        <w:tab w:val="left" w:pos="5818"/>
      </w:tabs>
      <w:ind w:right="260"/>
      <w:jc w:val="right"/>
      <w:rPr>
        <w:color w:val="071320" w:themeColor="text2" w:themeShade="80"/>
        <w:sz w:val="24"/>
        <w:szCs w:val="24"/>
      </w:rPr>
    </w:pPr>
    <w:r>
      <w:rPr>
        <w:color w:val="2C7FCE" w:themeColor="text2" w:themeTint="99"/>
        <w:spacing w:val="60"/>
        <w:sz w:val="24"/>
        <w:szCs w:val="24"/>
      </w:rPr>
      <w:t>Page</w:t>
    </w:r>
    <w:r>
      <w:rPr>
        <w:color w:val="2C7FCE" w:themeColor="text2" w:themeTint="99"/>
        <w:sz w:val="24"/>
        <w:szCs w:val="24"/>
      </w:rPr>
      <w:t xml:space="preserve"> </w:t>
    </w:r>
    <w:r>
      <w:rPr>
        <w:color w:val="0A1D30" w:themeColor="text2" w:themeShade="BF"/>
        <w:sz w:val="24"/>
        <w:szCs w:val="24"/>
      </w:rPr>
      <w:fldChar w:fldCharType="begin"/>
    </w:r>
    <w:r>
      <w:rPr>
        <w:color w:val="0A1D30" w:themeColor="text2" w:themeShade="BF"/>
        <w:sz w:val="24"/>
        <w:szCs w:val="24"/>
      </w:rPr>
      <w:instrText xml:space="preserve"> PAGE   \* MERGEFORMAT </w:instrText>
    </w:r>
    <w:r>
      <w:rPr>
        <w:color w:val="0A1D30" w:themeColor="text2" w:themeShade="BF"/>
        <w:sz w:val="24"/>
        <w:szCs w:val="24"/>
      </w:rPr>
      <w:fldChar w:fldCharType="separate"/>
    </w:r>
    <w:r>
      <w:rPr>
        <w:noProof/>
        <w:color w:val="0A1D30" w:themeColor="text2" w:themeShade="BF"/>
        <w:sz w:val="24"/>
        <w:szCs w:val="24"/>
      </w:rPr>
      <w:t>1</w:t>
    </w:r>
    <w:r>
      <w:rPr>
        <w:color w:val="0A1D30" w:themeColor="text2" w:themeShade="BF"/>
        <w:sz w:val="24"/>
        <w:szCs w:val="24"/>
      </w:rPr>
      <w:fldChar w:fldCharType="end"/>
    </w:r>
    <w:r>
      <w:rPr>
        <w:color w:val="0A1D30" w:themeColor="text2" w:themeShade="BF"/>
        <w:sz w:val="24"/>
        <w:szCs w:val="24"/>
      </w:rPr>
      <w:t xml:space="preserve"> | </w:t>
    </w:r>
    <w:r>
      <w:rPr>
        <w:color w:val="0A1D30" w:themeColor="text2" w:themeShade="BF"/>
        <w:sz w:val="24"/>
        <w:szCs w:val="24"/>
      </w:rPr>
      <w:fldChar w:fldCharType="begin"/>
    </w:r>
    <w:r>
      <w:rPr>
        <w:color w:val="0A1D30" w:themeColor="text2" w:themeShade="BF"/>
        <w:sz w:val="24"/>
        <w:szCs w:val="24"/>
      </w:rPr>
      <w:instrText xml:space="preserve"> NUMPAGES  \* Arabic  \* MERGEFORMAT </w:instrText>
    </w:r>
    <w:r>
      <w:rPr>
        <w:color w:val="0A1D30" w:themeColor="text2" w:themeShade="BF"/>
        <w:sz w:val="24"/>
        <w:szCs w:val="24"/>
      </w:rPr>
      <w:fldChar w:fldCharType="separate"/>
    </w:r>
    <w:r>
      <w:rPr>
        <w:noProof/>
        <w:color w:val="0A1D30" w:themeColor="text2" w:themeShade="BF"/>
        <w:sz w:val="24"/>
        <w:szCs w:val="24"/>
      </w:rPr>
      <w:t>1</w:t>
    </w:r>
    <w:r>
      <w:rPr>
        <w:color w:val="0A1D30" w:themeColor="text2" w:themeShade="BF"/>
        <w:sz w:val="24"/>
        <w:szCs w:val="24"/>
      </w:rPr>
      <w:fldChar w:fldCharType="end"/>
    </w:r>
  </w:p>
  <w:p w14:paraId="77D6E0E1" w14:textId="77777777" w:rsidR="00AC4249" w:rsidRDefault="00AC42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68EA10" w14:textId="77777777" w:rsidR="00AC4249" w:rsidRDefault="00AC4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139516" w14:textId="77777777" w:rsidR="00AC20B7" w:rsidRDefault="00AC20B7" w:rsidP="00AC4249">
      <w:pPr>
        <w:spacing w:after="0" w:line="240" w:lineRule="auto"/>
      </w:pPr>
      <w:r>
        <w:separator/>
      </w:r>
    </w:p>
  </w:footnote>
  <w:footnote w:type="continuationSeparator" w:id="0">
    <w:p w14:paraId="45F75EE5" w14:textId="77777777" w:rsidR="00AC20B7" w:rsidRDefault="00AC20B7" w:rsidP="00AC4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D69990" w14:textId="77777777" w:rsidR="00AC4249" w:rsidRDefault="00AC42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4B152" w14:textId="77777777" w:rsidR="00AC4249" w:rsidRDefault="00AC42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E4732" w14:textId="77777777" w:rsidR="00AC4249" w:rsidRDefault="00AC4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D0A1A"/>
    <w:multiLevelType w:val="hybridMultilevel"/>
    <w:tmpl w:val="B00088B2"/>
    <w:lvl w:ilvl="0" w:tplc="D5C0E2D6">
      <w:start w:val="2"/>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1F406B"/>
    <w:multiLevelType w:val="hybridMultilevel"/>
    <w:tmpl w:val="7F36B17E"/>
    <w:lvl w:ilvl="0" w:tplc="B7C22518">
      <w:start w:val="1"/>
      <w:numFmt w:val="upperRoman"/>
      <w:lvlText w:val="%1)"/>
      <w:lvlJc w:val="left"/>
      <w:pPr>
        <w:ind w:left="1530" w:hanging="360"/>
      </w:pPr>
      <w:rPr>
        <w:rFonts w:ascii="Calibri" w:eastAsiaTheme="minorHAnsi" w:hAnsi="Calibri" w:cs="Calibri"/>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AAF1785"/>
    <w:multiLevelType w:val="hybridMultilevel"/>
    <w:tmpl w:val="229AF90E"/>
    <w:lvl w:ilvl="0" w:tplc="D5C0E2D6">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337A2F"/>
    <w:multiLevelType w:val="hybridMultilevel"/>
    <w:tmpl w:val="FC6E8B36"/>
    <w:lvl w:ilvl="0" w:tplc="A84037F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3135A08"/>
    <w:multiLevelType w:val="hybridMultilevel"/>
    <w:tmpl w:val="093242F0"/>
    <w:lvl w:ilvl="0" w:tplc="2478982A">
      <w:start w:val="9"/>
      <w:numFmt w:val="upperLetter"/>
      <w:lvlText w:val="%1)"/>
      <w:lvlJc w:val="left"/>
      <w:pPr>
        <w:ind w:left="171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24592A39"/>
    <w:multiLevelType w:val="hybridMultilevel"/>
    <w:tmpl w:val="1CD0CEFA"/>
    <w:lvl w:ilvl="0" w:tplc="A6929DDA">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5450539"/>
    <w:multiLevelType w:val="hybridMultilevel"/>
    <w:tmpl w:val="94284C2A"/>
    <w:lvl w:ilvl="0" w:tplc="671CF5E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8282F93"/>
    <w:multiLevelType w:val="hybridMultilevel"/>
    <w:tmpl w:val="7368FC9E"/>
    <w:lvl w:ilvl="0" w:tplc="0BC0464E">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AA42010"/>
    <w:multiLevelType w:val="hybridMultilevel"/>
    <w:tmpl w:val="8AEAAFF0"/>
    <w:lvl w:ilvl="0" w:tplc="D3B0C22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E6B007A"/>
    <w:multiLevelType w:val="hybridMultilevel"/>
    <w:tmpl w:val="085C15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71345"/>
    <w:multiLevelType w:val="hybridMultilevel"/>
    <w:tmpl w:val="FCC604F4"/>
    <w:lvl w:ilvl="0" w:tplc="1160DB5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7270075"/>
    <w:multiLevelType w:val="hybridMultilevel"/>
    <w:tmpl w:val="3D5C53FE"/>
    <w:lvl w:ilvl="0" w:tplc="A05A21A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1135F"/>
    <w:multiLevelType w:val="hybridMultilevel"/>
    <w:tmpl w:val="DB54A464"/>
    <w:lvl w:ilvl="0" w:tplc="0BB0A2E0">
      <w:start w:val="2"/>
      <w:numFmt w:val="upperRoman"/>
      <w:lvlText w:val="%1)"/>
      <w:lvlJc w:val="left"/>
      <w:pPr>
        <w:ind w:left="1966" w:hanging="720"/>
      </w:pPr>
      <w:rPr>
        <w:rFonts w:hint="default"/>
      </w:rPr>
    </w:lvl>
    <w:lvl w:ilvl="1" w:tplc="04090019" w:tentative="1">
      <w:start w:val="1"/>
      <w:numFmt w:val="lowerLetter"/>
      <w:lvlText w:val="%2."/>
      <w:lvlJc w:val="left"/>
      <w:pPr>
        <w:ind w:left="2326" w:hanging="360"/>
      </w:pPr>
    </w:lvl>
    <w:lvl w:ilvl="2" w:tplc="0409001B" w:tentative="1">
      <w:start w:val="1"/>
      <w:numFmt w:val="lowerRoman"/>
      <w:lvlText w:val="%3."/>
      <w:lvlJc w:val="right"/>
      <w:pPr>
        <w:ind w:left="3046" w:hanging="180"/>
      </w:pPr>
    </w:lvl>
    <w:lvl w:ilvl="3" w:tplc="0409000F" w:tentative="1">
      <w:start w:val="1"/>
      <w:numFmt w:val="decimal"/>
      <w:lvlText w:val="%4."/>
      <w:lvlJc w:val="left"/>
      <w:pPr>
        <w:ind w:left="3766" w:hanging="360"/>
      </w:pPr>
    </w:lvl>
    <w:lvl w:ilvl="4" w:tplc="04090019" w:tentative="1">
      <w:start w:val="1"/>
      <w:numFmt w:val="lowerLetter"/>
      <w:lvlText w:val="%5."/>
      <w:lvlJc w:val="left"/>
      <w:pPr>
        <w:ind w:left="4486" w:hanging="360"/>
      </w:pPr>
    </w:lvl>
    <w:lvl w:ilvl="5" w:tplc="0409001B" w:tentative="1">
      <w:start w:val="1"/>
      <w:numFmt w:val="lowerRoman"/>
      <w:lvlText w:val="%6."/>
      <w:lvlJc w:val="right"/>
      <w:pPr>
        <w:ind w:left="5206" w:hanging="180"/>
      </w:pPr>
    </w:lvl>
    <w:lvl w:ilvl="6" w:tplc="0409000F" w:tentative="1">
      <w:start w:val="1"/>
      <w:numFmt w:val="decimal"/>
      <w:lvlText w:val="%7."/>
      <w:lvlJc w:val="left"/>
      <w:pPr>
        <w:ind w:left="5926" w:hanging="360"/>
      </w:pPr>
    </w:lvl>
    <w:lvl w:ilvl="7" w:tplc="04090019" w:tentative="1">
      <w:start w:val="1"/>
      <w:numFmt w:val="lowerLetter"/>
      <w:lvlText w:val="%8."/>
      <w:lvlJc w:val="left"/>
      <w:pPr>
        <w:ind w:left="6646" w:hanging="360"/>
      </w:pPr>
    </w:lvl>
    <w:lvl w:ilvl="8" w:tplc="0409001B" w:tentative="1">
      <w:start w:val="1"/>
      <w:numFmt w:val="lowerRoman"/>
      <w:lvlText w:val="%9."/>
      <w:lvlJc w:val="right"/>
      <w:pPr>
        <w:ind w:left="7366" w:hanging="180"/>
      </w:pPr>
    </w:lvl>
  </w:abstractNum>
  <w:abstractNum w:abstractNumId="13" w15:restartNumberingAfterBreak="0">
    <w:nsid w:val="43FD0A70"/>
    <w:multiLevelType w:val="hybridMultilevel"/>
    <w:tmpl w:val="E83A7CCA"/>
    <w:lvl w:ilvl="0" w:tplc="096CF224">
      <w:start w:val="9"/>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44245FF1"/>
    <w:multiLevelType w:val="hybridMultilevel"/>
    <w:tmpl w:val="23361588"/>
    <w:lvl w:ilvl="0" w:tplc="517EA812">
      <w:start w:val="1"/>
      <w:numFmt w:val="upperRoman"/>
      <w:lvlText w:val="%1)"/>
      <w:lvlJc w:val="left"/>
      <w:pPr>
        <w:ind w:left="-311" w:hanging="360"/>
      </w:pPr>
      <w:rPr>
        <w:rFonts w:ascii="Calibri" w:eastAsiaTheme="minorHAnsi" w:hAnsi="Calibri" w:cs="Calibri"/>
      </w:rPr>
    </w:lvl>
    <w:lvl w:ilvl="1" w:tplc="04090019" w:tentative="1">
      <w:start w:val="1"/>
      <w:numFmt w:val="lowerLetter"/>
      <w:lvlText w:val="%2."/>
      <w:lvlJc w:val="left"/>
      <w:pPr>
        <w:ind w:left="409" w:hanging="360"/>
      </w:pPr>
    </w:lvl>
    <w:lvl w:ilvl="2" w:tplc="0409001B" w:tentative="1">
      <w:start w:val="1"/>
      <w:numFmt w:val="lowerRoman"/>
      <w:lvlText w:val="%3."/>
      <w:lvlJc w:val="right"/>
      <w:pPr>
        <w:ind w:left="1129" w:hanging="180"/>
      </w:pPr>
    </w:lvl>
    <w:lvl w:ilvl="3" w:tplc="0409000F" w:tentative="1">
      <w:start w:val="1"/>
      <w:numFmt w:val="decimal"/>
      <w:lvlText w:val="%4."/>
      <w:lvlJc w:val="left"/>
      <w:pPr>
        <w:ind w:left="1849" w:hanging="360"/>
      </w:pPr>
    </w:lvl>
    <w:lvl w:ilvl="4" w:tplc="04090019" w:tentative="1">
      <w:start w:val="1"/>
      <w:numFmt w:val="lowerLetter"/>
      <w:lvlText w:val="%5."/>
      <w:lvlJc w:val="left"/>
      <w:pPr>
        <w:ind w:left="2569" w:hanging="360"/>
      </w:pPr>
    </w:lvl>
    <w:lvl w:ilvl="5" w:tplc="0409001B" w:tentative="1">
      <w:start w:val="1"/>
      <w:numFmt w:val="lowerRoman"/>
      <w:lvlText w:val="%6."/>
      <w:lvlJc w:val="right"/>
      <w:pPr>
        <w:ind w:left="3289" w:hanging="180"/>
      </w:pPr>
    </w:lvl>
    <w:lvl w:ilvl="6" w:tplc="0409000F" w:tentative="1">
      <w:start w:val="1"/>
      <w:numFmt w:val="decimal"/>
      <w:lvlText w:val="%7."/>
      <w:lvlJc w:val="left"/>
      <w:pPr>
        <w:ind w:left="4009" w:hanging="360"/>
      </w:pPr>
    </w:lvl>
    <w:lvl w:ilvl="7" w:tplc="04090019" w:tentative="1">
      <w:start w:val="1"/>
      <w:numFmt w:val="lowerLetter"/>
      <w:lvlText w:val="%8."/>
      <w:lvlJc w:val="left"/>
      <w:pPr>
        <w:ind w:left="4729" w:hanging="360"/>
      </w:pPr>
    </w:lvl>
    <w:lvl w:ilvl="8" w:tplc="0409001B" w:tentative="1">
      <w:start w:val="1"/>
      <w:numFmt w:val="lowerRoman"/>
      <w:lvlText w:val="%9."/>
      <w:lvlJc w:val="right"/>
      <w:pPr>
        <w:ind w:left="5449" w:hanging="180"/>
      </w:pPr>
    </w:lvl>
  </w:abstractNum>
  <w:abstractNum w:abstractNumId="15" w15:restartNumberingAfterBreak="0">
    <w:nsid w:val="4FE41C86"/>
    <w:multiLevelType w:val="hybridMultilevel"/>
    <w:tmpl w:val="B00088B2"/>
    <w:lvl w:ilvl="0" w:tplc="FFFFFFFF">
      <w:start w:val="2"/>
      <w:numFmt w:val="upperRoman"/>
      <w:lvlText w:val="%1)"/>
      <w:lvlJc w:val="left"/>
      <w:pPr>
        <w:ind w:left="1800" w:hanging="72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51032AA9"/>
    <w:multiLevelType w:val="hybridMultilevel"/>
    <w:tmpl w:val="0B5C2540"/>
    <w:lvl w:ilvl="0" w:tplc="8A0EBCF8">
      <w:start w:val="1"/>
      <w:numFmt w:val="upperRoman"/>
      <w:lvlText w:val="%1)"/>
      <w:lvlJc w:val="left"/>
      <w:pPr>
        <w:ind w:left="1620" w:hanging="72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52A53848"/>
    <w:multiLevelType w:val="hybridMultilevel"/>
    <w:tmpl w:val="5EAC4C90"/>
    <w:lvl w:ilvl="0" w:tplc="B34E281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564D17AA"/>
    <w:multiLevelType w:val="hybridMultilevel"/>
    <w:tmpl w:val="2D08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7F7791"/>
    <w:multiLevelType w:val="hybridMultilevel"/>
    <w:tmpl w:val="4FD05974"/>
    <w:lvl w:ilvl="0" w:tplc="51E4295A">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5D7A640B"/>
    <w:multiLevelType w:val="hybridMultilevel"/>
    <w:tmpl w:val="EE9A3B14"/>
    <w:lvl w:ilvl="0" w:tplc="3AEE209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5FF87BB6"/>
    <w:multiLevelType w:val="hybridMultilevel"/>
    <w:tmpl w:val="A41E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3864128">
    <w:abstractNumId w:val="11"/>
  </w:num>
  <w:num w:numId="2" w16cid:durableId="1512524467">
    <w:abstractNumId w:val="9"/>
  </w:num>
  <w:num w:numId="3" w16cid:durableId="2121676350">
    <w:abstractNumId w:val="19"/>
  </w:num>
  <w:num w:numId="4" w16cid:durableId="1120491886">
    <w:abstractNumId w:val="10"/>
  </w:num>
  <w:num w:numId="5" w16cid:durableId="56248186">
    <w:abstractNumId w:val="17"/>
  </w:num>
  <w:num w:numId="6" w16cid:durableId="460153921">
    <w:abstractNumId w:val="3"/>
  </w:num>
  <w:num w:numId="7" w16cid:durableId="1625840753">
    <w:abstractNumId w:val="20"/>
  </w:num>
  <w:num w:numId="8" w16cid:durableId="1306274950">
    <w:abstractNumId w:val="5"/>
  </w:num>
  <w:num w:numId="9" w16cid:durableId="1117604313">
    <w:abstractNumId w:val="1"/>
  </w:num>
  <w:num w:numId="10" w16cid:durableId="1475296750">
    <w:abstractNumId w:val="13"/>
  </w:num>
  <w:num w:numId="11" w16cid:durableId="404032564">
    <w:abstractNumId w:val="0"/>
  </w:num>
  <w:num w:numId="12" w16cid:durableId="841355933">
    <w:abstractNumId w:val="16"/>
  </w:num>
  <w:num w:numId="13" w16cid:durableId="386533623">
    <w:abstractNumId w:val="14"/>
  </w:num>
  <w:num w:numId="14" w16cid:durableId="1699890379">
    <w:abstractNumId w:val="15"/>
  </w:num>
  <w:num w:numId="15" w16cid:durableId="8994539">
    <w:abstractNumId w:val="7"/>
  </w:num>
  <w:num w:numId="16" w16cid:durableId="1666855932">
    <w:abstractNumId w:val="2"/>
  </w:num>
  <w:num w:numId="17" w16cid:durableId="785852542">
    <w:abstractNumId w:val="4"/>
  </w:num>
  <w:num w:numId="18" w16cid:durableId="396904702">
    <w:abstractNumId w:val="12"/>
  </w:num>
  <w:num w:numId="19" w16cid:durableId="35473994">
    <w:abstractNumId w:val="6"/>
  </w:num>
  <w:num w:numId="20" w16cid:durableId="321734705">
    <w:abstractNumId w:val="18"/>
  </w:num>
  <w:num w:numId="21" w16cid:durableId="2048601990">
    <w:abstractNumId w:val="21"/>
  </w:num>
  <w:num w:numId="22" w16cid:durableId="2938741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419"/>
    <w:rsid w:val="00013E4C"/>
    <w:rsid w:val="00027438"/>
    <w:rsid w:val="00046FB4"/>
    <w:rsid w:val="00083E72"/>
    <w:rsid w:val="00097ACB"/>
    <w:rsid w:val="000A3E35"/>
    <w:rsid w:val="000A4EBB"/>
    <w:rsid w:val="000B6114"/>
    <w:rsid w:val="000B7BF1"/>
    <w:rsid w:val="000F07DA"/>
    <w:rsid w:val="00123ECB"/>
    <w:rsid w:val="00124BEC"/>
    <w:rsid w:val="0013242D"/>
    <w:rsid w:val="00136014"/>
    <w:rsid w:val="00142919"/>
    <w:rsid w:val="0014599B"/>
    <w:rsid w:val="001600F7"/>
    <w:rsid w:val="00170595"/>
    <w:rsid w:val="00173B3C"/>
    <w:rsid w:val="00187878"/>
    <w:rsid w:val="001F63FC"/>
    <w:rsid w:val="00230B1F"/>
    <w:rsid w:val="00261D3F"/>
    <w:rsid w:val="002631BB"/>
    <w:rsid w:val="002726F6"/>
    <w:rsid w:val="00273CF3"/>
    <w:rsid w:val="002A55E5"/>
    <w:rsid w:val="002C0A28"/>
    <w:rsid w:val="002D31D3"/>
    <w:rsid w:val="002E22AC"/>
    <w:rsid w:val="002F0A50"/>
    <w:rsid w:val="00312464"/>
    <w:rsid w:val="003516BE"/>
    <w:rsid w:val="003644E7"/>
    <w:rsid w:val="00367E72"/>
    <w:rsid w:val="003B6B5B"/>
    <w:rsid w:val="003B7CA7"/>
    <w:rsid w:val="003D0233"/>
    <w:rsid w:val="003E789E"/>
    <w:rsid w:val="003F429F"/>
    <w:rsid w:val="00407865"/>
    <w:rsid w:val="004372F5"/>
    <w:rsid w:val="004544DB"/>
    <w:rsid w:val="004562AB"/>
    <w:rsid w:val="00465C85"/>
    <w:rsid w:val="00470F0D"/>
    <w:rsid w:val="004911F5"/>
    <w:rsid w:val="0049784B"/>
    <w:rsid w:val="004A7B78"/>
    <w:rsid w:val="004D0D91"/>
    <w:rsid w:val="00504D06"/>
    <w:rsid w:val="005213A9"/>
    <w:rsid w:val="005727B9"/>
    <w:rsid w:val="00576B7B"/>
    <w:rsid w:val="005801E7"/>
    <w:rsid w:val="00585F8C"/>
    <w:rsid w:val="005B0A42"/>
    <w:rsid w:val="005D29F9"/>
    <w:rsid w:val="005F3EFA"/>
    <w:rsid w:val="005F6F08"/>
    <w:rsid w:val="0061358F"/>
    <w:rsid w:val="00627909"/>
    <w:rsid w:val="00630CDC"/>
    <w:rsid w:val="00640C46"/>
    <w:rsid w:val="00653ED4"/>
    <w:rsid w:val="0065422C"/>
    <w:rsid w:val="006562D7"/>
    <w:rsid w:val="006611F9"/>
    <w:rsid w:val="006634D3"/>
    <w:rsid w:val="00683C9C"/>
    <w:rsid w:val="006929F6"/>
    <w:rsid w:val="006C2C51"/>
    <w:rsid w:val="006D6B75"/>
    <w:rsid w:val="00704993"/>
    <w:rsid w:val="00717F5D"/>
    <w:rsid w:val="00760133"/>
    <w:rsid w:val="007703C7"/>
    <w:rsid w:val="00772A28"/>
    <w:rsid w:val="00781C6A"/>
    <w:rsid w:val="00786C32"/>
    <w:rsid w:val="00787475"/>
    <w:rsid w:val="007A5C4C"/>
    <w:rsid w:val="007B162C"/>
    <w:rsid w:val="007B1A40"/>
    <w:rsid w:val="007B5D2B"/>
    <w:rsid w:val="007B7627"/>
    <w:rsid w:val="007D6678"/>
    <w:rsid w:val="00800592"/>
    <w:rsid w:val="008422F7"/>
    <w:rsid w:val="00852B89"/>
    <w:rsid w:val="00877241"/>
    <w:rsid w:val="00897A6F"/>
    <w:rsid w:val="008B3D9E"/>
    <w:rsid w:val="008B68D4"/>
    <w:rsid w:val="008C5B88"/>
    <w:rsid w:val="008E77F7"/>
    <w:rsid w:val="00900166"/>
    <w:rsid w:val="00937635"/>
    <w:rsid w:val="0095229A"/>
    <w:rsid w:val="00952F2B"/>
    <w:rsid w:val="00956511"/>
    <w:rsid w:val="009613A1"/>
    <w:rsid w:val="00963419"/>
    <w:rsid w:val="0097271E"/>
    <w:rsid w:val="009870BA"/>
    <w:rsid w:val="00991CD1"/>
    <w:rsid w:val="009B25B4"/>
    <w:rsid w:val="009C4A57"/>
    <w:rsid w:val="00A0392F"/>
    <w:rsid w:val="00A4089D"/>
    <w:rsid w:val="00A50BA2"/>
    <w:rsid w:val="00A8313E"/>
    <w:rsid w:val="00AA33D6"/>
    <w:rsid w:val="00AC20B7"/>
    <w:rsid w:val="00AC4249"/>
    <w:rsid w:val="00AD714D"/>
    <w:rsid w:val="00AE20FA"/>
    <w:rsid w:val="00AE4424"/>
    <w:rsid w:val="00AE5BBE"/>
    <w:rsid w:val="00AF1CA3"/>
    <w:rsid w:val="00AF4E0B"/>
    <w:rsid w:val="00B04B9F"/>
    <w:rsid w:val="00B0582D"/>
    <w:rsid w:val="00B15BE1"/>
    <w:rsid w:val="00B2119C"/>
    <w:rsid w:val="00B21D60"/>
    <w:rsid w:val="00B62BEA"/>
    <w:rsid w:val="00B719B4"/>
    <w:rsid w:val="00B80836"/>
    <w:rsid w:val="00B8620B"/>
    <w:rsid w:val="00BB32DA"/>
    <w:rsid w:val="00BE63C4"/>
    <w:rsid w:val="00BF49F5"/>
    <w:rsid w:val="00C041D7"/>
    <w:rsid w:val="00C125F1"/>
    <w:rsid w:val="00C12D97"/>
    <w:rsid w:val="00C275A2"/>
    <w:rsid w:val="00C31150"/>
    <w:rsid w:val="00C613A0"/>
    <w:rsid w:val="00CB4E21"/>
    <w:rsid w:val="00CC10CE"/>
    <w:rsid w:val="00CC32AF"/>
    <w:rsid w:val="00CC598A"/>
    <w:rsid w:val="00CF1022"/>
    <w:rsid w:val="00D03A32"/>
    <w:rsid w:val="00D11E6E"/>
    <w:rsid w:val="00D355A5"/>
    <w:rsid w:val="00D70C80"/>
    <w:rsid w:val="00DD2656"/>
    <w:rsid w:val="00DF05E2"/>
    <w:rsid w:val="00E01127"/>
    <w:rsid w:val="00E315CF"/>
    <w:rsid w:val="00E44F22"/>
    <w:rsid w:val="00E756E8"/>
    <w:rsid w:val="00E94D8F"/>
    <w:rsid w:val="00F54836"/>
    <w:rsid w:val="00F6082B"/>
    <w:rsid w:val="00F72A73"/>
    <w:rsid w:val="00F730B1"/>
    <w:rsid w:val="00FA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993EA"/>
  <w15:docId w15:val="{F9DBE8C0-EFB9-4E75-A0FB-1211243E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3C7"/>
  </w:style>
  <w:style w:type="paragraph" w:styleId="Heading1">
    <w:name w:val="heading 1"/>
    <w:basedOn w:val="Normal"/>
    <w:next w:val="Normal"/>
    <w:link w:val="Heading1Char"/>
    <w:uiPriority w:val="9"/>
    <w:qFormat/>
    <w:rsid w:val="0096341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6341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6341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6341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6341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6341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6341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6341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6341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C598A"/>
    <w:pPr>
      <w:framePr w:w="7920" w:h="1980" w:hRule="exact" w:hSpace="180" w:wrap="auto" w:hAnchor="page" w:xAlign="center" w:yAlign="bottom"/>
      <w:spacing w:after="0" w:line="240" w:lineRule="auto"/>
      <w:ind w:left="2880"/>
    </w:pPr>
    <w:rPr>
      <w:rFonts w:ascii="Lucida Calligraphy" w:eastAsiaTheme="majorEastAsia" w:hAnsi="Lucida Calligraphy" w:cstheme="majorBidi"/>
      <w:sz w:val="24"/>
      <w:szCs w:val="24"/>
    </w:rPr>
  </w:style>
  <w:style w:type="character" w:customStyle="1" w:styleId="Heading1Char">
    <w:name w:val="Heading 1 Char"/>
    <w:basedOn w:val="DefaultParagraphFont"/>
    <w:link w:val="Heading1"/>
    <w:uiPriority w:val="9"/>
    <w:rsid w:val="0096341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6341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6341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6341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6341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6341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6341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6341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63419"/>
    <w:rPr>
      <w:rFonts w:eastAsiaTheme="majorEastAsia" w:cstheme="majorBidi"/>
      <w:color w:val="272727" w:themeColor="text1" w:themeTint="D8"/>
    </w:rPr>
  </w:style>
  <w:style w:type="paragraph" w:styleId="Title">
    <w:name w:val="Title"/>
    <w:basedOn w:val="Normal"/>
    <w:next w:val="Normal"/>
    <w:link w:val="TitleChar"/>
    <w:uiPriority w:val="10"/>
    <w:qFormat/>
    <w:rsid w:val="0096341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341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341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6341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63419"/>
    <w:pPr>
      <w:spacing w:before="160"/>
      <w:jc w:val="center"/>
    </w:pPr>
    <w:rPr>
      <w:i/>
      <w:iCs/>
      <w:color w:val="404040" w:themeColor="text1" w:themeTint="BF"/>
    </w:rPr>
  </w:style>
  <w:style w:type="character" w:customStyle="1" w:styleId="QuoteChar">
    <w:name w:val="Quote Char"/>
    <w:basedOn w:val="DefaultParagraphFont"/>
    <w:link w:val="Quote"/>
    <w:uiPriority w:val="29"/>
    <w:rsid w:val="00963419"/>
    <w:rPr>
      <w:i/>
      <w:iCs/>
      <w:color w:val="404040" w:themeColor="text1" w:themeTint="BF"/>
    </w:rPr>
  </w:style>
  <w:style w:type="paragraph" w:styleId="ListParagraph">
    <w:name w:val="List Paragraph"/>
    <w:basedOn w:val="Normal"/>
    <w:uiPriority w:val="34"/>
    <w:qFormat/>
    <w:rsid w:val="00963419"/>
    <w:pPr>
      <w:ind w:left="720"/>
      <w:contextualSpacing/>
    </w:pPr>
  </w:style>
  <w:style w:type="character" w:styleId="IntenseEmphasis">
    <w:name w:val="Intense Emphasis"/>
    <w:basedOn w:val="DefaultParagraphFont"/>
    <w:uiPriority w:val="21"/>
    <w:qFormat/>
    <w:rsid w:val="00963419"/>
    <w:rPr>
      <w:i/>
      <w:iCs/>
      <w:color w:val="0F4761" w:themeColor="accent1" w:themeShade="BF"/>
    </w:rPr>
  </w:style>
  <w:style w:type="paragraph" w:styleId="IntenseQuote">
    <w:name w:val="Intense Quote"/>
    <w:basedOn w:val="Normal"/>
    <w:next w:val="Normal"/>
    <w:link w:val="IntenseQuoteChar"/>
    <w:uiPriority w:val="30"/>
    <w:qFormat/>
    <w:rsid w:val="0096341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63419"/>
    <w:rPr>
      <w:i/>
      <w:iCs/>
      <w:color w:val="0F4761" w:themeColor="accent1" w:themeShade="BF"/>
    </w:rPr>
  </w:style>
  <w:style w:type="character" w:styleId="IntenseReference">
    <w:name w:val="Intense Reference"/>
    <w:basedOn w:val="DefaultParagraphFont"/>
    <w:uiPriority w:val="32"/>
    <w:qFormat/>
    <w:rsid w:val="00963419"/>
    <w:rPr>
      <w:b/>
      <w:bCs/>
      <w:smallCaps/>
      <w:color w:val="0F4761" w:themeColor="accent1" w:themeShade="BF"/>
      <w:spacing w:val="5"/>
    </w:rPr>
  </w:style>
  <w:style w:type="paragraph" w:styleId="Header">
    <w:name w:val="header"/>
    <w:basedOn w:val="Normal"/>
    <w:link w:val="HeaderChar"/>
    <w:uiPriority w:val="99"/>
    <w:unhideWhenUsed/>
    <w:rsid w:val="00AC4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249"/>
  </w:style>
  <w:style w:type="paragraph" w:styleId="Footer">
    <w:name w:val="footer"/>
    <w:basedOn w:val="Normal"/>
    <w:link w:val="FooterChar"/>
    <w:uiPriority w:val="99"/>
    <w:unhideWhenUsed/>
    <w:rsid w:val="00AC4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1798952">
      <w:bodyDiv w:val="1"/>
      <w:marLeft w:val="0"/>
      <w:marRight w:val="0"/>
      <w:marTop w:val="0"/>
      <w:marBottom w:val="0"/>
      <w:divBdr>
        <w:top w:val="none" w:sz="0" w:space="0" w:color="auto"/>
        <w:left w:val="none" w:sz="0" w:space="0" w:color="auto"/>
        <w:bottom w:val="none" w:sz="0" w:space="0" w:color="auto"/>
        <w:right w:val="none" w:sz="0" w:space="0" w:color="auto"/>
      </w:divBdr>
    </w:div>
    <w:div w:id="691304183">
      <w:bodyDiv w:val="1"/>
      <w:marLeft w:val="0"/>
      <w:marRight w:val="0"/>
      <w:marTop w:val="0"/>
      <w:marBottom w:val="0"/>
      <w:divBdr>
        <w:top w:val="none" w:sz="0" w:space="0" w:color="auto"/>
        <w:left w:val="none" w:sz="0" w:space="0" w:color="auto"/>
        <w:bottom w:val="none" w:sz="0" w:space="0" w:color="auto"/>
        <w:right w:val="none" w:sz="0" w:space="0" w:color="auto"/>
      </w:divBdr>
    </w:div>
    <w:div w:id="1615479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22" ma:contentTypeDescription="Create a new document." ma:contentTypeScope="" ma:versionID="c00f43f87363001efbc40a87275c0a37">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1844de7207940b2ae2015fd741702f95"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element ref="ns4:MediaServiceSearchProperties"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element name="DocumentSetDescription" ma:index="3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enumeration value="IAO Leadership Brief"/>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DocumentSetDescription xmlns="http://schemas.microsoft.com/sharepoint/v3" xsi:nil="true"/>
    <_EndDate xmlns="http://schemas.microsoft.com/sharepoint/v3/fields">2024-05-04T21:11:50+00:00</_EndDate>
    <StartDate xmlns="http://schemas.microsoft.com/sharepoint/v3">2024-05-04T21:11:50+00:00</StartDate>
    <Location xmlns="http://schemas.microsoft.com/sharepoint/v3/fields" xsi:nil="true"/>
    <Meeting_x0020_Type xmlns="734dc620-9a3c-4363-b6b2-552d0a5c0ad8" xsi:nil="true"/>
  </documentManagement>
</p:properties>
</file>

<file path=customXml/itemProps1.xml><?xml version="1.0" encoding="utf-8"?>
<ds:datastoreItem xmlns:ds="http://schemas.openxmlformats.org/officeDocument/2006/customXml" ds:itemID="{34AB1CAE-F386-4327-879C-76277A3A4A31}"/>
</file>

<file path=customXml/itemProps2.xml><?xml version="1.0" encoding="utf-8"?>
<ds:datastoreItem xmlns:ds="http://schemas.openxmlformats.org/officeDocument/2006/customXml" ds:itemID="{05502211-F1EA-4505-A220-4F1929003C7E}"/>
</file>

<file path=customXml/itemProps3.xml><?xml version="1.0" encoding="utf-8"?>
<ds:datastoreItem xmlns:ds="http://schemas.openxmlformats.org/officeDocument/2006/customXml" ds:itemID="{2B794FAA-591E-47AB-A874-F90F176034F1}"/>
</file>

<file path=docProps/app.xml><?xml version="1.0" encoding="utf-8"?>
<Properties xmlns="http://schemas.openxmlformats.org/officeDocument/2006/extended-properties" xmlns:vt="http://schemas.openxmlformats.org/officeDocument/2006/docPropsVTypes">
  <Template>Normal.dotm</Template>
  <TotalTime>9</TotalTime>
  <Pages>6</Pages>
  <Words>2474</Words>
  <Characters>14106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Darnell</dc:creator>
  <cp:keywords/>
  <dc:description/>
  <cp:lastModifiedBy>Robert Darnell</cp:lastModifiedBy>
  <cp:revision>3</cp:revision>
  <cp:lastPrinted>2024-04-17T14:32:00Z</cp:lastPrinted>
  <dcterms:created xsi:type="dcterms:W3CDTF">2024-05-02T21:48:00Z</dcterms:created>
  <dcterms:modified xsi:type="dcterms:W3CDTF">2024-05-02T21:59:00Z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ies>
</file>