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F90BB3" w14:textId="0A00DAB6" w:rsidR="00E46D38" w:rsidRDefault="00E46D38">
      <w:r>
        <w:t xml:space="preserve">Missouri </w:t>
      </w:r>
      <w:r w:rsidR="006F265D">
        <w:t xml:space="preserve">prefers the narrow and specific scope under Option 1 and </w:t>
      </w:r>
      <w:r>
        <w:t>will offer the following comments:</w:t>
      </w:r>
    </w:p>
    <w:p w14:paraId="67D9ED0C" w14:textId="77777777" w:rsidR="002F426D" w:rsidRDefault="00E46D38">
      <w:r w:rsidRPr="00E46D38">
        <w:t xml:space="preserve">2A: </w:t>
      </w:r>
    </w:p>
    <w:p w14:paraId="5BE32874" w14:textId="11970E89" w:rsidR="002F426D" w:rsidRDefault="002F426D">
      <w:r>
        <w:t xml:space="preserve">a) </w:t>
      </w:r>
      <w:r w:rsidR="00E46D38">
        <w:t>W</w:t>
      </w:r>
      <w:r w:rsidR="00E46D38" w:rsidRPr="00E46D38">
        <w:t xml:space="preserve">e need to take out the reference to VM-30.  </w:t>
      </w:r>
      <w:r>
        <w:t>E</w:t>
      </w:r>
      <w:r w:rsidR="00E46D38" w:rsidRPr="00E46D38">
        <w:t xml:space="preserve">xempting reinsurance transactions to US reinsurers through this VM-30 reference creates an unlevel playing field for covered agreement reinsurers and could run afoul of the covered agreement. By removing the VM-30 reference we are focusing only on the reinsurance transaction itself regardless of the location of the reinsurer.  </w:t>
      </w:r>
    </w:p>
    <w:p w14:paraId="5E4303D0" w14:textId="15AF244A" w:rsidR="00A15C81" w:rsidRDefault="002F426D">
      <w:r>
        <w:t xml:space="preserve">b) </w:t>
      </w:r>
      <w:r w:rsidR="00E46D38" w:rsidRPr="00E46D38">
        <w:t xml:space="preserve">The size factors are very small so </w:t>
      </w:r>
      <w:r>
        <w:t>we</w:t>
      </w:r>
      <w:r w:rsidR="00E46D38" w:rsidRPr="00E46D38">
        <w:t xml:space="preserve"> suggest increasing them and adding a catch all (5) for small companies that might have transactions that otherwise </w:t>
      </w:r>
      <w:proofErr w:type="gramStart"/>
      <w:r w:rsidR="00E46D38" w:rsidRPr="00E46D38">
        <w:t>not</w:t>
      </w:r>
      <w:proofErr w:type="gramEnd"/>
      <w:r w:rsidR="00E46D38" w:rsidRPr="00E46D38">
        <w:t xml:space="preserve"> hit the transaction size but still be material to them.</w:t>
      </w:r>
      <w:r>
        <w:t xml:space="preserve"> The revision is summarized below:</w:t>
      </w:r>
    </w:p>
    <w:p w14:paraId="5E01922F" w14:textId="25C6E7AB" w:rsidR="002F426D" w:rsidRDefault="002F426D">
      <w:r w:rsidRPr="002F426D">
        <w:rPr>
          <w:noProof/>
        </w:rPr>
        <w:drawing>
          <wp:inline distT="0" distB="0" distL="0" distR="0" wp14:anchorId="0F8257B0" wp14:editId="06527E60">
            <wp:extent cx="5210175" cy="1345565"/>
            <wp:effectExtent l="0" t="0" r="9525" b="6985"/>
            <wp:docPr id="12808563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134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282632" w14:textId="3698E5B3" w:rsidR="002F426D" w:rsidRDefault="002F426D">
      <w:r>
        <w:t xml:space="preserve">c) Reserve credit is determined irrespective of the amount of fund withheld. We suggest </w:t>
      </w:r>
      <w:proofErr w:type="gramStart"/>
      <w:r>
        <w:t>remove</w:t>
      </w:r>
      <w:proofErr w:type="gramEnd"/>
      <w:r>
        <w:t xml:space="preserve"> the reference to fund withheld in the scope criteria.</w:t>
      </w:r>
    </w:p>
    <w:p w14:paraId="07FBB650" w14:textId="5026E929" w:rsidR="006F265D" w:rsidRDefault="006F265D">
      <w:r>
        <w:t xml:space="preserve">2B: We suggest deleting the verbiage in </w:t>
      </w:r>
      <w:proofErr w:type="gramStart"/>
      <w:r>
        <w:t>B(</w:t>
      </w:r>
      <w:proofErr w:type="gramEnd"/>
      <w:r>
        <w:t xml:space="preserve">1) and B(2), which appears to be redundant. LATF can add additional guidance to significant collectability risk as it </w:t>
      </w:r>
      <w:r w:rsidR="00F61B4A">
        <w:t>sees</w:t>
      </w:r>
      <w:r>
        <w:t xml:space="preserve"> fit.</w:t>
      </w:r>
    </w:p>
    <w:p w14:paraId="44D93E1E" w14:textId="77777777" w:rsidR="007C2327" w:rsidRDefault="007C2327"/>
    <w:p w14:paraId="36DDCA55" w14:textId="77777777" w:rsidR="007C2327" w:rsidRDefault="007C2327"/>
    <w:p w14:paraId="47EC3D4B" w14:textId="77777777" w:rsidR="007C2327" w:rsidRDefault="007C2327"/>
    <w:p w14:paraId="68A2F5FA" w14:textId="77777777" w:rsidR="007C2327" w:rsidRDefault="007C2327"/>
    <w:p w14:paraId="372EC5E9" w14:textId="77777777" w:rsidR="007C2327" w:rsidRDefault="007C2327"/>
    <w:p w14:paraId="681A4EF5" w14:textId="77777777" w:rsidR="007C2327" w:rsidRDefault="007C2327"/>
    <w:p w14:paraId="37913BAB" w14:textId="77777777" w:rsidR="007C2327" w:rsidRDefault="007C2327"/>
    <w:p w14:paraId="0B6A860B" w14:textId="77777777" w:rsidR="007C2327" w:rsidRDefault="007C2327"/>
    <w:p w14:paraId="28B1A0E3" w14:textId="77777777" w:rsidR="007C2327" w:rsidRDefault="007C2327"/>
    <w:p w14:paraId="6287F799" w14:textId="77777777" w:rsidR="007C2327" w:rsidRDefault="007C2327"/>
    <w:p w14:paraId="50BED881" w14:textId="77777777" w:rsidR="007C2327" w:rsidRDefault="007C2327"/>
    <w:p w14:paraId="325D7DA6" w14:textId="77777777" w:rsidR="007C2327" w:rsidRDefault="007C2327"/>
    <w:p w14:paraId="608F881A" w14:textId="77777777" w:rsidR="007C2327" w:rsidRDefault="007C2327"/>
    <w:p w14:paraId="1CECB0B9" w14:textId="77777777" w:rsidR="007C2327" w:rsidRDefault="007C2327" w:rsidP="007C2327">
      <w:pPr>
        <w:rPr>
          <w:rFonts w:ascii="Calibri" w:hAnsi="Calibri"/>
        </w:rPr>
      </w:pPr>
      <w:r>
        <w:lastRenderedPageBreak/>
        <w:t>2. Scope</w:t>
      </w:r>
    </w:p>
    <w:p w14:paraId="3F44599C" w14:textId="77777777" w:rsidR="007C2327" w:rsidRDefault="007C2327" w:rsidP="007C2327">
      <w:r>
        <w:rPr>
          <w:b/>
          <w:bCs/>
        </w:rPr>
        <w:t>OPTION 1:</w:t>
      </w:r>
      <w:r>
        <w:t xml:space="preserve"> Narrow scope, some analysis expected for all treaties in the scope</w:t>
      </w:r>
    </w:p>
    <w:p w14:paraId="3C2E9C8D" w14:textId="77777777" w:rsidR="007C2327" w:rsidRDefault="007C2327" w:rsidP="007C2327"/>
    <w:p w14:paraId="63388FC2" w14:textId="77777777" w:rsidR="007C2327" w:rsidRDefault="007C2327" w:rsidP="007C2327">
      <w:r>
        <w:t>This Guideline shall apply to all life insurers with:</w:t>
      </w:r>
    </w:p>
    <w:p w14:paraId="0BEFEAB5" w14:textId="77777777" w:rsidR="007C2327" w:rsidRDefault="007C2327" w:rsidP="007C2327">
      <w:r>
        <w:t xml:space="preserve">A. Reinsurance ceded to entities </w:t>
      </w:r>
      <w:r>
        <w:rPr>
          <w:strike/>
        </w:rPr>
        <w:t>that are not required to submit a VM-30 memorandum to US state regulators in</w:t>
      </w:r>
      <w:r>
        <w:t xml:space="preserve"> </w:t>
      </w:r>
      <w:proofErr w:type="gramStart"/>
      <w:r>
        <w:rPr>
          <w:b/>
          <w:bCs/>
          <w:color w:val="FF0000"/>
        </w:rPr>
        <w:t>for</w:t>
      </w:r>
      <w:proofErr w:type="gramEnd"/>
      <w:r>
        <w:t xml:space="preserve"> treaties established 1/1/2016 or later that meet any of the criteria determined </w:t>
      </w:r>
      <w:r w:rsidRPr="00E567FD">
        <w:rPr>
          <w:strike/>
        </w:rPr>
        <w:t>by</w:t>
      </w:r>
      <w:r>
        <w:t xml:space="preserve"> </w:t>
      </w:r>
      <w:r w:rsidRPr="00E567FD">
        <w:rPr>
          <w:color w:val="FF0000"/>
        </w:rPr>
        <w:t xml:space="preserve">for each </w:t>
      </w:r>
      <w:r>
        <w:t>counterparty in subsections (1) through (</w:t>
      </w:r>
      <w:r>
        <w:rPr>
          <w:strike/>
        </w:rPr>
        <w:t>4</w:t>
      </w:r>
      <w:r>
        <w:rPr>
          <w:b/>
          <w:bCs/>
          <w:color w:val="FF0000"/>
        </w:rPr>
        <w:t>5</w:t>
      </w:r>
      <w:r>
        <w:t>) below:</w:t>
      </w:r>
    </w:p>
    <w:p w14:paraId="0E0BE472" w14:textId="77777777" w:rsidR="007C2327" w:rsidRPr="00E567FD" w:rsidRDefault="007C2327" w:rsidP="007C2327">
      <w:pPr>
        <w:rPr>
          <w:strike/>
        </w:rPr>
      </w:pPr>
      <w:r>
        <w:t xml:space="preserve">(1) In excess of $5 billion of </w:t>
      </w:r>
      <w:r w:rsidRPr="003144E4">
        <w:rPr>
          <w:color w:val="FF0000"/>
        </w:rPr>
        <w:t>combined</w:t>
      </w:r>
      <w:r>
        <w:t xml:space="preserve"> reserve credit </w:t>
      </w:r>
      <w:commentRangeStart w:id="0"/>
      <w:r w:rsidRPr="00E567FD">
        <w:rPr>
          <w:strike/>
        </w:rPr>
        <w:t xml:space="preserve">or funds withheld </w:t>
      </w:r>
      <w:proofErr w:type="gramStart"/>
      <w:r w:rsidRPr="00E567FD">
        <w:rPr>
          <w:strike/>
        </w:rPr>
        <w:t xml:space="preserve">or </w:t>
      </w:r>
      <w:r w:rsidRPr="003144E4">
        <w:rPr>
          <w:color w:val="FF0000"/>
        </w:rPr>
        <w:t>and</w:t>
      </w:r>
      <w:proofErr w:type="gramEnd"/>
      <w:r>
        <w:rPr>
          <w:strike/>
        </w:rPr>
        <w:t xml:space="preserve"> </w:t>
      </w:r>
      <w:r w:rsidRPr="003144E4">
        <w:t>modified coinsurance reserve</w:t>
      </w:r>
      <w:commentRangeEnd w:id="0"/>
      <w:r w:rsidRPr="003144E4">
        <w:rPr>
          <w:rStyle w:val="CommentReference"/>
        </w:rPr>
        <w:commentReference w:id="0"/>
      </w:r>
      <w:r w:rsidRPr="003144E4">
        <w:rPr>
          <w:color w:val="FF0000"/>
        </w:rPr>
        <w:t xml:space="preserve"> ceded</w:t>
      </w:r>
    </w:p>
    <w:p w14:paraId="79478FD9" w14:textId="77777777" w:rsidR="007C2327" w:rsidRDefault="007C2327" w:rsidP="007C2327">
      <w:r>
        <w:t>(2) Combined reserve credit</w:t>
      </w:r>
      <w:r w:rsidRPr="001F7E9B">
        <w:rPr>
          <w:strike/>
        </w:rPr>
        <w:t>, funds withheld</w:t>
      </w:r>
      <w:r>
        <w:t xml:space="preserve">, and modified coinsurance reserve </w:t>
      </w:r>
      <w:r w:rsidRPr="001F7E9B">
        <w:rPr>
          <w:color w:val="FF0000"/>
        </w:rPr>
        <w:t>ceded</w:t>
      </w:r>
      <w:r>
        <w:t xml:space="preserve"> </w:t>
      </w:r>
      <w:proofErr w:type="gramStart"/>
      <w:r>
        <w:t>in excess of</w:t>
      </w:r>
      <w:proofErr w:type="gramEnd"/>
      <w:r>
        <w:t>:</w:t>
      </w:r>
    </w:p>
    <w:p w14:paraId="49667F01" w14:textId="77777777" w:rsidR="007C2327" w:rsidRDefault="007C2327" w:rsidP="007C2327">
      <w:r>
        <w:t>     (a) $1 billion and</w:t>
      </w:r>
    </w:p>
    <w:p w14:paraId="7C2316E9" w14:textId="77777777" w:rsidR="007C2327" w:rsidRDefault="007C2327" w:rsidP="007C2327">
      <w:r>
        <w:t xml:space="preserve">     (b) </w:t>
      </w:r>
      <w:commentRangeStart w:id="1"/>
      <w:r>
        <w:rPr>
          <w:strike/>
        </w:rPr>
        <w:t>2</w:t>
      </w:r>
      <w:r>
        <w:rPr>
          <w:b/>
          <w:bCs/>
          <w:color w:val="FF0000"/>
        </w:rPr>
        <w:t>5</w:t>
      </w:r>
      <w:commentRangeEnd w:id="1"/>
      <w:r>
        <w:rPr>
          <w:rStyle w:val="CommentReference"/>
        </w:rPr>
        <w:commentReference w:id="1"/>
      </w:r>
      <w:r>
        <w:t xml:space="preserve">% of ceding company </w:t>
      </w:r>
      <w:commentRangeStart w:id="2"/>
      <w:r w:rsidRPr="00E567FD">
        <w:rPr>
          <w:strike/>
        </w:rPr>
        <w:t xml:space="preserve">gross </w:t>
      </w:r>
      <w:commentRangeEnd w:id="2"/>
      <w:r>
        <w:rPr>
          <w:rStyle w:val="CommentReference"/>
        </w:rPr>
        <w:commentReference w:id="2"/>
      </w:r>
      <w:r>
        <w:t>Exhibit 5 gross life insurance plus gross annuity reserves</w:t>
      </w:r>
    </w:p>
    <w:p w14:paraId="6932E8C5" w14:textId="77777777" w:rsidR="007C2327" w:rsidRDefault="007C2327" w:rsidP="007C2327">
      <w:r>
        <w:t>(3) Combined reserve credit</w:t>
      </w:r>
      <w:r w:rsidRPr="001F7E9B">
        <w:rPr>
          <w:strike/>
        </w:rPr>
        <w:t>, funds withheld</w:t>
      </w:r>
      <w:r>
        <w:t xml:space="preserve">, and modified coinsurance reserve </w:t>
      </w:r>
      <w:r w:rsidRPr="001F7E9B">
        <w:rPr>
          <w:color w:val="FF0000"/>
        </w:rPr>
        <w:t>ceded</w:t>
      </w:r>
      <w:r>
        <w:t xml:space="preserve"> </w:t>
      </w:r>
      <w:proofErr w:type="gramStart"/>
      <w:r>
        <w:t>in excess of</w:t>
      </w:r>
      <w:proofErr w:type="gramEnd"/>
      <w:r>
        <w:t>:</w:t>
      </w:r>
    </w:p>
    <w:p w14:paraId="6118BEC8" w14:textId="77777777" w:rsidR="007C2327" w:rsidRDefault="007C2327" w:rsidP="007C2327">
      <w:r>
        <w:t>     (a) $</w:t>
      </w:r>
      <w:r>
        <w:rPr>
          <w:strike/>
        </w:rPr>
        <w:t>1</w:t>
      </w:r>
      <w:r>
        <w:rPr>
          <w:b/>
          <w:bCs/>
          <w:color w:val="FF0000"/>
        </w:rPr>
        <w:t>5</w:t>
      </w:r>
      <w:r>
        <w:t>00 million and</w:t>
      </w:r>
    </w:p>
    <w:p w14:paraId="0D5BEA1B" w14:textId="77777777" w:rsidR="007C2327" w:rsidRDefault="007C2327" w:rsidP="007C2327">
      <w:r>
        <w:t xml:space="preserve">     (b) 10% of ceding company </w:t>
      </w:r>
      <w:r w:rsidRPr="001F7E9B">
        <w:rPr>
          <w:strike/>
        </w:rPr>
        <w:t>gross</w:t>
      </w:r>
      <w:r w:rsidRPr="001F7E9B">
        <w:t xml:space="preserve"> </w:t>
      </w:r>
      <w:r>
        <w:t>Exhibit 5 gross life insurance plus gross annuity</w:t>
      </w:r>
    </w:p>
    <w:p w14:paraId="1A30D36B" w14:textId="77777777" w:rsidR="007C2327" w:rsidRDefault="007C2327" w:rsidP="007C2327">
      <w:r>
        <w:t>     reserves</w:t>
      </w:r>
    </w:p>
    <w:p w14:paraId="5E2B7FE5" w14:textId="77777777" w:rsidR="007C2327" w:rsidRDefault="007C2327" w:rsidP="007C2327">
      <w:r>
        <w:t xml:space="preserve">(4) Combined reserve credit, </w:t>
      </w:r>
      <w:r w:rsidRPr="003A3F1C">
        <w:rPr>
          <w:strike/>
        </w:rPr>
        <w:t>funds withheld</w:t>
      </w:r>
      <w:r>
        <w:t xml:space="preserve">, and modified coinsurance reserve </w:t>
      </w:r>
      <w:proofErr w:type="gramStart"/>
      <w:r>
        <w:t>in excess of</w:t>
      </w:r>
      <w:proofErr w:type="gramEnd"/>
      <w:r>
        <w:t>:</w:t>
      </w:r>
    </w:p>
    <w:p w14:paraId="45D64DBB" w14:textId="77777777" w:rsidR="007C2327" w:rsidRDefault="007C2327" w:rsidP="007C2327">
      <w:r>
        <w:t>     (a) $10</w:t>
      </w:r>
      <w:r>
        <w:rPr>
          <w:b/>
          <w:bCs/>
          <w:color w:val="FF0000"/>
        </w:rPr>
        <w:t>0</w:t>
      </w:r>
      <w:r>
        <w:t xml:space="preserve"> million and</w:t>
      </w:r>
    </w:p>
    <w:p w14:paraId="4970DB18" w14:textId="77777777" w:rsidR="007C2327" w:rsidRDefault="007C2327" w:rsidP="007C2327">
      <w:r>
        <w:t xml:space="preserve">     (b) 20% of ceding company </w:t>
      </w:r>
      <w:r w:rsidRPr="003A3F1C">
        <w:rPr>
          <w:strike/>
        </w:rPr>
        <w:t>gross</w:t>
      </w:r>
      <w:r>
        <w:t xml:space="preserve"> Exhibit 5 gross life insurance plus gross annuity reserves</w:t>
      </w:r>
    </w:p>
    <w:p w14:paraId="09921199" w14:textId="77777777" w:rsidR="007C2327" w:rsidRDefault="007C2327" w:rsidP="007C2327">
      <w:pPr>
        <w:rPr>
          <w:b/>
          <w:bCs/>
          <w:color w:val="FF0000"/>
        </w:rPr>
      </w:pPr>
      <w:r>
        <w:rPr>
          <w:b/>
          <w:bCs/>
          <w:color w:val="FF0000"/>
        </w:rPr>
        <w:t>(5) Combined reserve credit</w:t>
      </w:r>
      <w:r w:rsidRPr="001F7E9B">
        <w:rPr>
          <w:b/>
          <w:bCs/>
          <w:strike/>
          <w:color w:val="FF0000"/>
        </w:rPr>
        <w:t>, funds withheld</w:t>
      </w:r>
      <w:r>
        <w:rPr>
          <w:b/>
          <w:bCs/>
          <w:color w:val="FF0000"/>
        </w:rPr>
        <w:t xml:space="preserve">, and modified coinsurance reserve ceded </w:t>
      </w:r>
      <w:proofErr w:type="gramStart"/>
      <w:r>
        <w:rPr>
          <w:b/>
          <w:bCs/>
          <w:color w:val="FF0000"/>
        </w:rPr>
        <w:t>in excess of</w:t>
      </w:r>
      <w:proofErr w:type="gramEnd"/>
      <w:r>
        <w:rPr>
          <w:b/>
          <w:bCs/>
          <w:color w:val="FF0000"/>
        </w:rPr>
        <w:t xml:space="preserve"> 50% of ceding company </w:t>
      </w:r>
      <w:r w:rsidRPr="001F7E9B">
        <w:rPr>
          <w:b/>
          <w:bCs/>
          <w:strike/>
          <w:color w:val="FF0000"/>
        </w:rPr>
        <w:t>gross</w:t>
      </w:r>
      <w:r>
        <w:rPr>
          <w:b/>
          <w:bCs/>
          <w:color w:val="FF0000"/>
        </w:rPr>
        <w:t xml:space="preserve"> Exhibit 5 gross life insurance plus gross annuity </w:t>
      </w:r>
      <w:commentRangeStart w:id="3"/>
      <w:r>
        <w:rPr>
          <w:b/>
          <w:bCs/>
          <w:color w:val="FF0000"/>
        </w:rPr>
        <w:t>reserves</w:t>
      </w:r>
      <w:commentRangeEnd w:id="3"/>
      <w:r>
        <w:rPr>
          <w:rStyle w:val="CommentReference"/>
        </w:rPr>
        <w:commentReference w:id="3"/>
      </w:r>
    </w:p>
    <w:p w14:paraId="43B9C0F2" w14:textId="77777777" w:rsidR="007C2327" w:rsidRDefault="007C2327" w:rsidP="007C2327"/>
    <w:p w14:paraId="482BDDC1" w14:textId="77777777" w:rsidR="007C2327" w:rsidRDefault="007C2327" w:rsidP="007C2327">
      <w:pPr>
        <w:rPr>
          <w:color w:val="FF0000"/>
        </w:rPr>
      </w:pPr>
      <w:r>
        <w:t xml:space="preserve">B. Reinsurance ceded to entities, regardless of treaty establishment date, that results in significant reinsurance collectability risk </w:t>
      </w:r>
    </w:p>
    <w:p w14:paraId="55E706C9" w14:textId="77777777" w:rsidR="007C2327" w:rsidRDefault="007C2327" w:rsidP="007C2327">
      <w:pPr>
        <w:rPr>
          <w:strike/>
        </w:rPr>
      </w:pPr>
      <w:r>
        <w:rPr>
          <w:strike/>
        </w:rPr>
        <w:t>(1) For year-end 2025, significant reinsurance collectability risk is determined according to</w:t>
      </w:r>
    </w:p>
    <w:p w14:paraId="1AFC2669" w14:textId="77777777" w:rsidR="007C2327" w:rsidRDefault="007C2327" w:rsidP="007C2327">
      <w:pPr>
        <w:rPr>
          <w:strike/>
        </w:rPr>
      </w:pPr>
      <w:proofErr w:type="gramStart"/>
      <w:r>
        <w:rPr>
          <w:strike/>
        </w:rPr>
        <w:t>the</w:t>
      </w:r>
      <w:proofErr w:type="gramEnd"/>
      <w:r>
        <w:rPr>
          <w:strike/>
        </w:rPr>
        <w:t xml:space="preserve"> judgment of the ceding company’s Appointed Actuary</w:t>
      </w:r>
    </w:p>
    <w:p w14:paraId="565A585E" w14:textId="77777777" w:rsidR="007C2327" w:rsidRDefault="007C2327" w:rsidP="007C2327">
      <w:pPr>
        <w:rPr>
          <w:strike/>
        </w:rPr>
      </w:pPr>
      <w:r>
        <w:rPr>
          <w:strike/>
        </w:rPr>
        <w:t>(2) For year-end 2026, [placeholder for more objective guidance?]</w:t>
      </w:r>
    </w:p>
    <w:p w14:paraId="62FD0043" w14:textId="77777777" w:rsidR="007C2327" w:rsidRDefault="007C2327" w:rsidP="007C2327"/>
    <w:p w14:paraId="1EFFFCAF" w14:textId="77777777" w:rsidR="007C2327" w:rsidRDefault="007C2327" w:rsidP="007C2327">
      <w:pPr>
        <w:rPr>
          <w:strike/>
        </w:rPr>
      </w:pPr>
      <w:r>
        <w:rPr>
          <w:strike/>
        </w:rPr>
        <w:t xml:space="preserve">OPTION 2: Broader scope for the AG, details on whether analysis is expected </w:t>
      </w:r>
      <w:proofErr w:type="gramStart"/>
      <w:r>
        <w:rPr>
          <w:strike/>
        </w:rPr>
        <w:t>is</w:t>
      </w:r>
      <w:proofErr w:type="gramEnd"/>
      <w:r>
        <w:rPr>
          <w:strike/>
        </w:rPr>
        <w:t xml:space="preserve"> contained in the</w:t>
      </w:r>
    </w:p>
    <w:p w14:paraId="5D8D8017" w14:textId="77777777" w:rsidR="007C2327" w:rsidRDefault="007C2327" w:rsidP="007C2327">
      <w:pPr>
        <w:rPr>
          <w:strike/>
        </w:rPr>
      </w:pPr>
      <w:r>
        <w:rPr>
          <w:strike/>
        </w:rPr>
        <w:t>Analysis sections</w:t>
      </w:r>
    </w:p>
    <w:p w14:paraId="1877ED3E" w14:textId="77777777" w:rsidR="007C2327" w:rsidRDefault="007C2327" w:rsidP="007C2327">
      <w:pPr>
        <w:rPr>
          <w:strike/>
        </w:rPr>
      </w:pPr>
    </w:p>
    <w:p w14:paraId="4BD512CE" w14:textId="77777777" w:rsidR="007C2327" w:rsidRDefault="007C2327" w:rsidP="007C2327">
      <w:pPr>
        <w:rPr>
          <w:strike/>
        </w:rPr>
      </w:pPr>
      <w:r>
        <w:rPr>
          <w:strike/>
        </w:rPr>
        <w:t>This Guideline shall apply to all life insurers with combined reserve credit, funds withheld, and</w:t>
      </w:r>
    </w:p>
    <w:p w14:paraId="483F33EA" w14:textId="77777777" w:rsidR="007C2327" w:rsidRDefault="007C2327" w:rsidP="007C2327">
      <w:pPr>
        <w:rPr>
          <w:strike/>
        </w:rPr>
      </w:pPr>
      <w:r>
        <w:rPr>
          <w:strike/>
        </w:rPr>
        <w:t xml:space="preserve">modified coinsurance reserve in excess </w:t>
      </w:r>
      <w:proofErr w:type="gramStart"/>
      <w:r>
        <w:rPr>
          <w:strike/>
        </w:rPr>
        <w:t>of:</w:t>
      </w:r>
      <w:proofErr w:type="gramEnd"/>
      <w:r>
        <w:rPr>
          <w:strike/>
        </w:rPr>
        <w:t xml:space="preserve"> $10 million or 20% of ceding company gross Exhibit 5</w:t>
      </w:r>
    </w:p>
    <w:p w14:paraId="3BB771FF" w14:textId="77777777" w:rsidR="007C2327" w:rsidRDefault="007C2327" w:rsidP="007C2327">
      <w:pPr>
        <w:rPr>
          <w:strike/>
        </w:rPr>
      </w:pPr>
      <w:r>
        <w:rPr>
          <w:strike/>
        </w:rPr>
        <w:t>gross life insurance plus gross annuity reserves.</w:t>
      </w:r>
    </w:p>
    <w:p w14:paraId="079D2340" w14:textId="77777777" w:rsidR="007C2327" w:rsidRDefault="007C2327" w:rsidP="007C2327">
      <w:pPr>
        <w:rPr>
          <w:rFonts w:ascii="Calibri" w:hAnsi="Calibri"/>
          <w:b/>
          <w:bCs/>
        </w:rPr>
      </w:pPr>
    </w:p>
    <w:p w14:paraId="2D9DE1D0" w14:textId="77777777" w:rsidR="007C2327" w:rsidRDefault="007C2327"/>
    <w:sectPr w:rsidR="007C23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Leung, William" w:date="2024-09-10T15:51:00Z" w:initials="LW">
    <w:p w14:paraId="325DF909" w14:textId="77777777" w:rsidR="007C2327" w:rsidRDefault="007C2327" w:rsidP="007C2327">
      <w:pPr>
        <w:pStyle w:val="CommentText"/>
      </w:pPr>
      <w:r>
        <w:rPr>
          <w:rStyle w:val="CommentReference"/>
        </w:rPr>
        <w:annotationRef/>
      </w:r>
      <w:r>
        <w:t>Is reserve credit and modified coinsurance reserve ceded sufficient in this criteria? Why are funds withheld considered? Same question for items (2) to (5).</w:t>
      </w:r>
    </w:p>
  </w:comment>
  <w:comment w:id="1" w:author="Leung, William" w:date="2024-09-10T16:27:00Z" w:initials="LW">
    <w:p w14:paraId="5A279D3E" w14:textId="77777777" w:rsidR="007C2327" w:rsidRDefault="007C2327" w:rsidP="007C2327">
      <w:pPr>
        <w:pStyle w:val="CommentText"/>
      </w:pPr>
      <w:r>
        <w:rPr>
          <w:rStyle w:val="CommentReference"/>
        </w:rPr>
        <w:annotationRef/>
      </w:r>
      <w:r>
        <w:t>2% of gross reserve appears to be too small, suggest increasing to 5%.</w:t>
      </w:r>
    </w:p>
  </w:comment>
  <w:comment w:id="2" w:author="Leung, William" w:date="2024-09-10T15:54:00Z" w:initials="LW">
    <w:p w14:paraId="3CC83E99" w14:textId="77777777" w:rsidR="007C2327" w:rsidRDefault="007C2327" w:rsidP="007C2327">
      <w:pPr>
        <w:pStyle w:val="CommentText"/>
      </w:pPr>
      <w:r>
        <w:rPr>
          <w:rStyle w:val="CommentReference"/>
        </w:rPr>
        <w:annotationRef/>
      </w:r>
      <w:r>
        <w:t>The word “gross” appears to be redundant.</w:t>
      </w:r>
    </w:p>
  </w:comment>
  <w:comment w:id="3" w:author="Leung, William" w:date="2024-09-11T08:45:00Z" w:initials="LW">
    <w:p w14:paraId="69163CB6" w14:textId="77777777" w:rsidR="007C2327" w:rsidRDefault="007C2327" w:rsidP="007C2327">
      <w:pPr>
        <w:pStyle w:val="CommentText"/>
      </w:pPr>
      <w:r>
        <w:rPr>
          <w:rStyle w:val="CommentReference"/>
        </w:rPr>
        <w:annotationRef/>
      </w:r>
      <w:r>
        <w:t>This implies reserve credit between 20% and 50% of gross reserve while reserve credit is less than 100 million is out of scope.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325DF909" w15:done="0"/>
  <w15:commentEx w15:paraId="5A279D3E" w15:done="0"/>
  <w15:commentEx w15:paraId="3CC83E99" w15:done="0"/>
  <w15:commentEx w15:paraId="69163CB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A8AE97B" w16cex:dateUtc="2024-09-10T20:51:00Z"/>
  <w16cex:commentExtensible w16cex:durableId="2A8AF20B" w16cex:dateUtc="2024-09-10T21:27:00Z"/>
  <w16cex:commentExtensible w16cex:durableId="2A8AEA4E" w16cex:dateUtc="2024-09-10T20:54:00Z"/>
  <w16cex:commentExtensible w16cex:durableId="2A8BD721" w16cex:dateUtc="2024-09-11T13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25DF909" w16cid:durableId="2A8AE97B"/>
  <w16cid:commentId w16cid:paraId="5A279D3E" w16cid:durableId="2A8AF20B"/>
  <w16cid:commentId w16cid:paraId="3CC83E99" w16cid:durableId="2A8AEA4E"/>
  <w16cid:commentId w16cid:paraId="69163CB6" w16cid:durableId="2A8BD72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Leung, William">
    <w15:presenceInfo w15:providerId="AD" w15:userId="S::leungw@ads.state.mo.us::11d12618-5cd8-4255-b201-04b95242e1a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D38"/>
    <w:rsid w:val="00025B0A"/>
    <w:rsid w:val="002C1104"/>
    <w:rsid w:val="002F426D"/>
    <w:rsid w:val="00487E6B"/>
    <w:rsid w:val="006F265D"/>
    <w:rsid w:val="007C2327"/>
    <w:rsid w:val="00A15C81"/>
    <w:rsid w:val="00E46D38"/>
    <w:rsid w:val="00F6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68C3E"/>
  <w15:chartTrackingRefBased/>
  <w15:docId w15:val="{AD99EF56-ADC8-4D87-8F47-AD847003C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3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2327"/>
    <w:pPr>
      <w:spacing w:after="0" w:line="240" w:lineRule="auto"/>
    </w:pPr>
    <w:rPr>
      <w:rFonts w:ascii="Aptos" w:hAnsi="Aptos" w:cs="Calibri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2327"/>
    <w:rPr>
      <w:rFonts w:ascii="Aptos" w:hAnsi="Aptos" w:cs="Calibri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8/08/relationships/commentsExtensible" Target="commentsExtensible.xml"/><Relationship Id="rId5" Type="http://schemas.openxmlformats.org/officeDocument/2006/relationships/settings" Target="settings.xml"/><Relationship Id="rId10" Type="http://schemas.microsoft.com/office/2016/09/relationships/commentsIds" Target="commentsIds.xml"/><Relationship Id="rId4" Type="http://schemas.openxmlformats.org/officeDocument/2006/relationships/styles" Target="style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9e15a3-223f-4584-afb1-1dbe0b3878fa" xsi:nil="true"/>
    <lcf76f155ced4ddcb4097134ff3c332f xmlns="55eb7663-75cc-4f64-9609-52561375e7a6">
      <Terms xmlns="http://schemas.microsoft.com/office/infopath/2007/PartnerControls"/>
    </lcf76f155ced4ddcb4097134ff3c332f>
    <DocumentSetDescription xmlns="http://schemas.microsoft.com/sharepoint/v3" xsi:nil="true"/>
    <_EndDate xmlns="http://schemas.microsoft.com/sharepoint/v3/fields">2024-10-04T00:29:38+00:00</_EndDate>
    <StartDate xmlns="http://schemas.microsoft.com/sharepoint/v3">2024-10-04T00:29:38+00:00</StartDate>
    <Location xmlns="http://schemas.microsoft.com/sharepoint/v3/fields" xsi:nil="true"/>
    <Meeting_x0020_Type xmlns="734dc620-9a3c-4363-b6b2-552d0a5c0ad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6674D47D81254AAE898D727025BAAD" ma:contentTypeVersion="22" ma:contentTypeDescription="Create a new document." ma:contentTypeScope="" ma:versionID="c00f43f87363001efbc40a87275c0a37">
  <xsd:schema xmlns:xsd="http://www.w3.org/2001/XMLSchema" xmlns:xs="http://www.w3.org/2001/XMLSchema" xmlns:p="http://schemas.microsoft.com/office/2006/metadata/properties" xmlns:ns1="http://schemas.microsoft.com/sharepoint/v3" xmlns:ns2="734dc620-9a3c-4363-b6b2-552d0a5c0ad8" xmlns:ns3="http://schemas.microsoft.com/sharepoint/v3/fields" xmlns:ns4="55eb7663-75cc-4f64-9609-52561375e7a6" xmlns:ns5="3c9e15a3-223f-4584-afb1-1dbe0b3878fa" targetNamespace="http://schemas.microsoft.com/office/2006/metadata/properties" ma:root="true" ma:fieldsID="1844de7207940b2ae2015fd741702f95" ns1:_="" ns2:_="" ns3:_="" ns4:_="" ns5:_="">
    <xsd:import namespace="http://schemas.microsoft.com/sharepoint/v3"/>
    <xsd:import namespace="734dc620-9a3c-4363-b6b2-552d0a5c0ad8"/>
    <xsd:import namespace="http://schemas.microsoft.com/sharepoint/v3/fields"/>
    <xsd:import namespace="55eb7663-75cc-4f64-9609-52561375e7a6"/>
    <xsd:import namespace="3c9e15a3-223f-4584-afb1-1dbe0b3878fa"/>
    <xsd:element name="properties">
      <xsd:complexType>
        <xsd:sequence>
          <xsd:element name="documentManagement">
            <xsd:complexType>
              <xsd:all>
                <xsd:element ref="ns2:Meeting_x0020_Type" minOccurs="0"/>
                <xsd:element ref="ns1:StartDate" minOccurs="0"/>
                <xsd:element ref="ns3:_EndDate" minOccurs="0"/>
                <xsd:element ref="ns3:Loca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1:DocumentSe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9" nillable="true" ma:displayName="Start Date" ma:default="[today]" ma:format="DateOnly" ma:indexed="true" ma:internalName="StartDate">
      <xsd:simpleType>
        <xsd:restriction base="dms:DateTime"/>
      </xsd:simpleType>
    </xsd:element>
    <xsd:element name="DocumentSetDescription" ma:index="30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dc620-9a3c-4363-b6b2-552d0a5c0ad8" elementFormDefault="qualified">
    <xsd:import namespace="http://schemas.microsoft.com/office/2006/documentManagement/types"/>
    <xsd:import namespace="http://schemas.microsoft.com/office/infopath/2007/PartnerControls"/>
    <xsd:element name="Meeting_x0020_Type" ma:index="8" nillable="true" ma:displayName="Meeting Type" ma:format="Dropdown" ma:internalName="Meeting_x0020_Type" ma:readOnly="false">
      <xsd:simpleType>
        <xsd:union memberTypes="dms:Text">
          <xsd:simpleType>
            <xsd:restriction base="dms:Choice">
              <xsd:enumeration value="Commissioners' Conference"/>
              <xsd:enumeration value="Fall National"/>
              <xsd:enumeration value="Insurance Summit"/>
              <xsd:enumeration value="Leadership Forum"/>
              <xsd:enumeration value="Mid-Year ExCo and RT"/>
              <xsd:enumeration value="Spring National"/>
              <xsd:enumeration value="Summer National"/>
              <xsd:enumeration value="IAO Leadership Brief"/>
            </xsd:restriction>
          </xsd:simpleType>
        </xsd:un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10" nillable="true" ma:displayName="End Date" ma:default="[today]" ma:format="DateOnly" ma:internalName="_EndDate">
      <xsd:simpleType>
        <xsd:restriction base="dms:DateTime"/>
      </xsd:simpleType>
    </xsd:element>
    <xsd:element name="Location" ma:index="11" nillable="true" ma:displayName="Location" ma:internalName="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b7663-75cc-4f64-9609-52561375e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28e0220-fee2-4e32-9192-0559fdf47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e15a3-223f-4584-afb1-1dbe0b3878fa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1fe78a2-4e71-403c-bd98-a83249bb9193}" ma:internalName="TaxCatchAll" ma:showField="CatchAllData" ma:web="734dc620-9a3c-4363-b6b2-552d0a5c0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B8442F-2AD9-4A15-B5C7-67553A5B94B9}">
  <ds:schemaRefs>
    <ds:schemaRef ds:uri="http://schemas.microsoft.com/office/2006/metadata/properties"/>
    <ds:schemaRef ds:uri="http://schemas.microsoft.com/office/infopath/2007/PartnerControls"/>
    <ds:schemaRef ds:uri="3c9e15a3-223f-4584-afb1-1dbe0b3878fa"/>
    <ds:schemaRef ds:uri="55eb7663-75cc-4f64-9609-52561375e7a6"/>
    <ds:schemaRef ds:uri="http://schemas.microsoft.com/sharepoint/v3"/>
    <ds:schemaRef ds:uri="http://schemas.microsoft.com/sharepoint/v3/fields"/>
    <ds:schemaRef ds:uri="734dc620-9a3c-4363-b6b2-552d0a5c0ad8"/>
  </ds:schemaRefs>
</ds:datastoreItem>
</file>

<file path=customXml/itemProps2.xml><?xml version="1.0" encoding="utf-8"?>
<ds:datastoreItem xmlns:ds="http://schemas.openxmlformats.org/officeDocument/2006/customXml" ds:itemID="{FB4C4BE3-0B9D-4B90-B239-9C6125A9FA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AA78F1-8445-47F5-9A61-FDC6EE0FF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4dc620-9a3c-4363-b6b2-552d0a5c0ad8"/>
    <ds:schemaRef ds:uri="http://schemas.microsoft.com/sharepoint/v3/fields"/>
    <ds:schemaRef ds:uri="55eb7663-75cc-4f64-9609-52561375e7a6"/>
    <ds:schemaRef ds:uri="3c9e15a3-223f-4584-afb1-1dbe0b387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Leung, William</dc:creator>
  <cp:keywords/>
  <dc:description/>
  <cp:lastModifiedBy>O'Neal, Scott</cp:lastModifiedBy>
  <cp:revision>3</cp:revision>
  <dcterms:created xsi:type="dcterms:W3CDTF">2024-10-03T17:59:00Z</dcterms:created>
  <dcterms:modified xsi:type="dcterms:W3CDTF">2024-10-10T13:00:00Z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0x010100376674D47D81254AAE898D727025BAAD</vt:lpwstr>
  </property>
  <property fmtid="{D5CDD505-2E9C-101B-9397-08002B2CF9AE}" pid="3" name="MediaServiceImageTags">
    <vt:lpwstr/>
  </property>
</Properties>
</file>