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1440" w14:textId="78581F84" w:rsidR="00F84899" w:rsidRPr="003727DD" w:rsidRDefault="00CE5BA1" w:rsidP="00CE5BA1">
      <w:pPr>
        <w:spacing w:after="0" w:line="240" w:lineRule="auto"/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3727DD">
        <w:rPr>
          <w:rFonts w:ascii="Avenir Next LT Pro" w:hAnsi="Avenir Next LT Pro"/>
          <w:b/>
          <w:bCs/>
          <w:sz w:val="24"/>
          <w:szCs w:val="24"/>
        </w:rPr>
        <w:t>Generator of Economic Scenarios (GOES)</w:t>
      </w:r>
      <w:r w:rsidR="00054B3E" w:rsidRPr="003727DD">
        <w:rPr>
          <w:rFonts w:ascii="Avenir Next LT Pro" w:hAnsi="Avenir Next LT Pro"/>
          <w:b/>
          <w:bCs/>
          <w:sz w:val="24"/>
          <w:szCs w:val="24"/>
        </w:rPr>
        <w:t xml:space="preserve"> 2024 Field Test</w:t>
      </w:r>
    </w:p>
    <w:p w14:paraId="7F436058" w14:textId="77777777" w:rsidR="00054B3E" w:rsidRPr="003727DD" w:rsidRDefault="00054B3E" w:rsidP="005C7373">
      <w:pPr>
        <w:spacing w:after="0" w:line="240" w:lineRule="auto"/>
        <w:jc w:val="center"/>
        <w:rPr>
          <w:rFonts w:ascii="Avenir Next LT Pro" w:hAnsi="Avenir Next LT Pro"/>
          <w:b/>
          <w:bCs/>
          <w:sz w:val="24"/>
          <w:szCs w:val="24"/>
        </w:rPr>
      </w:pPr>
    </w:p>
    <w:p w14:paraId="2E2C6413" w14:textId="666BAB98" w:rsidR="00DB5AD8" w:rsidRDefault="00EE7D83" w:rsidP="005C7373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ED29D1">
        <w:rPr>
          <w:rFonts w:ascii="Avenir Next LT Pro" w:hAnsi="Avenir Next LT Pro" w:cs="Calibri"/>
          <w:b/>
          <w:bCs/>
          <w:color w:val="000000"/>
        </w:rPr>
        <w:t>Overview</w:t>
      </w:r>
    </w:p>
    <w:p w14:paraId="4D838DBA" w14:textId="77777777" w:rsidR="00ED29D1" w:rsidRDefault="00ED29D1" w:rsidP="005C7373">
      <w:pPr>
        <w:spacing w:after="0" w:line="240" w:lineRule="auto"/>
        <w:rPr>
          <w:rFonts w:ascii="Avenir Next LT Pro" w:hAnsi="Avenir Next LT Pro" w:cs="Calibri"/>
          <w:b/>
          <w:bCs/>
          <w:color w:val="000000"/>
        </w:rPr>
      </w:pPr>
    </w:p>
    <w:p w14:paraId="2DE87264" w14:textId="2D1BD502" w:rsidR="00ED29D1" w:rsidRDefault="00DC6672" w:rsidP="005C7373">
      <w:pPr>
        <w:spacing w:after="0" w:line="240" w:lineRule="auto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>The NAIC is conducti</w:t>
      </w:r>
      <w:r w:rsidR="001F5376">
        <w:rPr>
          <w:rFonts w:ascii="Avenir Next LT Pro" w:hAnsi="Avenir Next LT Pro" w:cs="Calibri"/>
          <w:color w:val="000000"/>
        </w:rPr>
        <w:t>ng</w:t>
      </w:r>
      <w:r>
        <w:rPr>
          <w:rFonts w:ascii="Avenir Next LT Pro" w:hAnsi="Avenir Next LT Pro" w:cs="Calibri"/>
          <w:color w:val="000000"/>
        </w:rPr>
        <w:t xml:space="preserve"> a </w:t>
      </w:r>
      <w:r w:rsidR="00CC1444">
        <w:rPr>
          <w:rFonts w:ascii="Avenir Next LT Pro" w:hAnsi="Avenir Next LT Pro" w:cs="Calibri"/>
          <w:color w:val="000000"/>
        </w:rPr>
        <w:t xml:space="preserve">second-round </w:t>
      </w:r>
      <w:r>
        <w:rPr>
          <w:rFonts w:ascii="Avenir Next LT Pro" w:hAnsi="Avenir Next LT Pro" w:cs="Calibri"/>
          <w:color w:val="000000"/>
        </w:rPr>
        <w:t xml:space="preserve">field test of </w:t>
      </w:r>
      <w:r w:rsidR="00932DC6">
        <w:rPr>
          <w:rFonts w:ascii="Avenir Next LT Pro" w:hAnsi="Avenir Next LT Pro" w:cs="Calibri"/>
          <w:color w:val="000000"/>
        </w:rPr>
        <w:t xml:space="preserve">a new calibration of the </w:t>
      </w:r>
      <w:r w:rsidR="00D8097D">
        <w:rPr>
          <w:rFonts w:ascii="Avenir Next LT Pro" w:hAnsi="Avenir Next LT Pro" w:cs="Calibri"/>
          <w:color w:val="000000"/>
        </w:rPr>
        <w:t xml:space="preserve">generator of economic scenarios (GOES). </w:t>
      </w:r>
      <w:r w:rsidR="00CC1444">
        <w:rPr>
          <w:rFonts w:ascii="Avenir Next LT Pro" w:hAnsi="Avenir Next LT Pro" w:cs="Calibri"/>
          <w:color w:val="000000"/>
        </w:rPr>
        <w:t xml:space="preserve">Unlike the first field test in 2022, the results will not be aggregated and shared publicly. Instead, </w:t>
      </w:r>
      <w:r w:rsidR="00E95CEA">
        <w:rPr>
          <w:rFonts w:ascii="Avenir Next LT Pro" w:hAnsi="Avenir Next LT Pro" w:cs="Calibri"/>
          <w:color w:val="000000"/>
        </w:rPr>
        <w:t>field test participants will present their results</w:t>
      </w:r>
      <w:r w:rsidR="00195EE5">
        <w:rPr>
          <w:rFonts w:ascii="Avenir Next LT Pro" w:hAnsi="Avenir Next LT Pro" w:cs="Calibri"/>
          <w:color w:val="000000"/>
        </w:rPr>
        <w:t xml:space="preserve"> in confidential, regulator-only sessions</w:t>
      </w:r>
      <w:r w:rsidR="007251D5">
        <w:rPr>
          <w:rFonts w:ascii="Avenir Next LT Pro" w:hAnsi="Avenir Next LT Pro" w:cs="Calibri"/>
          <w:color w:val="000000"/>
        </w:rPr>
        <w:t>. Model office testing of the field test scenarios will also be performed by Oliver Wyman and the NAIC</w:t>
      </w:r>
      <w:r w:rsidR="00C45642">
        <w:rPr>
          <w:rFonts w:ascii="Avenir Next LT Pro" w:hAnsi="Avenir Next LT Pro" w:cs="Calibri"/>
          <w:color w:val="000000"/>
        </w:rPr>
        <w:t xml:space="preserve"> to allow for public dissemination of the potential impacts to life insurance and annuity statutory reserves and capital.</w:t>
      </w:r>
    </w:p>
    <w:p w14:paraId="09DDA185" w14:textId="77777777" w:rsidR="004545AF" w:rsidRDefault="004545AF" w:rsidP="005618AF">
      <w:pPr>
        <w:spacing w:after="0"/>
        <w:rPr>
          <w:rFonts w:ascii="Avenir Next LT Pro" w:hAnsi="Avenir Next LT Pro" w:cs="Calibri"/>
          <w:color w:val="000000"/>
        </w:rPr>
      </w:pPr>
    </w:p>
    <w:p w14:paraId="34667C00" w14:textId="302C16A4" w:rsidR="00021573" w:rsidRPr="00021573" w:rsidRDefault="00307EB0" w:rsidP="00021573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307EB0">
        <w:rPr>
          <w:rFonts w:ascii="Avenir Next LT Pro" w:hAnsi="Avenir Next LT Pro" w:cs="Calibri"/>
          <w:b/>
          <w:bCs/>
          <w:color w:val="000000"/>
        </w:rPr>
        <w:t>Field Test Scenario Sets</w:t>
      </w:r>
    </w:p>
    <w:p w14:paraId="665A07C1" w14:textId="77777777" w:rsidR="003358F7" w:rsidRDefault="003358F7" w:rsidP="005618AF">
      <w:pPr>
        <w:spacing w:after="0"/>
        <w:rPr>
          <w:rFonts w:ascii="Avenir Next LT Pro" w:hAnsi="Avenir Next LT Pro" w:cs="Calibri"/>
          <w:b/>
          <w:bCs/>
          <w:color w:val="000000"/>
        </w:rPr>
      </w:pPr>
    </w:p>
    <w:p w14:paraId="4CD8EF66" w14:textId="546A782A" w:rsidR="00021573" w:rsidRDefault="001A3290" w:rsidP="005618AF">
      <w:pPr>
        <w:spacing w:after="0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 xml:space="preserve">The field test will include four different scenario sets, with an additional </w:t>
      </w:r>
      <w:proofErr w:type="spellStart"/>
      <w:r w:rsidR="00B631A9">
        <w:rPr>
          <w:rFonts w:ascii="Avenir Next LT Pro" w:hAnsi="Avenir Next LT Pro" w:cs="Calibri"/>
          <w:color w:val="000000"/>
        </w:rPr>
        <w:t>inforce</w:t>
      </w:r>
      <w:proofErr w:type="spellEnd"/>
      <w:r w:rsidR="00B631A9">
        <w:rPr>
          <w:rFonts w:ascii="Avenir Next LT Pro" w:hAnsi="Avenir Next LT Pro" w:cs="Calibri"/>
          <w:color w:val="000000"/>
        </w:rPr>
        <w:t xml:space="preserve"> sensitivity for VUL products and business subject to VM-21/C3 Phase II. </w:t>
      </w:r>
      <w:proofErr w:type="gramStart"/>
      <w:r w:rsidR="00B631A9">
        <w:rPr>
          <w:rFonts w:ascii="Avenir Next LT Pro" w:hAnsi="Avenir Next LT Pro" w:cs="Calibri"/>
          <w:color w:val="000000"/>
        </w:rPr>
        <w:t>All</w:t>
      </w:r>
      <w:r w:rsidR="00B41D59">
        <w:rPr>
          <w:rFonts w:ascii="Avenir Next LT Pro" w:hAnsi="Avenir Next LT Pro" w:cs="Calibri"/>
          <w:color w:val="000000"/>
        </w:rPr>
        <w:t xml:space="preserve"> of</w:t>
      </w:r>
      <w:proofErr w:type="gramEnd"/>
      <w:r w:rsidR="00B41D59">
        <w:rPr>
          <w:rFonts w:ascii="Avenir Next LT Pro" w:hAnsi="Avenir Next LT Pro" w:cs="Calibri"/>
          <w:color w:val="000000"/>
        </w:rPr>
        <w:t xml:space="preserve"> the field test runs will be mandatory (with the exception of field test 5 for business not in scope).</w:t>
      </w:r>
      <w:r w:rsidR="006A4043">
        <w:rPr>
          <w:rFonts w:ascii="Avenir Next LT Pro" w:hAnsi="Avenir Next LT Pro" w:cs="Calibri"/>
          <w:color w:val="000000"/>
        </w:rPr>
        <w:t xml:space="preserve"> </w:t>
      </w:r>
      <w:r w:rsidR="00715110" w:rsidRPr="00715110">
        <w:rPr>
          <w:rFonts w:ascii="Avenir Next LT Pro" w:hAnsi="Avenir Next LT Pro" w:cs="Calibri"/>
          <w:color w:val="000000"/>
        </w:rPr>
        <w:t xml:space="preserve">For </w:t>
      </w:r>
      <w:r w:rsidR="0029442F">
        <w:rPr>
          <w:rFonts w:ascii="Avenir Next LT Pro" w:hAnsi="Avenir Next LT Pro" w:cs="Calibri"/>
          <w:color w:val="000000"/>
        </w:rPr>
        <w:t>field test runs 2-5</w:t>
      </w:r>
      <w:r w:rsidR="00715110" w:rsidRPr="00715110">
        <w:rPr>
          <w:rFonts w:ascii="Avenir Next LT Pro" w:hAnsi="Avenir Next LT Pro" w:cs="Calibri"/>
          <w:color w:val="000000"/>
        </w:rPr>
        <w:t xml:space="preserve">, participants may need to make appropriate adjustments to their </w:t>
      </w:r>
      <w:proofErr w:type="spellStart"/>
      <w:r w:rsidR="00715110" w:rsidRPr="00715110">
        <w:rPr>
          <w:rFonts w:ascii="Avenir Next LT Pro" w:hAnsi="Avenir Next LT Pro" w:cs="Calibri"/>
          <w:color w:val="000000"/>
        </w:rPr>
        <w:t>inforce</w:t>
      </w:r>
      <w:proofErr w:type="spellEnd"/>
      <w:r w:rsidR="00715110" w:rsidRPr="00715110">
        <w:rPr>
          <w:rFonts w:ascii="Avenir Next LT Pro" w:hAnsi="Avenir Next LT Pro" w:cs="Calibri"/>
          <w:color w:val="000000"/>
        </w:rPr>
        <w:t xml:space="preserve"> assets and/or liabilities. The field test does not require that participants perform these adjustments in a certain fashion, rather, it is expected that participants will take advantage of existing processes for </w:t>
      </w:r>
      <w:r w:rsidR="001D5227">
        <w:rPr>
          <w:rFonts w:ascii="Avenir Next LT Pro" w:hAnsi="Avenir Next LT Pro" w:cs="Calibri"/>
          <w:color w:val="000000"/>
        </w:rPr>
        <w:t>sensitivity analysis.</w:t>
      </w:r>
    </w:p>
    <w:p w14:paraId="67D339AD" w14:textId="77777777" w:rsidR="006A4043" w:rsidRPr="00021573" w:rsidRDefault="006A4043" w:rsidP="005618AF">
      <w:pPr>
        <w:spacing w:after="0"/>
        <w:rPr>
          <w:rFonts w:ascii="Avenir Next LT Pro" w:hAnsi="Avenir Next LT Pro" w:cs="Calibri"/>
          <w:color w:val="000000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041"/>
        <w:gridCol w:w="3797"/>
        <w:gridCol w:w="2352"/>
        <w:gridCol w:w="2070"/>
      </w:tblGrid>
      <w:tr w:rsidR="00BA7DC2" w14:paraId="17F45919" w14:textId="084B4FCA" w:rsidTr="00BA7DC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5CBAD1" w14:textId="4DAD5DFB" w:rsidR="00BA7DC2" w:rsidRDefault="00BA7DC2" w:rsidP="00F76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Field Test Run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7B5115" w14:textId="77777777" w:rsidR="00BA7DC2" w:rsidRDefault="00BA7DC2" w:rsidP="00F76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Scenario Sets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E26054" w14:textId="77777777" w:rsidR="00BA7DC2" w:rsidRDefault="00BA7DC2" w:rsidP="00F761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Inforce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Assets and Liabilities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40BD64" w14:textId="75A07054" w:rsidR="00BA7DC2" w:rsidRDefault="00BA7DC2" w:rsidP="00F76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Comparison Scenario Set</w:t>
            </w:r>
          </w:p>
        </w:tc>
      </w:tr>
      <w:tr w:rsidR="00BA7DC2" w14:paraId="1285AD44" w14:textId="6AAE8A54" w:rsidTr="00BA7DC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DAE4" w14:textId="25261769" w:rsidR="00BA7DC2" w:rsidRDefault="00BA7DC2">
            <w:r>
              <w:t>Baseline</w:t>
            </w:r>
          </w:p>
          <w:p w14:paraId="7F7C2940" w14:textId="77777777" w:rsidR="00BA7DC2" w:rsidRDefault="00BA7DC2">
            <w:r>
              <w:t>Already exists; no new runs needed.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86F1" w14:textId="23C6FA0B" w:rsidR="00BA7DC2" w:rsidRDefault="00BA7DC2" w:rsidP="00BC74A8">
            <w:r>
              <w:t>Scenario set(s) the company used for 12/31/23 statutory reporting of reserves and RBC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ADC9" w14:textId="15F85FE1" w:rsidR="00BA7DC2" w:rsidRDefault="00BA7DC2" w:rsidP="00BC74A8">
            <w:r>
              <w:t>As of 12/31/23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306" w14:textId="5E20A899" w:rsidR="00BA7DC2" w:rsidRDefault="00BA7DC2" w:rsidP="00BA7DC2">
            <w:pPr>
              <w:jc w:val="center"/>
            </w:pPr>
            <w:r>
              <w:t>N/A</w:t>
            </w:r>
          </w:p>
        </w:tc>
      </w:tr>
      <w:tr w:rsidR="00BA7DC2" w14:paraId="6E4BFDB0" w14:textId="53C9C658" w:rsidTr="00BA7DC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AAB" w14:textId="60F042BB" w:rsidR="00BA7DC2" w:rsidRDefault="00BA7DC2">
            <w:r>
              <w:t>Field Test 1</w:t>
            </w:r>
          </w:p>
          <w:p w14:paraId="28EFC81B" w14:textId="77777777" w:rsidR="00BA7DC2" w:rsidRDefault="00BA7DC2">
            <w:pPr>
              <w:rPr>
                <w:u w:val="single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8050" w14:textId="2F84892F" w:rsidR="00BA7DC2" w:rsidRDefault="00BA7DC2" w:rsidP="00BC74A8">
            <w:r>
              <w:t>Conning scenarios as of 12/31/23.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41FF" w14:textId="052C3FA9" w:rsidR="00BA7DC2" w:rsidRDefault="00BA7DC2" w:rsidP="00BC74A8">
            <w:r>
              <w:t>As of 12/31/23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DA6" w14:textId="47611D0E" w:rsidR="00BA7DC2" w:rsidRDefault="00BA7DC2" w:rsidP="00BA7DC2">
            <w:pPr>
              <w:jc w:val="center"/>
            </w:pPr>
            <w:r>
              <w:t>Baseline</w:t>
            </w:r>
          </w:p>
        </w:tc>
      </w:tr>
      <w:tr w:rsidR="00BA7DC2" w14:paraId="49069B2D" w14:textId="4C71C7C9" w:rsidTr="00F601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C82" w14:textId="4134B839" w:rsidR="00BA7DC2" w:rsidRDefault="00BA7DC2">
            <w:r>
              <w:t xml:space="preserve">Field Test 2 – </w:t>
            </w:r>
            <w:proofErr w:type="gramStart"/>
            <w:r>
              <w:t>Low Rate</w:t>
            </w:r>
            <w:proofErr w:type="gramEnd"/>
            <w:r>
              <w:t xml:space="preserve"> Shock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42D" w14:textId="2892E265" w:rsidR="00BA7DC2" w:rsidRDefault="00BA7DC2" w:rsidP="00BC74A8">
            <w:r>
              <w:t>Conning scenarios with a starting UST yield curve as of 3/9/20 but with 12/31/23 starting credit spreads.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55C1" w14:textId="65EBC85A" w:rsidR="00BA7DC2" w:rsidRDefault="00BA7DC2" w:rsidP="00BC74A8">
            <w:r>
              <w:t>As of 12/31/23, but modified as necessary for a different starting UST yield curve.</w:t>
            </w:r>
          </w:p>
          <w:p w14:paraId="2C516118" w14:textId="53D7D3E5" w:rsidR="00BA7DC2" w:rsidRDefault="00BA7DC2" w:rsidP="00BC74A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34DF" w14:textId="0326F9A4" w:rsidR="00BA7DC2" w:rsidRDefault="00BA7DC2" w:rsidP="00BA7DC2">
            <w:pPr>
              <w:jc w:val="center"/>
            </w:pPr>
            <w:r>
              <w:t>Field Test 1</w:t>
            </w:r>
          </w:p>
        </w:tc>
      </w:tr>
      <w:tr w:rsidR="00BA7DC2" w14:paraId="3E3E6D10" w14:textId="569B3A75" w:rsidTr="00F601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99A" w14:textId="6B3737EA" w:rsidR="00BA7DC2" w:rsidRDefault="00BA7DC2">
            <w:r>
              <w:t>Field Test 3 – Up Rate Shock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CAFE" w14:textId="7D99C871" w:rsidR="00BA7DC2" w:rsidRDefault="00BA7DC2" w:rsidP="00BC74A8">
            <w:r>
              <w:t>Conning scenarios with a starting UST yield curve as of 10/31/89 but with 12/31/23 starting credit spreads.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4823" w14:textId="39BA3E28" w:rsidR="00BA7DC2" w:rsidRDefault="00BA7DC2" w:rsidP="00BC74A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867A" w14:textId="6EA7A95B" w:rsidR="00BA7DC2" w:rsidRDefault="00BA7DC2" w:rsidP="00BA7DC2">
            <w:pPr>
              <w:jc w:val="center"/>
            </w:pPr>
            <w:r>
              <w:t>Field Test 1</w:t>
            </w:r>
          </w:p>
        </w:tc>
      </w:tr>
      <w:tr w:rsidR="00BA7DC2" w14:paraId="787F6195" w14:textId="5A19C658" w:rsidTr="00F601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9AA" w14:textId="26693ED0" w:rsidR="00BA7DC2" w:rsidRDefault="00BA7DC2">
            <w:r>
              <w:t>Field Test 4 – Normal Yield Curve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B" w14:textId="26E5DE2A" w:rsidR="00BA7DC2" w:rsidRDefault="00BA7DC2" w:rsidP="00BC74A8">
            <w:r>
              <w:t>Conning scenarios with a starting UST yield curve as of 12/31/04 but with 12/31/23 starting credit spreads.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E4A" w14:textId="40ACAE80" w:rsidR="00BA7DC2" w:rsidRDefault="00BA7DC2" w:rsidP="00BC74A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F782" w14:textId="1AA0BB25" w:rsidR="00BA7DC2" w:rsidRDefault="00BA7DC2" w:rsidP="00BA7DC2">
            <w:pPr>
              <w:jc w:val="center"/>
            </w:pPr>
            <w:r>
              <w:t>Field Test 1</w:t>
            </w:r>
          </w:p>
        </w:tc>
      </w:tr>
      <w:tr w:rsidR="00BA7DC2" w14:paraId="20690D0B" w14:textId="50561263" w:rsidTr="00BA7DC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3F1" w14:textId="0C512E57" w:rsidR="00BA7DC2" w:rsidRDefault="00BA7DC2">
            <w:r>
              <w:t>Field Test 5 – Down Equity Shock (VM-21/C3P2 and VUL business only)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073" w14:textId="4AC1BC0B" w:rsidR="00BA7DC2" w:rsidRDefault="00BA7DC2" w:rsidP="00BC74A8">
            <w:r>
              <w:t>Conning scenarios as of 12/31/23 (same as Field Test 1)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14D5" w14:textId="2DFDB7BF" w:rsidR="00BA7DC2" w:rsidRDefault="00BA7DC2" w:rsidP="00BC74A8">
            <w:r>
              <w:t xml:space="preserve">As of </w:t>
            </w:r>
            <w:proofErr w:type="gramStart"/>
            <w:r>
              <w:t>12/31/23, but</w:t>
            </w:r>
            <w:proofErr w:type="gramEnd"/>
            <w:r>
              <w:t xml:space="preserve"> modified for a 25% drop in equity markets.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9D7" w14:textId="1F130974" w:rsidR="00BA7DC2" w:rsidRDefault="00BA7DC2" w:rsidP="00BA7DC2">
            <w:pPr>
              <w:jc w:val="center"/>
            </w:pPr>
            <w:r>
              <w:t>Field Test 1</w:t>
            </w:r>
          </w:p>
        </w:tc>
      </w:tr>
    </w:tbl>
    <w:p w14:paraId="44A4703E" w14:textId="77777777" w:rsidR="005618AF" w:rsidRPr="005618AF" w:rsidRDefault="005618AF" w:rsidP="003358F7">
      <w:pPr>
        <w:rPr>
          <w:rFonts w:ascii="Avenir Next LT Pro" w:hAnsi="Avenir Next LT Pro" w:cs="Calibri"/>
          <w:color w:val="000000"/>
        </w:rPr>
      </w:pPr>
    </w:p>
    <w:p w14:paraId="20A594F4" w14:textId="77777777" w:rsidR="00D12DB0" w:rsidRDefault="00D12DB0" w:rsidP="00D12DB0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B721A5">
        <w:rPr>
          <w:rFonts w:ascii="Avenir Next LT Pro" w:hAnsi="Avenir Next LT Pro" w:cs="Calibri"/>
          <w:b/>
          <w:bCs/>
          <w:color w:val="000000"/>
        </w:rPr>
        <w:lastRenderedPageBreak/>
        <w:t>Timeline</w:t>
      </w:r>
    </w:p>
    <w:p w14:paraId="0B50141C" w14:textId="77777777" w:rsidR="00D12DB0" w:rsidRDefault="00D12DB0" w:rsidP="00D12DB0">
      <w:pPr>
        <w:spacing w:after="0"/>
        <w:rPr>
          <w:rFonts w:ascii="Avenir Next LT Pro" w:hAnsi="Avenir Next LT Pro" w:cs="Calibri"/>
          <w:color w:val="000000"/>
        </w:rPr>
      </w:pPr>
    </w:p>
    <w:p w14:paraId="6770712B" w14:textId="3D0C3BBE" w:rsidR="003358F7" w:rsidRDefault="00D12DB0" w:rsidP="000559B8">
      <w:pPr>
        <w:spacing w:after="0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 xml:space="preserve">A meeting of the GOES (E/A) Subgroup will be held on </w:t>
      </w:r>
      <w:proofErr w:type="gramStart"/>
      <w:r>
        <w:rPr>
          <w:rFonts w:ascii="Avenir Next LT Pro" w:hAnsi="Avenir Next LT Pro" w:cs="Calibri"/>
          <w:color w:val="000000"/>
        </w:rPr>
        <w:t>March,</w:t>
      </w:r>
      <w:proofErr w:type="gramEnd"/>
      <w:r>
        <w:rPr>
          <w:rFonts w:ascii="Avenir Next LT Pro" w:hAnsi="Avenir Next LT Pro" w:cs="Calibri"/>
          <w:color w:val="000000"/>
        </w:rPr>
        <w:t xml:space="preserve"> 27</w:t>
      </w:r>
      <w:r w:rsidRPr="00EE3A06">
        <w:rPr>
          <w:rFonts w:ascii="Avenir Next LT Pro" w:hAnsi="Avenir Next LT Pro" w:cs="Calibri"/>
          <w:color w:val="000000"/>
          <w:vertAlign w:val="superscript"/>
        </w:rPr>
        <w:t>th</w:t>
      </w:r>
      <w:r>
        <w:rPr>
          <w:rFonts w:ascii="Avenir Next LT Pro" w:hAnsi="Avenir Next LT Pro" w:cs="Calibri"/>
          <w:color w:val="000000"/>
        </w:rPr>
        <w:t xml:space="preserve"> 2024 to review and confirm the scenarios used in the field test. If confirmed by the Subgroup, the field test will run from March 27</w:t>
      </w:r>
      <w:r w:rsidRPr="002B3BEE">
        <w:rPr>
          <w:rFonts w:ascii="Avenir Next LT Pro" w:hAnsi="Avenir Next LT Pro" w:cs="Calibri"/>
          <w:color w:val="000000"/>
          <w:vertAlign w:val="superscript"/>
        </w:rPr>
        <w:t>th</w:t>
      </w:r>
      <w:r>
        <w:rPr>
          <w:rFonts w:ascii="Avenir Next LT Pro" w:hAnsi="Avenir Next LT Pro" w:cs="Calibri"/>
          <w:color w:val="000000"/>
        </w:rPr>
        <w:t xml:space="preserve"> through June 30</w:t>
      </w:r>
      <w:r w:rsidRPr="00B45285">
        <w:rPr>
          <w:rFonts w:ascii="Avenir Next LT Pro" w:hAnsi="Avenir Next LT Pro" w:cs="Calibri"/>
          <w:color w:val="000000"/>
          <w:vertAlign w:val="superscript"/>
        </w:rPr>
        <w:t>th</w:t>
      </w:r>
      <w:r>
        <w:rPr>
          <w:rFonts w:ascii="Avenir Next LT Pro" w:hAnsi="Avenir Next LT Pro" w:cs="Calibri"/>
          <w:color w:val="000000"/>
        </w:rPr>
        <w:t>. Field test participants will present results in confidential, regulator-only sessions starting in July, unless some participants are able to share sooner. Model office analysis will be shared in public meetings of the GOES (E/A) Subgroup or the Life Actuarial (A) Task Force as soon as they are available to share.</w:t>
      </w:r>
    </w:p>
    <w:p w14:paraId="1469A546" w14:textId="77777777" w:rsidR="000559B8" w:rsidRPr="000559B8" w:rsidRDefault="000559B8" w:rsidP="000559B8">
      <w:pPr>
        <w:spacing w:after="0"/>
        <w:rPr>
          <w:rFonts w:ascii="Avenir Next LT Pro" w:hAnsi="Avenir Next LT Pro" w:cs="Calibri"/>
          <w:color w:val="000000"/>
        </w:rPr>
      </w:pPr>
    </w:p>
    <w:p w14:paraId="4E4A489F" w14:textId="1C11FCB0" w:rsidR="00B65CD3" w:rsidRDefault="005124E8" w:rsidP="00B65CD3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>
        <w:rPr>
          <w:rFonts w:ascii="Avenir Next LT Pro" w:hAnsi="Avenir Next LT Pro" w:cs="Calibri"/>
          <w:b/>
          <w:bCs/>
          <w:color w:val="000000"/>
        </w:rPr>
        <w:t>Product Scope</w:t>
      </w:r>
    </w:p>
    <w:p w14:paraId="12D0D71B" w14:textId="77777777" w:rsidR="00B65CD3" w:rsidRDefault="00B65CD3" w:rsidP="00B65CD3">
      <w:pPr>
        <w:spacing w:after="0"/>
        <w:rPr>
          <w:rFonts w:ascii="Avenir Next LT Pro" w:hAnsi="Avenir Next LT Pro" w:cs="Calibri"/>
          <w:color w:val="000000"/>
        </w:rPr>
      </w:pPr>
    </w:p>
    <w:p w14:paraId="04EFE58E" w14:textId="6CD385DE" w:rsidR="00AE4288" w:rsidRDefault="005124E8" w:rsidP="00ED29D1">
      <w:pPr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>Companies should include business subject to VM-20</w:t>
      </w:r>
      <w:r w:rsidR="000A64D3">
        <w:rPr>
          <w:rFonts w:ascii="Avenir Next LT Pro" w:hAnsi="Avenir Next LT Pro" w:cs="Calibri"/>
          <w:color w:val="000000"/>
        </w:rPr>
        <w:t xml:space="preserve"> and VM-21/ C3 Phase II.</w:t>
      </w:r>
      <w:r w:rsidR="009975C3">
        <w:rPr>
          <w:rFonts w:ascii="Avenir Next LT Pro" w:hAnsi="Avenir Next LT Pro" w:cs="Calibri"/>
          <w:color w:val="000000"/>
        </w:rPr>
        <w:t xml:space="preserve"> Non-variable annuities will be tested later in 2024 as part of the VM-22 field test.</w:t>
      </w:r>
    </w:p>
    <w:p w14:paraId="32F56698" w14:textId="77777777" w:rsidR="006E55E1" w:rsidRDefault="006E55E1" w:rsidP="006E55E1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>
        <w:rPr>
          <w:rFonts w:ascii="Avenir Next LT Pro" w:hAnsi="Avenir Next LT Pro" w:cs="Calibri"/>
          <w:b/>
          <w:bCs/>
          <w:color w:val="000000"/>
        </w:rPr>
        <w:t>Scenario Selection</w:t>
      </w:r>
    </w:p>
    <w:p w14:paraId="0B6DA7A5" w14:textId="77777777" w:rsidR="006E55E1" w:rsidRDefault="006E55E1" w:rsidP="006E55E1">
      <w:pPr>
        <w:spacing w:after="0"/>
        <w:rPr>
          <w:rFonts w:ascii="Avenir Next LT Pro" w:hAnsi="Avenir Next LT Pro" w:cs="Calibri"/>
          <w:color w:val="000000"/>
        </w:rPr>
      </w:pPr>
    </w:p>
    <w:p w14:paraId="4B55BB0B" w14:textId="35AFD75B" w:rsidR="006E55E1" w:rsidRDefault="006E55E1" w:rsidP="00ED29D1">
      <w:pPr>
        <w:rPr>
          <w:rFonts w:ascii="Avenir Next LT Pro" w:hAnsi="Avenir Next LT Pro" w:cs="Calibri"/>
          <w:color w:val="000000"/>
        </w:rPr>
      </w:pPr>
      <w:r w:rsidRPr="00C41A8A">
        <w:rPr>
          <w:rFonts w:ascii="Avenir Next LT Pro" w:hAnsi="Avenir Next LT Pro" w:cs="Calibri"/>
          <w:color w:val="000000"/>
        </w:rPr>
        <w:t>Companies should use a consistent scenario selection approach and number of scenarios between a field test scenario set and the scenario set used in the baseline.</w:t>
      </w:r>
      <w:r>
        <w:rPr>
          <w:rFonts w:ascii="Avenir Next LT Pro" w:hAnsi="Avenir Next LT Pro" w:cs="Calibri"/>
          <w:color w:val="000000"/>
        </w:rPr>
        <w:t xml:space="preserve"> Conning has produced an excel-based tool to select scenarios using a </w:t>
      </w:r>
      <w:proofErr w:type="gramStart"/>
      <w:r>
        <w:rPr>
          <w:rFonts w:ascii="Avenir Next LT Pro" w:hAnsi="Avenir Next LT Pro" w:cs="Calibri"/>
          <w:color w:val="000000"/>
        </w:rPr>
        <w:t>significance</w:t>
      </w:r>
      <w:proofErr w:type="gramEnd"/>
      <w:r>
        <w:rPr>
          <w:rFonts w:ascii="Avenir Next LT Pro" w:hAnsi="Avenir Next LT Pro" w:cs="Calibri"/>
          <w:color w:val="000000"/>
        </w:rPr>
        <w:t xml:space="preserve"> measure determined </w:t>
      </w:r>
      <w:r w:rsidR="00AF4553">
        <w:rPr>
          <w:rFonts w:ascii="Avenir Next LT Pro" w:hAnsi="Avenir Next LT Pro" w:cs="Calibri"/>
          <w:color w:val="000000"/>
        </w:rPr>
        <w:t xml:space="preserve">based on either 1) </w:t>
      </w:r>
      <w:r>
        <w:rPr>
          <w:rFonts w:ascii="Avenir Next LT Pro" w:hAnsi="Avenir Next LT Pro" w:cs="Calibri"/>
          <w:color w:val="000000"/>
        </w:rPr>
        <w:t>the 20-year UST or</w:t>
      </w:r>
      <w:r w:rsidR="00AF4553">
        <w:rPr>
          <w:rFonts w:ascii="Avenir Next LT Pro" w:hAnsi="Avenir Next LT Pro" w:cs="Calibri"/>
          <w:color w:val="000000"/>
        </w:rPr>
        <w:t xml:space="preserve"> 2)</w:t>
      </w:r>
      <w:r>
        <w:rPr>
          <w:rFonts w:ascii="Avenir Next LT Pro" w:hAnsi="Avenir Next LT Pro" w:cs="Calibri"/>
          <w:color w:val="000000"/>
        </w:rPr>
        <w:t xml:space="preserve"> Gross Wealth Factors from the Large Capitalization equity fund.</w:t>
      </w:r>
    </w:p>
    <w:p w14:paraId="03F58BC8" w14:textId="7D114F37" w:rsidR="005124E8" w:rsidRDefault="001B5415" w:rsidP="005124E8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>
        <w:rPr>
          <w:rFonts w:ascii="Avenir Next LT Pro" w:hAnsi="Avenir Next LT Pro" w:cs="Calibri"/>
          <w:b/>
          <w:bCs/>
          <w:color w:val="000000"/>
        </w:rPr>
        <w:t xml:space="preserve">VM-20 </w:t>
      </w:r>
      <w:r w:rsidR="00BA7DC2">
        <w:rPr>
          <w:rFonts w:ascii="Avenir Next LT Pro" w:hAnsi="Avenir Next LT Pro" w:cs="Calibri"/>
          <w:b/>
          <w:bCs/>
          <w:color w:val="000000"/>
        </w:rPr>
        <w:t xml:space="preserve">Net Premium Reserves (NPR), </w:t>
      </w:r>
      <w:r>
        <w:rPr>
          <w:rFonts w:ascii="Avenir Next LT Pro" w:hAnsi="Avenir Next LT Pro" w:cs="Calibri"/>
          <w:b/>
          <w:bCs/>
          <w:color w:val="000000"/>
        </w:rPr>
        <w:t xml:space="preserve">Stochastic Exclusion Ratio Test </w:t>
      </w:r>
      <w:r w:rsidR="0064695C">
        <w:rPr>
          <w:rFonts w:ascii="Avenir Next LT Pro" w:hAnsi="Avenir Next LT Pro" w:cs="Calibri"/>
          <w:b/>
          <w:bCs/>
          <w:color w:val="000000"/>
        </w:rPr>
        <w:t xml:space="preserve">(SERT) and Deterministic Reserve (DR) </w:t>
      </w:r>
      <w:r>
        <w:rPr>
          <w:rFonts w:ascii="Avenir Next LT Pro" w:hAnsi="Avenir Next LT Pro" w:cs="Calibri"/>
          <w:b/>
          <w:bCs/>
          <w:color w:val="000000"/>
        </w:rPr>
        <w:t>Scen</w:t>
      </w:r>
      <w:r w:rsidR="0064695C">
        <w:rPr>
          <w:rFonts w:ascii="Avenir Next LT Pro" w:hAnsi="Avenir Next LT Pro" w:cs="Calibri"/>
          <w:b/>
          <w:bCs/>
          <w:color w:val="000000"/>
        </w:rPr>
        <w:t>arios</w:t>
      </w:r>
    </w:p>
    <w:p w14:paraId="5D98988B" w14:textId="77777777" w:rsidR="00BA7DC2" w:rsidRDefault="00BA7DC2" w:rsidP="005124E8">
      <w:pPr>
        <w:spacing w:after="0"/>
        <w:rPr>
          <w:rFonts w:ascii="Avenir Next LT Pro" w:hAnsi="Avenir Next LT Pro" w:cs="Calibri"/>
          <w:color w:val="000000"/>
        </w:rPr>
      </w:pPr>
    </w:p>
    <w:p w14:paraId="7E002FB3" w14:textId="1CFB03E4" w:rsidR="005124E8" w:rsidRDefault="00BA7DC2" w:rsidP="005124E8">
      <w:pPr>
        <w:spacing w:after="0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>Participants should include the NPR for all relevant business included in the field test for comparison to the modeled results.</w:t>
      </w:r>
    </w:p>
    <w:p w14:paraId="43DD4F47" w14:textId="77777777" w:rsidR="00BA7DC2" w:rsidRDefault="00BA7DC2" w:rsidP="005124E8">
      <w:pPr>
        <w:spacing w:after="0"/>
        <w:rPr>
          <w:rFonts w:ascii="Avenir Next LT Pro" w:hAnsi="Avenir Next LT Pro" w:cs="Calibri"/>
          <w:color w:val="000000"/>
        </w:rPr>
      </w:pPr>
    </w:p>
    <w:p w14:paraId="66AF2764" w14:textId="77777777" w:rsidR="003A7275" w:rsidRPr="003A7275" w:rsidRDefault="00144EA8" w:rsidP="003A7275">
      <w:pPr>
        <w:spacing w:after="0" w:line="240" w:lineRule="auto"/>
        <w:rPr>
          <w:rFonts w:ascii="Avenir Next LT Pro" w:hAnsi="Avenir Next LT Pro" w:cs="Calibri"/>
          <w:color w:val="000000"/>
        </w:rPr>
      </w:pPr>
      <w:r w:rsidRPr="003A7275">
        <w:rPr>
          <w:rFonts w:ascii="Avenir Next LT Pro" w:hAnsi="Avenir Next LT Pro" w:cs="Calibri"/>
          <w:color w:val="000000"/>
        </w:rPr>
        <w:t xml:space="preserve">SERT and DR scenarios will be provided for </w:t>
      </w:r>
      <w:r w:rsidR="00A635C4" w:rsidRPr="003A7275">
        <w:rPr>
          <w:rFonts w:ascii="Avenir Next LT Pro" w:hAnsi="Avenir Next LT Pro" w:cs="Calibri"/>
          <w:color w:val="000000"/>
        </w:rPr>
        <w:t>field test scenario sets 1-4</w:t>
      </w:r>
      <w:r w:rsidR="009411B1" w:rsidRPr="003A7275">
        <w:rPr>
          <w:rFonts w:ascii="Avenir Next LT Pro" w:hAnsi="Avenir Next LT Pro" w:cs="Calibri"/>
          <w:color w:val="000000"/>
        </w:rPr>
        <w:t>.</w:t>
      </w:r>
      <w:r w:rsidR="008D1570" w:rsidRPr="003A7275">
        <w:rPr>
          <w:rFonts w:ascii="Avenir Next LT Pro" w:hAnsi="Avenir Next LT Pro" w:cs="Calibri"/>
          <w:color w:val="000000"/>
        </w:rPr>
        <w:t xml:space="preserve"> </w:t>
      </w:r>
      <w:r w:rsidR="00A01BD0" w:rsidRPr="003A7275">
        <w:rPr>
          <w:rFonts w:ascii="Avenir Next LT Pro" w:hAnsi="Avenir Next LT Pro" w:cs="Calibri"/>
          <w:color w:val="000000"/>
        </w:rPr>
        <w:t>For each of the mandatory field test runs:</w:t>
      </w:r>
    </w:p>
    <w:p w14:paraId="306DF0C1" w14:textId="77777777" w:rsidR="003A7275" w:rsidRPr="003A7275" w:rsidRDefault="008D1570" w:rsidP="003A7275">
      <w:pPr>
        <w:pStyle w:val="ListParagraph"/>
        <w:numPr>
          <w:ilvl w:val="0"/>
          <w:numId w:val="11"/>
        </w:numPr>
        <w:rPr>
          <w:rFonts w:ascii="Avenir Next LT Pro" w:hAnsi="Avenir Next LT Pro" w:cs="Calibri"/>
          <w:color w:val="000000"/>
          <w:sz w:val="22"/>
          <w:szCs w:val="22"/>
        </w:rPr>
      </w:pP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The DR should be </w:t>
      </w:r>
      <w:r w:rsidR="00A01BD0" w:rsidRPr="003A7275">
        <w:rPr>
          <w:rFonts w:ascii="Avenir Next LT Pro" w:hAnsi="Avenir Next LT Pro" w:cs="Calibri"/>
          <w:color w:val="000000"/>
          <w:sz w:val="22"/>
          <w:szCs w:val="22"/>
        </w:rPr>
        <w:t>calculated</w:t>
      </w: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 </w:t>
      </w:r>
      <w:r w:rsidR="00A01BD0"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for </w:t>
      </w: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relevant </w:t>
      </w:r>
      <w:r w:rsidR="00ED1DFE" w:rsidRPr="003A7275">
        <w:rPr>
          <w:rFonts w:ascii="Avenir Next LT Pro" w:hAnsi="Avenir Next LT Pro" w:cs="Calibri"/>
          <w:color w:val="000000"/>
          <w:sz w:val="22"/>
          <w:szCs w:val="22"/>
        </w:rPr>
        <w:t>VM-20 business</w:t>
      </w:r>
      <w:r w:rsidR="0000149C"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 </w:t>
      </w:r>
      <w:r w:rsidR="00ED1DFE"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where companies are required to calculate the DR as part of their normal valuations. </w:t>
      </w:r>
    </w:p>
    <w:p w14:paraId="69CD3DD5" w14:textId="4E8BAEE4" w:rsidR="00AE10E3" w:rsidRDefault="00BC4FCC" w:rsidP="00AE10E3">
      <w:pPr>
        <w:pStyle w:val="ListParagraph"/>
        <w:numPr>
          <w:ilvl w:val="0"/>
          <w:numId w:val="11"/>
        </w:numPr>
        <w:rPr>
          <w:rFonts w:ascii="Avenir Next LT Pro" w:hAnsi="Avenir Next LT Pro" w:cs="Calibri"/>
          <w:color w:val="000000"/>
          <w:sz w:val="22"/>
          <w:szCs w:val="22"/>
        </w:rPr>
      </w:pP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The SERT should be performed </w:t>
      </w:r>
      <w:r w:rsidR="00C361BE"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for relevant VM-20 business if a participant typically performs this method of </w:t>
      </w:r>
      <w:r w:rsidR="007F12E9" w:rsidRPr="003A7275">
        <w:rPr>
          <w:rFonts w:ascii="Avenir Next LT Pro" w:hAnsi="Avenir Next LT Pro" w:cs="Calibri"/>
          <w:color w:val="000000"/>
          <w:sz w:val="22"/>
          <w:szCs w:val="22"/>
        </w:rPr>
        <w:t>the Stochastic Exclusion Test</w:t>
      </w: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.  </w:t>
      </w:r>
    </w:p>
    <w:p w14:paraId="121CED7F" w14:textId="77777777" w:rsidR="009965DE" w:rsidRPr="009965DE" w:rsidRDefault="009965DE" w:rsidP="009965DE">
      <w:pPr>
        <w:pStyle w:val="ListParagraph"/>
        <w:rPr>
          <w:rFonts w:ascii="Avenir Next LT Pro" w:hAnsi="Avenir Next LT Pro" w:cs="Calibri"/>
          <w:color w:val="000000"/>
          <w:sz w:val="22"/>
          <w:szCs w:val="22"/>
        </w:rPr>
      </w:pPr>
    </w:p>
    <w:p w14:paraId="3BA8301A" w14:textId="63546AA6" w:rsidR="00253BEC" w:rsidRDefault="005610A9" w:rsidP="00253BEC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5610A9">
        <w:rPr>
          <w:rFonts w:ascii="Avenir Next LT Pro" w:hAnsi="Avenir Next LT Pro" w:cs="Calibri"/>
          <w:b/>
          <w:bCs/>
          <w:color w:val="000000"/>
        </w:rPr>
        <w:t>Confidential, Regulator-Only Participant Field Test Result Discussion</w:t>
      </w:r>
      <w:r w:rsidR="00253BEC">
        <w:rPr>
          <w:rFonts w:ascii="Avenir Next LT Pro" w:hAnsi="Avenir Next LT Pro" w:cs="Calibri"/>
          <w:b/>
          <w:bCs/>
          <w:color w:val="000000"/>
        </w:rPr>
        <w:t>s</w:t>
      </w:r>
    </w:p>
    <w:p w14:paraId="3E4A1F1A" w14:textId="77777777" w:rsidR="00253BEC" w:rsidRDefault="00253BEC" w:rsidP="00253BEC">
      <w:pPr>
        <w:spacing w:after="0"/>
        <w:rPr>
          <w:rFonts w:ascii="Avenir Next LT Pro" w:hAnsi="Avenir Next LT Pro" w:cs="Calibri"/>
          <w:color w:val="000000"/>
        </w:rPr>
      </w:pPr>
    </w:p>
    <w:p w14:paraId="5A9763FF" w14:textId="39DD63F3" w:rsidR="00AE10E3" w:rsidRPr="00915BD5" w:rsidRDefault="008463C9" w:rsidP="00253BEC">
      <w:pPr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 xml:space="preserve">In early July, or sooner as participants finalize field test results, </w:t>
      </w:r>
      <w:r w:rsidR="00C81989">
        <w:rPr>
          <w:rFonts w:ascii="Avenir Next LT Pro" w:hAnsi="Avenir Next LT Pro" w:cs="Calibri"/>
          <w:color w:val="000000"/>
        </w:rPr>
        <w:t>confidential, regulator-only meetings will be scheduled where participants will be able to share the results of their testing with regulators.</w:t>
      </w:r>
      <w:r w:rsidR="006922D6">
        <w:rPr>
          <w:rFonts w:ascii="Avenir Next LT Pro" w:hAnsi="Avenir Next LT Pro" w:cs="Calibri"/>
          <w:color w:val="000000"/>
        </w:rPr>
        <w:t xml:space="preserve"> </w:t>
      </w:r>
      <w:r w:rsidR="000523CC">
        <w:rPr>
          <w:rFonts w:ascii="Avenir Next LT Pro" w:hAnsi="Avenir Next LT Pro" w:cs="Calibri"/>
          <w:color w:val="000000"/>
        </w:rPr>
        <w:t xml:space="preserve">NAIC Staff will reach out to companies in June to schedule </w:t>
      </w:r>
      <w:r w:rsidR="00546FB2">
        <w:rPr>
          <w:rFonts w:ascii="Avenir Next LT Pro" w:hAnsi="Avenir Next LT Pro" w:cs="Calibri"/>
          <w:color w:val="000000"/>
        </w:rPr>
        <w:t>these meetings.</w:t>
      </w:r>
      <w:r w:rsidR="00FB7E72">
        <w:rPr>
          <w:rFonts w:ascii="Avenir Next LT Pro" w:hAnsi="Avenir Next LT Pro" w:cs="Calibri"/>
          <w:color w:val="000000"/>
        </w:rPr>
        <w:t xml:space="preserve"> Participants that are done with field testing early can send an email to Kennedy Kilale (</w:t>
      </w:r>
      <w:hyperlink r:id="rId12" w:history="1">
        <w:r w:rsidR="00680C47" w:rsidRPr="00701338">
          <w:rPr>
            <w:rStyle w:val="Hyperlink"/>
            <w:rFonts w:ascii="Avenir Next LT Pro" w:hAnsi="Avenir Next LT Pro" w:cs="Calibri"/>
          </w:rPr>
          <w:t>kkilale@naic.org</w:t>
        </w:r>
      </w:hyperlink>
      <w:r w:rsidR="00457EDA">
        <w:rPr>
          <w:rFonts w:ascii="Avenir Next LT Pro" w:hAnsi="Avenir Next LT Pro" w:cs="Calibri"/>
          <w:color w:val="000000"/>
        </w:rPr>
        <w:t>)</w:t>
      </w:r>
      <w:r w:rsidR="00680C47">
        <w:rPr>
          <w:rFonts w:ascii="Avenir Next LT Pro" w:hAnsi="Avenir Next LT Pro" w:cs="Calibri"/>
          <w:color w:val="000000"/>
        </w:rPr>
        <w:t xml:space="preserve"> to set up a time with regulators to review field test results.</w:t>
      </w:r>
    </w:p>
    <w:p w14:paraId="2E9D4F62" w14:textId="77777777" w:rsidR="00426C92" w:rsidRPr="00ED29D1" w:rsidRDefault="00426C92" w:rsidP="00ED29D1">
      <w:pPr>
        <w:rPr>
          <w:rFonts w:ascii="Avenir Next LT Pro" w:hAnsi="Avenir Next LT Pro" w:cs="Calibri"/>
          <w:b/>
          <w:bCs/>
          <w:color w:val="000000"/>
        </w:rPr>
      </w:pPr>
    </w:p>
    <w:p w14:paraId="2CCF5393" w14:textId="26AE3FB0" w:rsidR="00D157BC" w:rsidRPr="00EE7D83" w:rsidRDefault="00D157BC" w:rsidP="005F7F85">
      <w:pPr>
        <w:spacing w:after="0" w:line="240" w:lineRule="auto"/>
        <w:rPr>
          <w:rFonts w:ascii="Avenir Next LT Pro" w:hAnsi="Avenir Next LT Pro" w:cs="Calibri"/>
          <w:color w:val="000000"/>
          <w:sz w:val="24"/>
          <w:szCs w:val="24"/>
        </w:rPr>
      </w:pPr>
    </w:p>
    <w:p w14:paraId="4827298B" w14:textId="77777777" w:rsidR="00122264" w:rsidRPr="003727DD" w:rsidRDefault="00122264" w:rsidP="005F7F85">
      <w:pPr>
        <w:spacing w:after="0" w:line="240" w:lineRule="auto"/>
        <w:rPr>
          <w:rFonts w:ascii="Avenir Next LT Pro" w:hAnsi="Avenir Next LT Pro" w:cs="Calibri"/>
          <w:b/>
          <w:bCs/>
          <w:color w:val="000000"/>
          <w:sz w:val="24"/>
          <w:szCs w:val="24"/>
        </w:rPr>
      </w:pPr>
    </w:p>
    <w:sectPr w:rsidR="00122264" w:rsidRPr="003727DD" w:rsidSect="000C4D6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339" w:bottom="1440" w:left="1339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A56C" w14:textId="77777777" w:rsidR="000C4D64" w:rsidRDefault="000C4D64" w:rsidP="007B033C">
      <w:pPr>
        <w:spacing w:after="0" w:line="240" w:lineRule="auto"/>
      </w:pPr>
      <w:r>
        <w:separator/>
      </w:r>
    </w:p>
  </w:endnote>
  <w:endnote w:type="continuationSeparator" w:id="0">
    <w:p w14:paraId="5C197318" w14:textId="77777777" w:rsidR="000C4D64" w:rsidRDefault="000C4D64" w:rsidP="007B033C">
      <w:pPr>
        <w:spacing w:after="0" w:line="240" w:lineRule="auto"/>
      </w:pPr>
      <w:r>
        <w:continuationSeparator/>
      </w:r>
    </w:p>
  </w:endnote>
  <w:endnote w:type="continuationNotice" w:id="1">
    <w:p w14:paraId="47125E52" w14:textId="77777777" w:rsidR="000C4D64" w:rsidRDefault="000C4D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Next LT Pro Regular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A8B8C"/>
        <w:sz w:val="20"/>
        <w:szCs w:val="20"/>
      </w:rPr>
      <w:id w:val="1932851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099BC12" w14:textId="505FC2C4" w:rsidR="00393E4E" w:rsidRPr="00070005" w:rsidRDefault="00C13164" w:rsidP="0058796E">
        <w:pPr>
          <w:pStyle w:val="Footer"/>
          <w:jc w:val="right"/>
          <w:rPr>
            <w:rFonts w:ascii="Times New Roman" w:hAnsi="Times New Roman" w:cs="Times New Roman"/>
            <w:color w:val="8A8B8C"/>
            <w:sz w:val="20"/>
            <w:szCs w:val="20"/>
          </w:rPr>
        </w:pPr>
        <w:r>
          <w:rPr>
            <w:noProof/>
            <w:color w:val="8A8B8C"/>
            <w:sz w:val="20"/>
            <w:szCs w:val="20"/>
          </w:rPr>
          <w:drawing>
            <wp:anchor distT="0" distB="0" distL="114300" distR="114300" simplePos="0" relativeHeight="251658241" behindDoc="1" locked="0" layoutInCell="1" allowOverlap="1" wp14:anchorId="42ACE61E" wp14:editId="68A3339A">
              <wp:simplePos x="0" y="0"/>
              <wp:positionH relativeFrom="page">
                <wp:posOffset>0</wp:posOffset>
              </wp:positionH>
              <wp:positionV relativeFrom="page">
                <wp:posOffset>9372600</wp:posOffset>
              </wp:positionV>
              <wp:extent cx="4572000" cy="6858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8A8B8C"/>
            <w:sz w:val="20"/>
            <w:szCs w:val="20"/>
          </w:rPr>
          <w:tab/>
        </w:r>
        <w:r>
          <w:rPr>
            <w:color w:val="8A8B8C"/>
            <w:sz w:val="20"/>
            <w:szCs w:val="20"/>
          </w:rPr>
          <w:tab/>
        </w:r>
        <w:r w:rsidR="00070005">
          <w:rPr>
            <w:color w:val="8A8B8C"/>
            <w:sz w:val="20"/>
            <w:szCs w:val="20"/>
          </w:rPr>
          <w:tab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begin"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instrText xml:space="preserve"> PAGE   \* MERGEFORMAT </w:instrText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separate"/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t>2</w:t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fldChar w:fldCharType="end"/>
        </w:r>
      </w:p>
    </w:sdtContent>
  </w:sdt>
  <w:p w14:paraId="1758469D" w14:textId="77777777" w:rsidR="00393E4E" w:rsidRPr="00070005" w:rsidRDefault="00393E4E">
    <w:pPr>
      <w:pStyle w:val="Footer"/>
      <w:rPr>
        <w:color w:val="8A8B8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AEEB" w14:textId="0F348480" w:rsidR="00393E4E" w:rsidRPr="00CB7C45" w:rsidRDefault="00393E4E" w:rsidP="0058796E">
    <w:pPr>
      <w:pStyle w:val="Footer"/>
      <w:jc w:val="right"/>
      <w:rPr>
        <w:rFonts w:ascii="Times New Roman" w:hAnsi="Times New Roman" w:cs="Times New Roman"/>
        <w:color w:val="8A8B8C"/>
        <w:sz w:val="20"/>
        <w:szCs w:val="20"/>
      </w:rPr>
    </w:pPr>
  </w:p>
  <w:p w14:paraId="20CE11C0" w14:textId="77777777" w:rsidR="00393E4E" w:rsidRDefault="00393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0100" w14:textId="77777777" w:rsidR="000C4D64" w:rsidRDefault="000C4D64" w:rsidP="007B033C">
      <w:pPr>
        <w:spacing w:after="0" w:line="240" w:lineRule="auto"/>
      </w:pPr>
      <w:r>
        <w:separator/>
      </w:r>
    </w:p>
  </w:footnote>
  <w:footnote w:type="continuationSeparator" w:id="0">
    <w:p w14:paraId="1B9F827A" w14:textId="77777777" w:rsidR="000C4D64" w:rsidRDefault="000C4D64" w:rsidP="007B033C">
      <w:pPr>
        <w:spacing w:after="0" w:line="240" w:lineRule="auto"/>
      </w:pPr>
      <w:r>
        <w:continuationSeparator/>
      </w:r>
    </w:p>
  </w:footnote>
  <w:footnote w:type="continuationNotice" w:id="1">
    <w:p w14:paraId="0343FDFD" w14:textId="77777777" w:rsidR="000C4D64" w:rsidRDefault="000C4D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0EF7" w14:textId="652ED6A5" w:rsidR="00494574" w:rsidRDefault="00494574">
    <w:pPr>
      <w:pStyle w:val="Header"/>
    </w:pPr>
  </w:p>
  <w:p w14:paraId="50ED6BA1" w14:textId="3F46EAB6" w:rsidR="00494574" w:rsidRDefault="00494574">
    <w:pPr>
      <w:pStyle w:val="Header"/>
    </w:pPr>
  </w:p>
  <w:p w14:paraId="1EA71F30" w14:textId="71273133" w:rsidR="00494574" w:rsidRDefault="00494574" w:rsidP="00494574">
    <w:pPr>
      <w:pStyle w:val="Header"/>
      <w:jc w:val="right"/>
    </w:pPr>
    <w:r>
      <w:t>CONFIDENTIAL / REGULATOR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70F5" w14:textId="060209AE" w:rsidR="00393E4E" w:rsidRPr="00774FCE" w:rsidRDefault="0037055C" w:rsidP="00774FCE">
    <w:pPr>
      <w:spacing w:after="0" w:line="260" w:lineRule="exact"/>
      <w:rPr>
        <w:rFonts w:ascii="AvenirNext LT Pro Regular" w:hAnsi="AvenirNext LT Pro Regular" w:cs="Calibri"/>
        <w:color w:val="000000"/>
        <w:sz w:val="19"/>
        <w:szCs w:val="19"/>
      </w:rPr>
    </w:pPr>
    <w:r>
      <w:rPr>
        <w:rFonts w:ascii="AvenirNext LT Pro Regular" w:hAnsi="AvenirNext LT Pro Regular" w:cs="Calibri"/>
        <w:color w:val="000000"/>
        <w:sz w:val="19"/>
        <w:szCs w:val="19"/>
      </w:rPr>
      <w:t>March 27, 2024</w:t>
    </w:r>
    <w:r w:rsidR="0058796E" w:rsidRPr="0022783C">
      <w:rPr>
        <w:rFonts w:ascii="AvenirNext LT Pro Regular" w:hAnsi="AvenirNext LT Pro Regular"/>
        <w:noProof/>
        <w:sz w:val="20"/>
        <w:szCs w:val="20"/>
      </w:rPr>
      <w:drawing>
        <wp:anchor distT="0" distB="301625" distL="0" distR="0" simplePos="0" relativeHeight="251658240" behindDoc="1" locked="1" layoutInCell="1" allowOverlap="0" wp14:anchorId="276F2217" wp14:editId="403CDC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58768" cy="1024128"/>
          <wp:effectExtent l="0" t="0" r="2540" b="508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6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B3C"/>
    <w:multiLevelType w:val="hybridMultilevel"/>
    <w:tmpl w:val="01FCA0D2"/>
    <w:lvl w:ilvl="0" w:tplc="21D08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0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2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9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4C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3567"/>
    <w:multiLevelType w:val="multilevel"/>
    <w:tmpl w:val="F02A1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A97"/>
    <w:multiLevelType w:val="hybridMultilevel"/>
    <w:tmpl w:val="F02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1D23"/>
    <w:multiLevelType w:val="hybridMultilevel"/>
    <w:tmpl w:val="197296F4"/>
    <w:lvl w:ilvl="0" w:tplc="7C2C00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6A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45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A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7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4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D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6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E66F"/>
    <w:multiLevelType w:val="hybridMultilevel"/>
    <w:tmpl w:val="F3BC106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782B2D"/>
    <w:multiLevelType w:val="hybridMultilevel"/>
    <w:tmpl w:val="29423FAE"/>
    <w:lvl w:ilvl="0" w:tplc="671CF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3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30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26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F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A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E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F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C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24373"/>
    <w:multiLevelType w:val="hybridMultilevel"/>
    <w:tmpl w:val="BE6496D8"/>
    <w:lvl w:ilvl="0" w:tplc="4AF650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B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4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CC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F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A8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4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01677"/>
    <w:multiLevelType w:val="hybridMultilevel"/>
    <w:tmpl w:val="0D806C4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3651C"/>
    <w:multiLevelType w:val="hybridMultilevel"/>
    <w:tmpl w:val="4CF6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00F97"/>
    <w:multiLevelType w:val="hybridMultilevel"/>
    <w:tmpl w:val="AEDCADD2"/>
    <w:lvl w:ilvl="0" w:tplc="AD0A0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E2636"/>
    <w:multiLevelType w:val="hybridMultilevel"/>
    <w:tmpl w:val="5DA88932"/>
    <w:lvl w:ilvl="0" w:tplc="C0D073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4C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4D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6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8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44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9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0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93341">
    <w:abstractNumId w:val="4"/>
  </w:num>
  <w:num w:numId="2" w16cid:durableId="1656494488">
    <w:abstractNumId w:val="0"/>
  </w:num>
  <w:num w:numId="3" w16cid:durableId="623849215">
    <w:abstractNumId w:val="6"/>
  </w:num>
  <w:num w:numId="4" w16cid:durableId="1899975681">
    <w:abstractNumId w:val="3"/>
  </w:num>
  <w:num w:numId="5" w16cid:durableId="1550647814">
    <w:abstractNumId w:val="5"/>
  </w:num>
  <w:num w:numId="6" w16cid:durableId="1791393166">
    <w:abstractNumId w:val="10"/>
  </w:num>
  <w:num w:numId="7" w16cid:durableId="2031829164">
    <w:abstractNumId w:val="2"/>
  </w:num>
  <w:num w:numId="8" w16cid:durableId="59333749">
    <w:abstractNumId w:val="1"/>
  </w:num>
  <w:num w:numId="9" w16cid:durableId="1890218929">
    <w:abstractNumId w:val="9"/>
  </w:num>
  <w:num w:numId="10" w16cid:durableId="1125154142">
    <w:abstractNumId w:val="7"/>
  </w:num>
  <w:num w:numId="11" w16cid:durableId="1687173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B"/>
    <w:rsid w:val="0000149C"/>
    <w:rsid w:val="00010B1C"/>
    <w:rsid w:val="00021573"/>
    <w:rsid w:val="00027727"/>
    <w:rsid w:val="000523CC"/>
    <w:rsid w:val="00053A56"/>
    <w:rsid w:val="00054B3E"/>
    <w:rsid w:val="000559B8"/>
    <w:rsid w:val="0006224C"/>
    <w:rsid w:val="00070005"/>
    <w:rsid w:val="00080F66"/>
    <w:rsid w:val="0009430C"/>
    <w:rsid w:val="000A266C"/>
    <w:rsid w:val="000A349C"/>
    <w:rsid w:val="000A64D3"/>
    <w:rsid w:val="000B2E27"/>
    <w:rsid w:val="000C4D64"/>
    <w:rsid w:val="000D46BA"/>
    <w:rsid w:val="000D76E2"/>
    <w:rsid w:val="00122264"/>
    <w:rsid w:val="0012302F"/>
    <w:rsid w:val="0012752F"/>
    <w:rsid w:val="00144900"/>
    <w:rsid w:val="00144EA8"/>
    <w:rsid w:val="00195EE5"/>
    <w:rsid w:val="001A3290"/>
    <w:rsid w:val="001A75E0"/>
    <w:rsid w:val="001B2AD4"/>
    <w:rsid w:val="001B305E"/>
    <w:rsid w:val="001B5415"/>
    <w:rsid w:val="001B5933"/>
    <w:rsid w:val="001D5227"/>
    <w:rsid w:val="001F10B1"/>
    <w:rsid w:val="001F5376"/>
    <w:rsid w:val="001F7821"/>
    <w:rsid w:val="002148B7"/>
    <w:rsid w:val="0022465A"/>
    <w:rsid w:val="002264C5"/>
    <w:rsid w:val="0022783C"/>
    <w:rsid w:val="002515C7"/>
    <w:rsid w:val="00253BEC"/>
    <w:rsid w:val="0027149C"/>
    <w:rsid w:val="002822E6"/>
    <w:rsid w:val="002915ED"/>
    <w:rsid w:val="0029442F"/>
    <w:rsid w:val="00296D57"/>
    <w:rsid w:val="002A1BE4"/>
    <w:rsid w:val="002B06C5"/>
    <w:rsid w:val="002B2F6F"/>
    <w:rsid w:val="002B3BEE"/>
    <w:rsid w:val="002C1E86"/>
    <w:rsid w:val="002C29E0"/>
    <w:rsid w:val="002F1062"/>
    <w:rsid w:val="002F50FE"/>
    <w:rsid w:val="00307EB0"/>
    <w:rsid w:val="003264C1"/>
    <w:rsid w:val="003358F7"/>
    <w:rsid w:val="00345CAE"/>
    <w:rsid w:val="0036056A"/>
    <w:rsid w:val="0037055C"/>
    <w:rsid w:val="00372186"/>
    <w:rsid w:val="003727DD"/>
    <w:rsid w:val="00373C50"/>
    <w:rsid w:val="00393E4E"/>
    <w:rsid w:val="00394A6E"/>
    <w:rsid w:val="003955B0"/>
    <w:rsid w:val="003A7275"/>
    <w:rsid w:val="003B0DAB"/>
    <w:rsid w:val="003B385A"/>
    <w:rsid w:val="003B3E07"/>
    <w:rsid w:val="003B4222"/>
    <w:rsid w:val="003C16A4"/>
    <w:rsid w:val="003C1C2D"/>
    <w:rsid w:val="003C284C"/>
    <w:rsid w:val="003E0F8F"/>
    <w:rsid w:val="003E63D5"/>
    <w:rsid w:val="003F03A5"/>
    <w:rsid w:val="004009A2"/>
    <w:rsid w:val="00400A88"/>
    <w:rsid w:val="00403838"/>
    <w:rsid w:val="00406699"/>
    <w:rsid w:val="004178E2"/>
    <w:rsid w:val="00421683"/>
    <w:rsid w:val="00426C92"/>
    <w:rsid w:val="00431F9A"/>
    <w:rsid w:val="00443807"/>
    <w:rsid w:val="00443D21"/>
    <w:rsid w:val="004545AF"/>
    <w:rsid w:val="00457EDA"/>
    <w:rsid w:val="00465D78"/>
    <w:rsid w:val="00472A46"/>
    <w:rsid w:val="00494574"/>
    <w:rsid w:val="004A62BE"/>
    <w:rsid w:val="004C720C"/>
    <w:rsid w:val="004D27A9"/>
    <w:rsid w:val="004E422C"/>
    <w:rsid w:val="004F36B9"/>
    <w:rsid w:val="005124E8"/>
    <w:rsid w:val="005129F3"/>
    <w:rsid w:val="00520450"/>
    <w:rsid w:val="005357B1"/>
    <w:rsid w:val="00546FB2"/>
    <w:rsid w:val="00550258"/>
    <w:rsid w:val="0055552B"/>
    <w:rsid w:val="0055649C"/>
    <w:rsid w:val="005610A9"/>
    <w:rsid w:val="005618AF"/>
    <w:rsid w:val="00564EE5"/>
    <w:rsid w:val="005703E4"/>
    <w:rsid w:val="0057575E"/>
    <w:rsid w:val="00576B43"/>
    <w:rsid w:val="00586D9E"/>
    <w:rsid w:val="0058796E"/>
    <w:rsid w:val="005A7A3C"/>
    <w:rsid w:val="005B2524"/>
    <w:rsid w:val="005C7373"/>
    <w:rsid w:val="005D579F"/>
    <w:rsid w:val="005F10E5"/>
    <w:rsid w:val="005F3ADD"/>
    <w:rsid w:val="005F7F85"/>
    <w:rsid w:val="00615430"/>
    <w:rsid w:val="00617A35"/>
    <w:rsid w:val="00621822"/>
    <w:rsid w:val="0064032F"/>
    <w:rsid w:val="0064695C"/>
    <w:rsid w:val="00670E30"/>
    <w:rsid w:val="00680C47"/>
    <w:rsid w:val="00686005"/>
    <w:rsid w:val="006922D6"/>
    <w:rsid w:val="006A4043"/>
    <w:rsid w:val="006B35F9"/>
    <w:rsid w:val="006C1F92"/>
    <w:rsid w:val="006D780F"/>
    <w:rsid w:val="006E55E1"/>
    <w:rsid w:val="00715110"/>
    <w:rsid w:val="00717CA4"/>
    <w:rsid w:val="007203B8"/>
    <w:rsid w:val="007251D5"/>
    <w:rsid w:val="007322A9"/>
    <w:rsid w:val="00734322"/>
    <w:rsid w:val="00744E52"/>
    <w:rsid w:val="00751F4A"/>
    <w:rsid w:val="00763AC0"/>
    <w:rsid w:val="007659CE"/>
    <w:rsid w:val="00774FCE"/>
    <w:rsid w:val="00775546"/>
    <w:rsid w:val="00792E2F"/>
    <w:rsid w:val="007937AB"/>
    <w:rsid w:val="007A49EB"/>
    <w:rsid w:val="007A5591"/>
    <w:rsid w:val="007A7F2F"/>
    <w:rsid w:val="007B033C"/>
    <w:rsid w:val="007B07CF"/>
    <w:rsid w:val="007C16B7"/>
    <w:rsid w:val="007C18F6"/>
    <w:rsid w:val="007D2DEB"/>
    <w:rsid w:val="007E2A2C"/>
    <w:rsid w:val="007E2F04"/>
    <w:rsid w:val="007E6751"/>
    <w:rsid w:val="007F12E9"/>
    <w:rsid w:val="00800C8D"/>
    <w:rsid w:val="0080204B"/>
    <w:rsid w:val="0080423F"/>
    <w:rsid w:val="00835539"/>
    <w:rsid w:val="0084212A"/>
    <w:rsid w:val="008463C9"/>
    <w:rsid w:val="00851B2E"/>
    <w:rsid w:val="00875E34"/>
    <w:rsid w:val="0087642E"/>
    <w:rsid w:val="008C4CA8"/>
    <w:rsid w:val="008D1570"/>
    <w:rsid w:val="008F3144"/>
    <w:rsid w:val="008F7D8D"/>
    <w:rsid w:val="00915BD5"/>
    <w:rsid w:val="009225BA"/>
    <w:rsid w:val="00923D29"/>
    <w:rsid w:val="00925BE6"/>
    <w:rsid w:val="00932DC6"/>
    <w:rsid w:val="00936AE7"/>
    <w:rsid w:val="0093723D"/>
    <w:rsid w:val="009411B1"/>
    <w:rsid w:val="00957BBB"/>
    <w:rsid w:val="009727F8"/>
    <w:rsid w:val="009868E9"/>
    <w:rsid w:val="00987C32"/>
    <w:rsid w:val="009965DE"/>
    <w:rsid w:val="009975C3"/>
    <w:rsid w:val="009A02CC"/>
    <w:rsid w:val="009A3412"/>
    <w:rsid w:val="009A7148"/>
    <w:rsid w:val="009A7D4A"/>
    <w:rsid w:val="009A7FF4"/>
    <w:rsid w:val="009E246F"/>
    <w:rsid w:val="009E5D89"/>
    <w:rsid w:val="009F6B4D"/>
    <w:rsid w:val="009F7C1D"/>
    <w:rsid w:val="00A01BD0"/>
    <w:rsid w:val="00A12AA5"/>
    <w:rsid w:val="00A1676D"/>
    <w:rsid w:val="00A560B3"/>
    <w:rsid w:val="00A635C4"/>
    <w:rsid w:val="00A663A7"/>
    <w:rsid w:val="00A779B0"/>
    <w:rsid w:val="00A801A3"/>
    <w:rsid w:val="00A83234"/>
    <w:rsid w:val="00AC0FC3"/>
    <w:rsid w:val="00AD517C"/>
    <w:rsid w:val="00AE10E3"/>
    <w:rsid w:val="00AE4288"/>
    <w:rsid w:val="00AF0D4E"/>
    <w:rsid w:val="00AF4553"/>
    <w:rsid w:val="00B023DC"/>
    <w:rsid w:val="00B1405E"/>
    <w:rsid w:val="00B35DC5"/>
    <w:rsid w:val="00B41D59"/>
    <w:rsid w:val="00B45285"/>
    <w:rsid w:val="00B51503"/>
    <w:rsid w:val="00B631A9"/>
    <w:rsid w:val="00B63DAC"/>
    <w:rsid w:val="00B64CB5"/>
    <w:rsid w:val="00B65CD3"/>
    <w:rsid w:val="00B721A5"/>
    <w:rsid w:val="00B72D72"/>
    <w:rsid w:val="00B81C3E"/>
    <w:rsid w:val="00B8472C"/>
    <w:rsid w:val="00BA23CF"/>
    <w:rsid w:val="00BA3ACA"/>
    <w:rsid w:val="00BA7DC2"/>
    <w:rsid w:val="00BB23E4"/>
    <w:rsid w:val="00BC31A1"/>
    <w:rsid w:val="00BC4FCC"/>
    <w:rsid w:val="00BC6195"/>
    <w:rsid w:val="00BC74A8"/>
    <w:rsid w:val="00BF48A8"/>
    <w:rsid w:val="00C13164"/>
    <w:rsid w:val="00C268F7"/>
    <w:rsid w:val="00C361BE"/>
    <w:rsid w:val="00C41A8A"/>
    <w:rsid w:val="00C45642"/>
    <w:rsid w:val="00C51852"/>
    <w:rsid w:val="00C5246A"/>
    <w:rsid w:val="00C67508"/>
    <w:rsid w:val="00C70C74"/>
    <w:rsid w:val="00C7326D"/>
    <w:rsid w:val="00C735BA"/>
    <w:rsid w:val="00C81989"/>
    <w:rsid w:val="00CA12B1"/>
    <w:rsid w:val="00CA29EC"/>
    <w:rsid w:val="00CB6AD2"/>
    <w:rsid w:val="00CB7C45"/>
    <w:rsid w:val="00CC1444"/>
    <w:rsid w:val="00CC46EA"/>
    <w:rsid w:val="00CE5BA1"/>
    <w:rsid w:val="00D01CC0"/>
    <w:rsid w:val="00D0369C"/>
    <w:rsid w:val="00D10F19"/>
    <w:rsid w:val="00D12BE9"/>
    <w:rsid w:val="00D12DB0"/>
    <w:rsid w:val="00D13C36"/>
    <w:rsid w:val="00D157BC"/>
    <w:rsid w:val="00D16B73"/>
    <w:rsid w:val="00D60494"/>
    <w:rsid w:val="00D73EE9"/>
    <w:rsid w:val="00D8097D"/>
    <w:rsid w:val="00D81DF1"/>
    <w:rsid w:val="00D86079"/>
    <w:rsid w:val="00D86C1C"/>
    <w:rsid w:val="00DB0A98"/>
    <w:rsid w:val="00DB328F"/>
    <w:rsid w:val="00DB5AD8"/>
    <w:rsid w:val="00DC6672"/>
    <w:rsid w:val="00DD1999"/>
    <w:rsid w:val="00DD70BA"/>
    <w:rsid w:val="00DE7D8A"/>
    <w:rsid w:val="00DF5F21"/>
    <w:rsid w:val="00E00C6E"/>
    <w:rsid w:val="00E0442C"/>
    <w:rsid w:val="00E10A7B"/>
    <w:rsid w:val="00E26D76"/>
    <w:rsid w:val="00E465AD"/>
    <w:rsid w:val="00E60427"/>
    <w:rsid w:val="00E945DD"/>
    <w:rsid w:val="00E95CEA"/>
    <w:rsid w:val="00E97234"/>
    <w:rsid w:val="00EA2EBD"/>
    <w:rsid w:val="00EB2DC8"/>
    <w:rsid w:val="00EB615C"/>
    <w:rsid w:val="00ED1DFE"/>
    <w:rsid w:val="00ED29D1"/>
    <w:rsid w:val="00EE05A5"/>
    <w:rsid w:val="00EE3A06"/>
    <w:rsid w:val="00EE6100"/>
    <w:rsid w:val="00EE7D83"/>
    <w:rsid w:val="00F03CC8"/>
    <w:rsid w:val="00F40240"/>
    <w:rsid w:val="00F526A0"/>
    <w:rsid w:val="00F76113"/>
    <w:rsid w:val="00F84899"/>
    <w:rsid w:val="00FB36F7"/>
    <w:rsid w:val="00FB75BC"/>
    <w:rsid w:val="00FB7E72"/>
    <w:rsid w:val="00FF355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3344C"/>
  <w15:chartTrackingRefBased/>
  <w15:docId w15:val="{2C08AD1D-45C9-4579-A11B-24BA252C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3C"/>
  </w:style>
  <w:style w:type="paragraph" w:styleId="Footer">
    <w:name w:val="footer"/>
    <w:basedOn w:val="Normal"/>
    <w:link w:val="Foot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3C"/>
  </w:style>
  <w:style w:type="paragraph" w:customStyle="1" w:styleId="Default">
    <w:name w:val="Default"/>
    <w:rsid w:val="00C73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B2E"/>
    <w:rPr>
      <w:i/>
      <w:iCs/>
    </w:rPr>
  </w:style>
  <w:style w:type="character" w:styleId="Hyperlink">
    <w:name w:val="Hyperlink"/>
    <w:basedOn w:val="DefaultParagraphFont"/>
    <w:uiPriority w:val="99"/>
    <w:unhideWhenUsed/>
    <w:rsid w:val="0085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860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0C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4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2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2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4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kilale@nai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DC739BC3B249BE2BDBAB2476A73D" ma:contentTypeVersion="14" ma:contentTypeDescription="Create a new document." ma:contentTypeScope="" ma:versionID="b0dbb47d31f6531df806bdfea68a70fd">
  <xsd:schema xmlns:xsd="http://www.w3.org/2001/XMLSchema" xmlns:xs="http://www.w3.org/2001/XMLSchema" xmlns:p="http://schemas.microsoft.com/office/2006/metadata/properties" xmlns:ns2="1072afd1-b67c-4f06-8204-46357b21cd5d" xmlns:ns3="826143e3-bbcb-45bb-8829-107013e701e5" targetNamespace="http://schemas.microsoft.com/office/2006/metadata/properties" ma:root="true" ma:fieldsID="67298ff776b175279bb2af83a1ffee8e" ns2:_="" ns3:_="">
    <xsd:import namespace="1072afd1-b67c-4f06-8204-46357b21cd5d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2afd1-b67c-4f06-8204-46357b21c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emplafyTemplateConfiguration><![CDATA[{"elementsMetadata":[],"transformationConfigurations":[],"isBaseTemplate":false,"enableDocumentContentUpdater":false,"version":"2.0"}]]></TemplafyTemplateConfiguratio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mplafyFormConfiguration><![CDATA[{"formFields":[],"formDataEntries":[]}]]></TemplafyFormConfiguratio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BB594-8C40-434B-81FC-600F74A25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2afd1-b67c-4f06-8204-46357b21cd5d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331CD-B1A5-4B41-865D-672690EA79BF}">
  <ds:schemaRefs/>
</ds:datastoreItem>
</file>

<file path=customXml/itemProps3.xml><?xml version="1.0" encoding="utf-8"?>
<ds:datastoreItem xmlns:ds="http://schemas.openxmlformats.org/officeDocument/2006/customXml" ds:itemID="{69E48927-6A44-4135-A152-29084DA23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8F1D2-0953-4AF3-86E6-7E2F0393B36D}">
  <ds:schemaRefs/>
</ds:datastoreItem>
</file>

<file path=customXml/itemProps5.xml><?xml version="1.0" encoding="utf-8"?>
<ds:datastoreItem xmlns:ds="http://schemas.openxmlformats.org/officeDocument/2006/customXml" ds:itemID="{5BDA942E-A2F5-4F34-9DC5-6180EF966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 GOES Field Test #2 (2024)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 GOES Field Test #2 (2024)</dc:title>
  <dc:subject/>
  <dc:creator>Scott O'Neal</dc:creator>
  <cp:keywords/>
  <dc:description/>
  <cp:lastModifiedBy>O'Neal, Scott</cp:lastModifiedBy>
  <cp:revision>2</cp:revision>
  <cp:lastPrinted>2020-03-11T17:37:00Z</cp:lastPrinted>
  <dcterms:created xsi:type="dcterms:W3CDTF">2024-03-26T18:48:00Z</dcterms:created>
  <dcterms:modified xsi:type="dcterms:W3CDTF">2024-03-26T18:48:00Z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0x010100CB05DC739BC3B249BE2BDBAB2476A73D</vt:lpwstr>
  </property>
</Properties>
</file>