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4E5F" w14:textId="236F854A" w:rsidR="00E7515A" w:rsidRDefault="00E7515A" w:rsidP="00E7515A">
      <w:pPr>
        <w:spacing w:before="56"/>
        <w:ind w:left="119"/>
        <w:rPr>
          <w:rFonts w:ascii="Calibri"/>
        </w:rPr>
      </w:pPr>
      <w:r w:rsidRPr="00E7515A">
        <w:rPr>
          <w:rFonts w:ascii="Calibri"/>
          <w:highlight w:val="yellow"/>
        </w:rPr>
        <w:t>August</w:t>
      </w:r>
      <w:r w:rsidRPr="00E7515A">
        <w:rPr>
          <w:rFonts w:ascii="Calibri"/>
          <w:spacing w:val="-6"/>
          <w:highlight w:val="yellow"/>
        </w:rPr>
        <w:t xml:space="preserve"> </w:t>
      </w:r>
      <w:r w:rsidRPr="00E7515A">
        <w:rPr>
          <w:rFonts w:ascii="Calibri"/>
          <w:highlight w:val="yellow"/>
        </w:rPr>
        <w:t>XX</w:t>
      </w:r>
      <w:r>
        <w:rPr>
          <w:rFonts w:ascii="Calibri"/>
        </w:rPr>
        <w:t>,</w:t>
      </w:r>
      <w:r>
        <w:rPr>
          <w:rFonts w:ascii="Calibri"/>
          <w:spacing w:val="-1"/>
        </w:rPr>
        <w:t xml:space="preserve"> </w:t>
      </w:r>
      <w:r>
        <w:rPr>
          <w:rFonts w:ascii="Calibri"/>
          <w:spacing w:val="-4"/>
        </w:rPr>
        <w:t>202</w:t>
      </w:r>
      <w:r>
        <w:rPr>
          <w:rFonts w:ascii="Calibri"/>
          <w:spacing w:val="-4"/>
        </w:rPr>
        <w:t>3</w:t>
      </w:r>
    </w:p>
    <w:p w14:paraId="3726525A" w14:textId="77777777" w:rsidR="00E7515A" w:rsidRDefault="00E7515A" w:rsidP="00E7515A">
      <w:pPr>
        <w:pStyle w:val="BodyText"/>
        <w:spacing w:before="6"/>
        <w:rPr>
          <w:rFonts w:ascii="Calibri"/>
          <w:sz w:val="20"/>
        </w:rPr>
      </w:pPr>
    </w:p>
    <w:p w14:paraId="5432173E" w14:textId="77777777" w:rsidR="00E7515A" w:rsidRDefault="00E7515A" w:rsidP="00E7515A">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0B2897B" w14:textId="77777777" w:rsidR="00E7515A" w:rsidRDefault="00E7515A" w:rsidP="00E7515A">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7C50F2FF" w14:textId="77777777" w:rsidR="00E7515A" w:rsidRDefault="00E7515A" w:rsidP="00E7515A">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48870D22" w14:textId="77777777" w:rsidR="00E7515A" w:rsidRDefault="00E7515A" w:rsidP="00E7515A">
      <w:pPr>
        <w:pStyle w:val="BodyText"/>
        <w:spacing w:before="8"/>
        <w:rPr>
          <w:rFonts w:ascii="Calibri"/>
          <w:sz w:val="20"/>
        </w:rPr>
      </w:pPr>
    </w:p>
    <w:p w14:paraId="000FABCB" w14:textId="77777777" w:rsidR="00E7515A" w:rsidRDefault="00E7515A" w:rsidP="00E7515A">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743E476F" w14:textId="3DA48308" w:rsidR="00E7515A" w:rsidRDefault="00E7515A" w:rsidP="00E7515A">
      <w:pPr>
        <w:spacing w:before="2" w:line="232" w:lineRule="auto"/>
        <w:ind w:left="119" w:right="790"/>
        <w:rPr>
          <w:rFonts w:ascii="Calibri"/>
        </w:rPr>
      </w:pPr>
      <w:r>
        <w:rPr>
          <w:rFonts w:ascii="Calibri"/>
        </w:rPr>
        <w:t>While the potential admittance of some portion of negative</w:t>
      </w:r>
      <w:r>
        <w:rPr>
          <w:rFonts w:ascii="Calibri"/>
          <w:spacing w:val="-1"/>
        </w:rPr>
        <w:t xml:space="preserve"> </w:t>
      </w:r>
      <w:r>
        <w:rPr>
          <w:rFonts w:ascii="Calibri"/>
        </w:rPr>
        <w:t>Interest</w:t>
      </w:r>
      <w:r>
        <w:rPr>
          <w:rFonts w:ascii="Calibri"/>
          <w:spacing w:val="25"/>
        </w:rPr>
        <w:t xml:space="preserve"> </w:t>
      </w:r>
      <w:r>
        <w:rPr>
          <w:rFonts w:ascii="Calibri"/>
        </w:rPr>
        <w:t>Maintenance</w:t>
      </w:r>
      <w:r>
        <w:rPr>
          <w:rFonts w:ascii="Calibri"/>
          <w:spacing w:val="29"/>
        </w:rPr>
        <w:t xml:space="preserve"> </w:t>
      </w:r>
      <w:r>
        <w:rPr>
          <w:rFonts w:ascii="Calibri"/>
        </w:rPr>
        <w:t>Reserve</w:t>
      </w:r>
      <w:r>
        <w:rPr>
          <w:rFonts w:ascii="Calibri"/>
          <w:spacing w:val="26"/>
        </w:rPr>
        <w:t xml:space="preserve"> </w:t>
      </w:r>
      <w:r>
        <w:rPr>
          <w:rFonts w:ascii="Calibri"/>
        </w:rPr>
        <w:t>(IMR)</w:t>
      </w:r>
      <w:r>
        <w:rPr>
          <w:rFonts w:ascii="Calibri"/>
          <w:spacing w:val="24"/>
        </w:rPr>
        <w:t xml:space="preserve"> </w:t>
      </w:r>
      <w:r>
        <w:rPr>
          <w:rFonts w:ascii="Calibri"/>
        </w:rPr>
        <w:t>is being considered by the 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spacing w:val="40"/>
        </w:rPr>
        <w:t xml:space="preserve"> </w:t>
      </w:r>
      <w:r>
        <w:rPr>
          <w:rFonts w:ascii="Calibri"/>
        </w:rPr>
        <w:t>continued</w:t>
      </w:r>
      <w:r>
        <w:rPr>
          <w:rFonts w:ascii="Calibri"/>
          <w:spacing w:val="40"/>
        </w:rPr>
        <w:t xml:space="preserve"> </w:t>
      </w:r>
      <w:r>
        <w:rPr>
          <w:rFonts w:ascii="Calibri"/>
        </w:rPr>
        <w:t>guidance</w:t>
      </w:r>
      <w:r>
        <w:rPr>
          <w:rFonts w:ascii="Calibri"/>
          <w:spacing w:val="40"/>
        </w:rPr>
        <w:t xml:space="preserve"> </w:t>
      </w:r>
      <w:r>
        <w:rPr>
          <w:rFonts w:ascii="Calibri"/>
        </w:rPr>
        <w:t>on</w:t>
      </w:r>
      <w:r>
        <w:rPr>
          <w:rFonts w:ascii="Calibri"/>
          <w:spacing w:val="40"/>
        </w:rPr>
        <w:t xml:space="preserve"> </w:t>
      </w:r>
      <w:r>
        <w:rPr>
          <w:rFonts w:ascii="Calibri"/>
        </w:rPr>
        <w:t>the proper</w:t>
      </w:r>
      <w:r>
        <w:rPr>
          <w:rFonts w:ascii="Calibri"/>
          <w:spacing w:val="40"/>
        </w:rPr>
        <w:t xml:space="preserve"> </w:t>
      </w:r>
      <w:r>
        <w:rPr>
          <w:rFonts w:ascii="Calibri"/>
        </w:rPr>
        <w:t>practice</w:t>
      </w:r>
      <w:r>
        <w:rPr>
          <w:rFonts w:ascii="Calibri"/>
          <w:spacing w:val="40"/>
        </w:rPr>
        <w:t xml:space="preserve"> </w:t>
      </w:r>
      <w:r>
        <w:rPr>
          <w:rFonts w:ascii="Calibri"/>
        </w:rPr>
        <w:t xml:space="preserve">for allocating IMR for </w:t>
      </w:r>
      <w:r w:rsidR="006E1A44">
        <w:rPr>
          <w:rFonts w:ascii="Calibri" w:hAnsi="Calibri"/>
        </w:rPr>
        <w:t>principles-based reserving (PBR) and asset adequacy testing</w:t>
      </w:r>
      <w:r w:rsidR="006E1A44">
        <w:rPr>
          <w:rFonts w:ascii="Calibri"/>
        </w:rPr>
        <w:t xml:space="preserve"> </w:t>
      </w:r>
      <w:r>
        <w:rPr>
          <w:rFonts w:ascii="Calibri"/>
        </w:rPr>
        <w:t>purposes may be helpful for companies in the near term.</w:t>
      </w:r>
    </w:p>
    <w:p w14:paraId="1447727A" w14:textId="77777777" w:rsidR="00E7515A" w:rsidRDefault="00E7515A" w:rsidP="00E7515A">
      <w:pPr>
        <w:pStyle w:val="BodyText"/>
        <w:spacing w:before="5"/>
        <w:rPr>
          <w:rFonts w:ascii="Calibri"/>
          <w:sz w:val="20"/>
        </w:rPr>
      </w:pPr>
    </w:p>
    <w:p w14:paraId="13FF6AE5" w14:textId="77777777" w:rsidR="00E7515A" w:rsidRDefault="00E7515A" w:rsidP="00E7515A">
      <w:pPr>
        <w:spacing w:line="264" w:lineRule="exact"/>
        <w:ind w:left="119"/>
        <w:rPr>
          <w:rFonts w:ascii="Calibri"/>
          <w:b/>
        </w:rPr>
      </w:pPr>
      <w:r>
        <w:rPr>
          <w:rFonts w:ascii="Calibri"/>
          <w:b/>
          <w:spacing w:val="-2"/>
        </w:rPr>
        <w:t>Background</w:t>
      </w:r>
    </w:p>
    <w:p w14:paraId="191AE660" w14:textId="19D44BC1" w:rsidR="00E7515A" w:rsidRDefault="00E7515A" w:rsidP="00E7515A">
      <w:pPr>
        <w:spacing w:line="232" w:lineRule="auto"/>
        <w:ind w:left="117" w:right="417" w:firstLine="84"/>
        <w:rPr>
          <w:rFonts w:ascii="Calibri" w:hAnsi="Calibri"/>
        </w:rPr>
      </w:pPr>
      <w:r>
        <w:rPr>
          <w:rFonts w:ascii="Calibri" w:hAnsi="Calibri"/>
        </w:rPr>
        <w:t xml:space="preserve">LATF issued guidance on November 17, 2022 </w:t>
      </w:r>
      <w:r w:rsidR="000D25B5">
        <w:rPr>
          <w:rFonts w:ascii="Calibri" w:hAnsi="Calibri"/>
        </w:rPr>
        <w:t xml:space="preserve">(Attachment A) </w:t>
      </w:r>
      <w:r>
        <w:rPr>
          <w:rFonts w:ascii="Calibri" w:hAnsi="Calibri"/>
        </w:rPr>
        <w:t>on allocating negative IMR (PIMR) in VM-20, VM-30, VM-31</w:t>
      </w:r>
      <w:r>
        <w:rPr>
          <w:rFonts w:ascii="Calibri" w:hAnsi="Calibri"/>
        </w:rPr>
        <w:t>.</w:t>
      </w:r>
      <w:r>
        <w:rPr>
          <w:rFonts w:ascii="Calibri" w:hAnsi="Calibri"/>
        </w:rPr>
        <w:t xml:space="preserve">  Since then, SAPWG has continued to discuss the potential admittance of some portion of negative IMR.  In light of these ongoing discussions, continued guidance is needed to ensure consistent treatment for negative IMR in PBR and asset adequacy testing.  Due to the timing of Valuation Manual updates, the earliest that such guidance can practically be added to the Valuation Manual is for year-end 2025.  Therefore, LATF is issuing additional guidance for 2023 and 2024.</w:t>
      </w:r>
    </w:p>
    <w:p w14:paraId="3804B356" w14:textId="77777777" w:rsidR="00E7515A" w:rsidRDefault="00E7515A" w:rsidP="00E7515A">
      <w:pPr>
        <w:pStyle w:val="BodyText"/>
        <w:spacing w:before="6"/>
        <w:rPr>
          <w:rFonts w:ascii="Calibri"/>
          <w:sz w:val="20"/>
        </w:rPr>
      </w:pPr>
    </w:p>
    <w:p w14:paraId="2760C881" w14:textId="77777777" w:rsidR="00E7515A" w:rsidRDefault="00E7515A" w:rsidP="00E7515A">
      <w:pPr>
        <w:spacing w:line="264" w:lineRule="exact"/>
        <w:ind w:left="117"/>
        <w:rPr>
          <w:rFonts w:ascii="Calibri"/>
          <w:b/>
        </w:rPr>
      </w:pPr>
      <w:r>
        <w:rPr>
          <w:rFonts w:ascii="Calibri"/>
          <w:b/>
          <w:spacing w:val="-2"/>
        </w:rPr>
        <w:t>Recommendation</w:t>
      </w:r>
    </w:p>
    <w:p w14:paraId="46F8C3AC" w14:textId="16F4E31C" w:rsidR="00E7515A" w:rsidRDefault="00E7515A" w:rsidP="00E7515A">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w:t>
      </w:r>
      <w:r>
        <w:rPr>
          <w:rFonts w:ascii="Calibri" w:hAnsi="Calibri"/>
        </w:rPr>
        <w:t xml:space="preserve">3 and 2024 </w:t>
      </w:r>
      <w:r>
        <w:rPr>
          <w:rFonts w:ascii="Calibri" w:hAnsi="Calibri"/>
        </w:rPr>
        <w:t>,</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following 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 xml:space="preserve">the asset handling for the non-admitted portion of IMR would be part of a principle-based, reasonable and appropriate allocation. However, </w:t>
      </w:r>
      <w:r>
        <w:rPr>
          <w:rFonts w:ascii="Calibri" w:hAnsi="Calibri"/>
        </w:rPr>
        <w:t>any portion of</w:t>
      </w:r>
      <w:r>
        <w:rPr>
          <w:rFonts w:ascii="Calibri" w:hAnsi="Calibri"/>
        </w:rPr>
        <w:t xml:space="preserve"> negative IMR </w:t>
      </w:r>
      <w:r>
        <w:rPr>
          <w:rFonts w:ascii="Calibri" w:hAnsi="Calibri"/>
        </w:rPr>
        <w:t>that i</w:t>
      </w:r>
      <w:r>
        <w:rPr>
          <w:rFonts w:ascii="Calibri" w:hAnsi="Calibri"/>
        </w:rPr>
        <w:t xml:space="preserve">s an asset, </w:t>
      </w:r>
      <w:r>
        <w:rPr>
          <w:rFonts w:ascii="Calibri" w:hAnsi="Calibri"/>
        </w:rPr>
        <w:t xml:space="preserve">should be allocated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243A9A6A" w14:textId="77777777" w:rsidR="00E7515A" w:rsidRDefault="00E7515A" w:rsidP="00E7515A">
      <w:pPr>
        <w:spacing w:before="2" w:line="232" w:lineRule="auto"/>
        <w:ind w:left="117" w:right="841"/>
        <w:rPr>
          <w:rFonts w:ascii="Calibri" w:hAnsi="Calibri"/>
        </w:rPr>
      </w:pPr>
    </w:p>
    <w:p w14:paraId="507769E9" w14:textId="290045A7" w:rsidR="00E7515A" w:rsidRDefault="00E7515A" w:rsidP="00E7515A">
      <w:pPr>
        <w:spacing w:line="232" w:lineRule="auto"/>
        <w:ind w:left="117" w:right="1015"/>
        <w:rPr>
          <w:rFonts w:ascii="Calibri" w:hAnsi="Calibri"/>
        </w:rPr>
      </w:pPr>
      <w:r>
        <w:rPr>
          <w:rFonts w:ascii="Calibri" w:hAnsi="Calibri"/>
        </w:rPr>
        <w:t>This recommended guidance is for year-end 202</w:t>
      </w:r>
      <w:r w:rsidR="000D25B5">
        <w:rPr>
          <w:rFonts w:ascii="Calibri" w:hAnsi="Calibri"/>
        </w:rPr>
        <w:t>3 and 2024</w:t>
      </w:r>
      <w:r>
        <w:rPr>
          <w:rFonts w:ascii="Calibri" w:hAnsi="Calibri"/>
        </w:rPr>
        <w:t>,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sidR="000D25B5">
        <w:rPr>
          <w:rFonts w:ascii="Calibri" w:hAnsi="Calibri"/>
        </w:rPr>
        <w:t>This guidance is expected to be incorporated in the 2025 Valuation Manual</w:t>
      </w:r>
      <w:r>
        <w:rPr>
          <w:rFonts w:ascii="Calibri" w:hAnsi="Calibri"/>
        </w:rPr>
        <w:t>.</w:t>
      </w:r>
    </w:p>
    <w:p w14:paraId="0947C8C9" w14:textId="77777777" w:rsidR="00E7515A" w:rsidRDefault="00E7515A" w:rsidP="00E7515A">
      <w:pPr>
        <w:spacing w:line="232" w:lineRule="auto"/>
        <w:ind w:left="117" w:right="1015"/>
        <w:rPr>
          <w:rFonts w:ascii="Calibri" w:hAnsi="Calibri"/>
        </w:rPr>
      </w:pPr>
    </w:p>
    <w:p w14:paraId="53403E6E" w14:textId="77777777" w:rsidR="00E7515A" w:rsidRDefault="00E7515A" w:rsidP="00E7515A">
      <w:pPr>
        <w:spacing w:line="232" w:lineRule="auto"/>
        <w:ind w:left="117" w:right="1015"/>
        <w:rPr>
          <w:rFonts w:ascii="Calibri" w:hAnsi="Calibri"/>
        </w:rPr>
      </w:pPr>
    </w:p>
    <w:p w14:paraId="416A799D" w14:textId="77777777" w:rsidR="00E7515A" w:rsidRDefault="00E7515A">
      <w:pPr>
        <w:spacing w:before="56"/>
        <w:ind w:left="119"/>
        <w:rPr>
          <w:rFonts w:ascii="Calibri"/>
        </w:rPr>
      </w:pPr>
    </w:p>
    <w:p w14:paraId="2B0DC3B4" w14:textId="77777777" w:rsidR="00E7515A" w:rsidRDefault="00E7515A">
      <w:pPr>
        <w:spacing w:before="56"/>
        <w:ind w:left="119"/>
        <w:rPr>
          <w:rFonts w:ascii="Calibri"/>
        </w:rPr>
      </w:pPr>
    </w:p>
    <w:p w14:paraId="55C129D0" w14:textId="77777777" w:rsidR="00E7515A" w:rsidRDefault="00E7515A">
      <w:pPr>
        <w:spacing w:before="56"/>
        <w:ind w:left="119"/>
        <w:rPr>
          <w:rFonts w:ascii="Calibri"/>
        </w:rPr>
      </w:pPr>
    </w:p>
    <w:p w14:paraId="5F48BAE1" w14:textId="77777777" w:rsidR="00E7515A" w:rsidRDefault="00E7515A">
      <w:pPr>
        <w:rPr>
          <w:rFonts w:ascii="Calibri"/>
        </w:rPr>
      </w:pPr>
      <w:r>
        <w:rPr>
          <w:rFonts w:ascii="Calibri"/>
        </w:rPr>
        <w:br w:type="page"/>
      </w:r>
    </w:p>
    <w:p w14:paraId="59504723" w14:textId="77777777" w:rsidR="000D25B5" w:rsidRDefault="000D25B5" w:rsidP="000D25B5">
      <w:pPr>
        <w:pStyle w:val="BodyText"/>
        <w:rPr>
          <w:rFonts w:ascii="Calibri"/>
          <w:sz w:val="20"/>
        </w:rPr>
      </w:pPr>
    </w:p>
    <w:p w14:paraId="77C5EE7E" w14:textId="77777777" w:rsidR="000D25B5" w:rsidRDefault="000D25B5" w:rsidP="000D25B5">
      <w:pPr>
        <w:pStyle w:val="BodyText"/>
        <w:rPr>
          <w:rFonts w:ascii="Calibri"/>
          <w:sz w:val="20"/>
        </w:rPr>
      </w:pPr>
    </w:p>
    <w:p w14:paraId="7F5B3D5F" w14:textId="77777777" w:rsidR="000D25B5" w:rsidRDefault="000D25B5" w:rsidP="000D25B5">
      <w:pPr>
        <w:pStyle w:val="BodyText"/>
        <w:rPr>
          <w:rFonts w:ascii="Calibri"/>
          <w:sz w:val="20"/>
        </w:rPr>
      </w:pPr>
    </w:p>
    <w:p w14:paraId="6A4E7167" w14:textId="77777777" w:rsidR="000D25B5" w:rsidRDefault="000D25B5" w:rsidP="000D25B5">
      <w:pPr>
        <w:pStyle w:val="BodyText"/>
        <w:rPr>
          <w:rFonts w:ascii="Calibri"/>
          <w:sz w:val="20"/>
        </w:rPr>
      </w:pPr>
    </w:p>
    <w:p w14:paraId="5E615B0D" w14:textId="77777777" w:rsidR="000D25B5" w:rsidRDefault="000D25B5" w:rsidP="000D25B5">
      <w:pPr>
        <w:pStyle w:val="BodyText"/>
        <w:rPr>
          <w:rFonts w:ascii="Calibri"/>
          <w:sz w:val="20"/>
        </w:rPr>
      </w:pPr>
    </w:p>
    <w:p w14:paraId="57EEEB5F" w14:textId="77777777" w:rsidR="000D25B5" w:rsidRDefault="000D25B5" w:rsidP="000D25B5">
      <w:pPr>
        <w:pStyle w:val="BodyText"/>
        <w:rPr>
          <w:rFonts w:ascii="Calibri"/>
          <w:sz w:val="20"/>
        </w:rPr>
      </w:pPr>
    </w:p>
    <w:p w14:paraId="03C879B3" w14:textId="77777777" w:rsidR="000D25B5" w:rsidRDefault="000D25B5" w:rsidP="000D25B5">
      <w:pPr>
        <w:pStyle w:val="BodyText"/>
        <w:rPr>
          <w:rFonts w:ascii="Calibri"/>
          <w:sz w:val="20"/>
        </w:rPr>
      </w:pPr>
    </w:p>
    <w:p w14:paraId="3CF187DE" w14:textId="77777777" w:rsidR="000D25B5" w:rsidRDefault="000D25B5" w:rsidP="000D25B5">
      <w:pPr>
        <w:pStyle w:val="BodyText"/>
        <w:rPr>
          <w:rFonts w:ascii="Calibri"/>
          <w:sz w:val="20"/>
        </w:rPr>
      </w:pPr>
    </w:p>
    <w:p w14:paraId="18F62033" w14:textId="77777777" w:rsidR="000D25B5" w:rsidRDefault="000D25B5" w:rsidP="000D25B5">
      <w:pPr>
        <w:pStyle w:val="BodyText"/>
        <w:rPr>
          <w:rFonts w:ascii="Calibri"/>
          <w:sz w:val="20"/>
        </w:rPr>
      </w:pPr>
    </w:p>
    <w:p w14:paraId="353E021F" w14:textId="77777777" w:rsidR="000D25B5" w:rsidRDefault="000D25B5" w:rsidP="000D25B5">
      <w:pPr>
        <w:pStyle w:val="BodyText"/>
        <w:rPr>
          <w:rFonts w:ascii="Calibri"/>
          <w:sz w:val="20"/>
        </w:rPr>
      </w:pPr>
    </w:p>
    <w:p w14:paraId="72DED8E3" w14:textId="77777777" w:rsidR="000D25B5" w:rsidRDefault="000D25B5" w:rsidP="000D25B5">
      <w:pPr>
        <w:pStyle w:val="Heading1"/>
        <w:spacing w:before="126"/>
      </w:pPr>
    </w:p>
    <w:p w14:paraId="50968815" w14:textId="77777777" w:rsidR="000D25B5" w:rsidRDefault="000D25B5" w:rsidP="000D25B5">
      <w:pPr>
        <w:pStyle w:val="Heading1"/>
        <w:spacing w:before="126"/>
      </w:pPr>
    </w:p>
    <w:p w14:paraId="26E41E94" w14:textId="4B1C4A94" w:rsidR="000D25B5" w:rsidRDefault="000D25B5" w:rsidP="000D25B5">
      <w:pPr>
        <w:pStyle w:val="Heading1"/>
        <w:spacing w:before="126"/>
        <w:rPr>
          <w:spacing w:val="-10"/>
        </w:rPr>
      </w:pPr>
      <w:r>
        <w:t>Attachment</w:t>
      </w:r>
      <w:r>
        <w:t xml:space="preserve"> A</w:t>
      </w:r>
    </w:p>
    <w:p w14:paraId="29769274" w14:textId="77777777" w:rsidR="000D25B5" w:rsidRDefault="000D25B5">
      <w:pPr>
        <w:rPr>
          <w:rFonts w:ascii="Calibri" w:eastAsia="Calibri" w:hAnsi="Calibri" w:cs="Calibri"/>
          <w:spacing w:val="-10"/>
          <w:sz w:val="67"/>
          <w:szCs w:val="67"/>
        </w:rPr>
      </w:pPr>
      <w:r>
        <w:rPr>
          <w:spacing w:val="-10"/>
        </w:rPr>
        <w:br w:type="page"/>
      </w:r>
    </w:p>
    <w:p w14:paraId="7C3526FD" w14:textId="77777777" w:rsidR="000D25B5" w:rsidRDefault="000D25B5" w:rsidP="000D25B5">
      <w:pPr>
        <w:pStyle w:val="Heading1"/>
        <w:spacing w:before="126"/>
      </w:pPr>
    </w:p>
    <w:p w14:paraId="50177F42" w14:textId="62A7ED55" w:rsidR="00680063" w:rsidRDefault="00000000">
      <w:pPr>
        <w:spacing w:before="56"/>
        <w:ind w:left="119"/>
        <w:rPr>
          <w:rFonts w:ascii="Calibri"/>
        </w:rPr>
      </w:pPr>
      <w:r>
        <w:rPr>
          <w:rFonts w:ascii="Calibri"/>
        </w:rPr>
        <w:t>November</w:t>
      </w:r>
      <w:r>
        <w:rPr>
          <w:rFonts w:ascii="Calibri"/>
          <w:spacing w:val="-6"/>
        </w:rPr>
        <w:t xml:space="preserve"> </w:t>
      </w:r>
      <w:r>
        <w:rPr>
          <w:rFonts w:ascii="Calibri"/>
        </w:rPr>
        <w:t>17,</w:t>
      </w:r>
      <w:r>
        <w:rPr>
          <w:rFonts w:ascii="Calibri"/>
          <w:spacing w:val="-1"/>
        </w:rPr>
        <w:t xml:space="preserve"> </w:t>
      </w:r>
      <w:r>
        <w:rPr>
          <w:rFonts w:ascii="Calibri"/>
          <w:spacing w:val="-4"/>
        </w:rPr>
        <w:t>2022</w:t>
      </w:r>
    </w:p>
    <w:p w14:paraId="3079F712" w14:textId="77777777" w:rsidR="00680063" w:rsidRDefault="00680063">
      <w:pPr>
        <w:pStyle w:val="BodyText"/>
        <w:spacing w:before="6"/>
        <w:rPr>
          <w:rFonts w:ascii="Calibri"/>
          <w:sz w:val="20"/>
        </w:rPr>
      </w:pPr>
    </w:p>
    <w:p w14:paraId="52083D30" w14:textId="77777777" w:rsidR="00680063" w:rsidRDefault="00000000">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1203780" w14:textId="77777777" w:rsidR="00680063" w:rsidRDefault="00000000">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6BFDF3E7" w14:textId="77777777" w:rsidR="00680063" w:rsidRDefault="00000000">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0882CCEC" w14:textId="77777777" w:rsidR="00680063" w:rsidRDefault="00680063">
      <w:pPr>
        <w:pStyle w:val="BodyText"/>
        <w:spacing w:before="8"/>
        <w:rPr>
          <w:rFonts w:ascii="Calibri"/>
          <w:sz w:val="20"/>
        </w:rPr>
      </w:pPr>
    </w:p>
    <w:p w14:paraId="1CFC31B5" w14:textId="77777777" w:rsidR="00680063" w:rsidRDefault="00000000">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120BBA88" w14:textId="77777777" w:rsidR="00680063" w:rsidRDefault="00000000">
      <w:pPr>
        <w:spacing w:before="2" w:line="232" w:lineRule="auto"/>
        <w:ind w:left="119" w:right="790"/>
        <w:rPr>
          <w:rFonts w:ascii="Calibri"/>
        </w:rPr>
      </w:pPr>
      <w:r>
        <w:rPr>
          <w:rFonts w:ascii="Calibri"/>
        </w:rPr>
        <w:t>With</w:t>
      </w:r>
      <w:r>
        <w:rPr>
          <w:rFonts w:ascii="Calibri"/>
          <w:spacing w:val="-4"/>
        </w:rPr>
        <w:t xml:space="preserve"> </w:t>
      </w:r>
      <w:r>
        <w:rPr>
          <w:rFonts w:ascii="Calibri"/>
        </w:rPr>
        <w:t>the</w:t>
      </w:r>
      <w:r>
        <w:rPr>
          <w:rFonts w:ascii="Calibri"/>
          <w:spacing w:val="-4"/>
        </w:rPr>
        <w:t xml:space="preserve"> </w:t>
      </w:r>
      <w:r>
        <w:rPr>
          <w:rFonts w:ascii="Calibri"/>
        </w:rPr>
        <w:t>rapidly</w:t>
      </w:r>
      <w:r>
        <w:rPr>
          <w:rFonts w:ascii="Calibri"/>
          <w:spacing w:val="-3"/>
        </w:rPr>
        <w:t xml:space="preserve"> </w:t>
      </w:r>
      <w:r>
        <w:rPr>
          <w:rFonts w:ascii="Calibri"/>
        </w:rPr>
        <w:t>rising</w:t>
      </w:r>
      <w:r>
        <w:rPr>
          <w:rFonts w:ascii="Calibri"/>
          <w:spacing w:val="-5"/>
        </w:rPr>
        <w:t xml:space="preserve"> </w:t>
      </w:r>
      <w:r>
        <w:rPr>
          <w:rFonts w:ascii="Calibri"/>
        </w:rPr>
        <w:t>interest</w:t>
      </w:r>
      <w:r>
        <w:rPr>
          <w:rFonts w:ascii="Calibri"/>
          <w:spacing w:val="-3"/>
        </w:rPr>
        <w:t xml:space="preserve"> </w:t>
      </w:r>
      <w:r>
        <w:rPr>
          <w:rFonts w:ascii="Calibri"/>
        </w:rPr>
        <w:t>rate</w:t>
      </w:r>
      <w:r>
        <w:rPr>
          <w:rFonts w:ascii="Calibri"/>
          <w:spacing w:val="-4"/>
        </w:rPr>
        <w:t xml:space="preserve"> </w:t>
      </w:r>
      <w:r>
        <w:rPr>
          <w:rFonts w:ascii="Calibri"/>
        </w:rPr>
        <w:t>environment,</w:t>
      </w:r>
      <w:r>
        <w:rPr>
          <w:rFonts w:ascii="Calibri"/>
          <w:spacing w:val="-5"/>
        </w:rPr>
        <w:t xml:space="preserve"> </w:t>
      </w:r>
      <w:r>
        <w:rPr>
          <w:rFonts w:ascii="Calibri"/>
        </w:rPr>
        <w:t>companies</w:t>
      </w:r>
      <w:r>
        <w:rPr>
          <w:rFonts w:ascii="Calibri"/>
          <w:spacing w:val="-3"/>
        </w:rPr>
        <w:t xml:space="preserve"> </w:t>
      </w:r>
      <w:r>
        <w:rPr>
          <w:rFonts w:ascii="Calibri"/>
        </w:rPr>
        <w:t>selling</w:t>
      </w:r>
      <w:r>
        <w:rPr>
          <w:rFonts w:ascii="Calibri"/>
          <w:spacing w:val="-2"/>
        </w:rPr>
        <w:t xml:space="preserve"> </w:t>
      </w:r>
      <w:r>
        <w:rPr>
          <w:rFonts w:ascii="Calibri"/>
        </w:rPr>
        <w:t>fixed</w:t>
      </w:r>
      <w:r>
        <w:rPr>
          <w:rFonts w:ascii="Calibri"/>
          <w:spacing w:val="-4"/>
        </w:rPr>
        <w:t xml:space="preserve"> </w:t>
      </w:r>
      <w:r>
        <w:rPr>
          <w:rFonts w:ascii="Calibri"/>
        </w:rPr>
        <w:t>income</w:t>
      </w:r>
      <w:r>
        <w:rPr>
          <w:rFonts w:ascii="Calibri"/>
          <w:spacing w:val="-4"/>
        </w:rPr>
        <w:t xml:space="preserve"> </w:t>
      </w:r>
      <w:r>
        <w:rPr>
          <w:rFonts w:ascii="Calibri"/>
        </w:rPr>
        <w:t>assets</w:t>
      </w:r>
      <w:r>
        <w:rPr>
          <w:rFonts w:ascii="Calibri"/>
          <w:spacing w:val="-7"/>
        </w:rPr>
        <w:t xml:space="preserve"> </w:t>
      </w:r>
      <w:r>
        <w:rPr>
          <w:rFonts w:ascii="Calibri"/>
        </w:rPr>
        <w:t>for</w:t>
      </w:r>
      <w:r>
        <w:rPr>
          <w:rFonts w:ascii="Calibri"/>
          <w:spacing w:val="-4"/>
        </w:rPr>
        <w:t xml:space="preserve"> </w:t>
      </w:r>
      <w:r>
        <w:rPr>
          <w:rFonts w:ascii="Calibri"/>
        </w:rPr>
        <w:t>a</w:t>
      </w:r>
      <w:r>
        <w:rPr>
          <w:rFonts w:ascii="Calibri"/>
          <w:spacing w:val="-5"/>
        </w:rPr>
        <w:t xml:space="preserve"> </w:t>
      </w:r>
      <w:r>
        <w:rPr>
          <w:rFonts w:ascii="Calibri"/>
        </w:rPr>
        <w:t>loss</w:t>
      </w:r>
      <w:r>
        <w:rPr>
          <w:rFonts w:ascii="Calibri"/>
          <w:spacing w:val="-3"/>
        </w:rPr>
        <w:t xml:space="preserve"> </w:t>
      </w:r>
      <w:r>
        <w:rPr>
          <w:rFonts w:ascii="Calibri"/>
        </w:rPr>
        <w:t>are</w:t>
      </w:r>
      <w:r>
        <w:rPr>
          <w:rFonts w:ascii="Calibri"/>
          <w:spacing w:val="-4"/>
        </w:rPr>
        <w:t xml:space="preserve"> </w:t>
      </w:r>
      <w:r>
        <w:rPr>
          <w:rFonts w:ascii="Calibri"/>
        </w:rPr>
        <w:t>seeing</w:t>
      </w:r>
      <w:r>
        <w:rPr>
          <w:rFonts w:ascii="Calibri"/>
          <w:spacing w:val="-5"/>
        </w:rPr>
        <w:t xml:space="preserve"> </w:t>
      </w:r>
      <w:r>
        <w:rPr>
          <w:rFonts w:ascii="Calibri"/>
        </w:rPr>
        <w:t>their Interest</w:t>
      </w:r>
      <w:r>
        <w:rPr>
          <w:rFonts w:ascii="Calibri"/>
          <w:spacing w:val="25"/>
        </w:rPr>
        <w:t xml:space="preserve"> </w:t>
      </w:r>
      <w:r>
        <w:rPr>
          <w:rFonts w:ascii="Calibri"/>
        </w:rPr>
        <w:t>Maintenance</w:t>
      </w:r>
      <w:r>
        <w:rPr>
          <w:rFonts w:ascii="Calibri"/>
          <w:spacing w:val="29"/>
        </w:rPr>
        <w:t xml:space="preserve"> </w:t>
      </w:r>
      <w:r>
        <w:rPr>
          <w:rFonts w:ascii="Calibri"/>
        </w:rPr>
        <w:t>Reserve</w:t>
      </w:r>
      <w:r>
        <w:rPr>
          <w:rFonts w:ascii="Calibri"/>
          <w:spacing w:val="26"/>
        </w:rPr>
        <w:t xml:space="preserve"> </w:t>
      </w:r>
      <w:r>
        <w:rPr>
          <w:rFonts w:ascii="Calibri"/>
        </w:rPr>
        <w:t>(IMR)</w:t>
      </w:r>
      <w:r>
        <w:rPr>
          <w:rFonts w:ascii="Calibri"/>
          <w:spacing w:val="24"/>
        </w:rPr>
        <w:t xml:space="preserve"> </w:t>
      </w:r>
      <w:r>
        <w:rPr>
          <w:rFonts w:ascii="Calibri"/>
        </w:rPr>
        <w:t>balances</w:t>
      </w:r>
      <w:r>
        <w:rPr>
          <w:rFonts w:ascii="Calibri"/>
          <w:spacing w:val="25"/>
        </w:rPr>
        <w:t xml:space="preserve"> </w:t>
      </w:r>
      <w:r>
        <w:rPr>
          <w:rFonts w:ascii="Calibri"/>
        </w:rPr>
        <w:t>decrease</w:t>
      </w:r>
      <w:r>
        <w:rPr>
          <w:rFonts w:ascii="Calibri"/>
          <w:spacing w:val="24"/>
        </w:rPr>
        <w:t xml:space="preserve"> </w:t>
      </w:r>
      <w:r>
        <w:rPr>
          <w:rFonts w:ascii="Calibri"/>
        </w:rPr>
        <w:t>or</w:t>
      </w:r>
      <w:r>
        <w:rPr>
          <w:rFonts w:ascii="Calibri"/>
          <w:spacing w:val="22"/>
        </w:rPr>
        <w:t xml:space="preserve"> </w:t>
      </w:r>
      <w:r>
        <w:rPr>
          <w:rFonts w:ascii="Calibri"/>
        </w:rPr>
        <w:t>even</w:t>
      </w:r>
      <w:r>
        <w:rPr>
          <w:rFonts w:ascii="Calibri"/>
          <w:spacing w:val="22"/>
        </w:rPr>
        <w:t xml:space="preserve"> </w:t>
      </w:r>
      <w:r>
        <w:rPr>
          <w:rFonts w:ascii="Calibri"/>
        </w:rPr>
        <w:t>become</w:t>
      </w:r>
      <w:r>
        <w:rPr>
          <w:rFonts w:ascii="Calibri"/>
          <w:spacing w:val="26"/>
        </w:rPr>
        <w:t xml:space="preserve"> </w:t>
      </w:r>
      <w:r>
        <w:rPr>
          <w:rFonts w:ascii="Calibri"/>
        </w:rPr>
        <w:t>negative.</w:t>
      </w:r>
      <w:r>
        <w:rPr>
          <w:rFonts w:ascii="Calibri"/>
          <w:spacing w:val="26"/>
        </w:rPr>
        <w:t xml:space="preserve"> </w:t>
      </w:r>
      <w:r>
        <w:rPr>
          <w:rFonts w:ascii="Calibri"/>
        </w:rPr>
        <w:t>Current</w:t>
      </w:r>
      <w:r>
        <w:rPr>
          <w:rFonts w:ascii="Calibri"/>
          <w:spacing w:val="24"/>
        </w:rPr>
        <w:t xml:space="preserve"> </w:t>
      </w:r>
      <w:r>
        <w:rPr>
          <w:rFonts w:ascii="Calibri"/>
        </w:rPr>
        <w:t>statutory accounting treatment makes negative IMR a non-admitted asset. While</w:t>
      </w:r>
      <w:r>
        <w:rPr>
          <w:rFonts w:ascii="Calibri"/>
          <w:spacing w:val="-2"/>
        </w:rPr>
        <w:t xml:space="preserve"> </w:t>
      </w:r>
      <w:r>
        <w:rPr>
          <w:rFonts w:ascii="Calibri"/>
        </w:rPr>
        <w:t>a longer-term evaluation of</w:t>
      </w:r>
      <w:r>
        <w:rPr>
          <w:rFonts w:ascii="Calibri"/>
          <w:spacing w:val="-1"/>
        </w:rPr>
        <w:t xml:space="preserve"> </w:t>
      </w:r>
      <w:r>
        <w:rPr>
          <w:rFonts w:ascii="Calibri"/>
        </w:rPr>
        <w:t>IMR is being considered by the 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spacing w:val="40"/>
        </w:rPr>
        <w:t xml:space="preserve"> </w:t>
      </w:r>
      <w:r>
        <w:rPr>
          <w:rFonts w:ascii="Calibri"/>
        </w:rPr>
        <w:t>additional</w:t>
      </w:r>
      <w:r>
        <w:rPr>
          <w:rFonts w:ascii="Calibri"/>
          <w:spacing w:val="40"/>
        </w:rPr>
        <w:t xml:space="preserve"> </w:t>
      </w:r>
      <w:r>
        <w:rPr>
          <w:rFonts w:ascii="Calibri"/>
        </w:rPr>
        <w:t>guidance</w:t>
      </w:r>
      <w:r>
        <w:rPr>
          <w:rFonts w:ascii="Calibri"/>
          <w:spacing w:val="40"/>
        </w:rPr>
        <w:t xml:space="preserve"> </w:t>
      </w:r>
      <w:r>
        <w:rPr>
          <w:rFonts w:ascii="Calibri"/>
        </w:rPr>
        <w:t>on</w:t>
      </w:r>
      <w:r>
        <w:rPr>
          <w:rFonts w:ascii="Calibri"/>
          <w:spacing w:val="40"/>
        </w:rPr>
        <w:t xml:space="preserve"> </w:t>
      </w:r>
      <w:r>
        <w:rPr>
          <w:rFonts w:ascii="Calibri"/>
        </w:rPr>
        <w:t>the proper</w:t>
      </w:r>
      <w:r>
        <w:rPr>
          <w:rFonts w:ascii="Calibri"/>
          <w:spacing w:val="40"/>
        </w:rPr>
        <w:t xml:space="preserve"> </w:t>
      </w:r>
      <w:r>
        <w:rPr>
          <w:rFonts w:ascii="Calibri"/>
        </w:rPr>
        <w:t>practice</w:t>
      </w:r>
      <w:r>
        <w:rPr>
          <w:rFonts w:ascii="Calibri"/>
          <w:spacing w:val="40"/>
        </w:rPr>
        <w:t xml:space="preserve"> </w:t>
      </w:r>
      <w:r>
        <w:rPr>
          <w:rFonts w:ascii="Calibri"/>
        </w:rPr>
        <w:t>for allocating IMR for Asset Adequacy Testing and Principle-based Reserving purposes may be helpful for companies in the near term.</w:t>
      </w:r>
    </w:p>
    <w:p w14:paraId="66FFBBB6" w14:textId="77777777" w:rsidR="00680063" w:rsidRDefault="00680063">
      <w:pPr>
        <w:pStyle w:val="BodyText"/>
        <w:spacing w:before="5"/>
        <w:rPr>
          <w:rFonts w:ascii="Calibri"/>
          <w:sz w:val="20"/>
        </w:rPr>
      </w:pPr>
    </w:p>
    <w:p w14:paraId="7BD119D1" w14:textId="77777777" w:rsidR="00680063" w:rsidRDefault="00000000">
      <w:pPr>
        <w:spacing w:line="264" w:lineRule="exact"/>
        <w:ind w:left="119"/>
        <w:rPr>
          <w:rFonts w:ascii="Calibri"/>
          <w:b/>
        </w:rPr>
      </w:pPr>
      <w:r>
        <w:rPr>
          <w:rFonts w:ascii="Calibri"/>
          <w:b/>
          <w:spacing w:val="-2"/>
        </w:rPr>
        <w:t>Background</w:t>
      </w:r>
    </w:p>
    <w:p w14:paraId="1FD86BED" w14:textId="77777777" w:rsidR="00680063" w:rsidRDefault="00000000">
      <w:pPr>
        <w:spacing w:before="2" w:line="232" w:lineRule="auto"/>
        <w:ind w:left="117" w:right="814" w:firstLine="2"/>
        <w:jc w:val="both"/>
        <w:rPr>
          <w:rFonts w:ascii="Calibri" w:hAnsi="Calibri"/>
        </w:rPr>
      </w:pPr>
      <w:r>
        <w:rPr>
          <w:rFonts w:ascii="Calibri" w:hAnsi="Calibri"/>
        </w:rPr>
        <w:t>The letter to SAPWG from the American Council of Life Insurers (ACLI) (Attachment 1) notes that “…with the inclusion of a negative IMR balance in asset adequacy testing, the disallowance of a negative IMR can result in double counting of losses (i.e., through the disallowance on the balance sheet and the potential AAT-related reserve deficiency).” There are several sections of the Valuation Manual and RBC instructions where IMR is referenced in the letter. Some of these references contemplate allocating negative IMR (or pre-tax IMR (PIMR), as</w:t>
      </w:r>
      <w:r>
        <w:rPr>
          <w:rFonts w:ascii="Calibri" w:hAnsi="Calibri"/>
          <w:spacing w:val="-4"/>
        </w:rPr>
        <w:t xml:space="preserve"> </w:t>
      </w:r>
      <w:r>
        <w:rPr>
          <w:rFonts w:ascii="Calibri" w:hAnsi="Calibri"/>
        </w:rPr>
        <w:t>applicable)</w:t>
      </w:r>
      <w:r>
        <w:rPr>
          <w:rFonts w:ascii="Calibri" w:hAnsi="Calibri"/>
          <w:spacing w:val="-7"/>
        </w:rPr>
        <w:t xml:space="preserve"> </w:t>
      </w:r>
      <w:r>
        <w:rPr>
          <w:rFonts w:ascii="Calibri" w:hAnsi="Calibri"/>
        </w:rPr>
        <w:t>at</w:t>
      </w:r>
      <w:r>
        <w:rPr>
          <w:rFonts w:ascii="Calibri" w:hAnsi="Calibri"/>
          <w:spacing w:val="-9"/>
        </w:rPr>
        <w:t xml:space="preserve"> </w:t>
      </w:r>
      <w:r>
        <w:rPr>
          <w:rFonts w:ascii="Calibri" w:hAnsi="Calibri"/>
        </w:rPr>
        <w:t>the</w:t>
      </w:r>
      <w:r>
        <w:rPr>
          <w:rFonts w:ascii="Calibri" w:hAnsi="Calibri"/>
          <w:spacing w:val="-7"/>
        </w:rPr>
        <w:t xml:space="preserve"> </w:t>
      </w:r>
      <w:r>
        <w:rPr>
          <w:rFonts w:ascii="Calibri" w:hAnsi="Calibri"/>
        </w:rPr>
        <w:t>level</w:t>
      </w:r>
      <w:r>
        <w:rPr>
          <w:rFonts w:ascii="Calibri" w:hAnsi="Calibri"/>
          <w:spacing w:val="-8"/>
        </w:rPr>
        <w:t xml:space="preserve"> </w:t>
      </w:r>
      <w:r>
        <w:rPr>
          <w:rFonts w:ascii="Calibri" w:hAnsi="Calibri"/>
        </w:rPr>
        <w:t>of</w:t>
      </w:r>
      <w:r>
        <w:rPr>
          <w:rFonts w:ascii="Calibri" w:hAnsi="Calibri"/>
          <w:spacing w:val="-5"/>
        </w:rPr>
        <w:t xml:space="preserve"> </w:t>
      </w:r>
      <w:r>
        <w:rPr>
          <w:rFonts w:ascii="Calibri" w:hAnsi="Calibri"/>
        </w:rPr>
        <w:t>business</w:t>
      </w:r>
      <w:r>
        <w:rPr>
          <w:rFonts w:ascii="Calibri" w:hAnsi="Calibri"/>
          <w:spacing w:val="-8"/>
        </w:rPr>
        <w:t xml:space="preserve"> </w:t>
      </w:r>
      <w:r>
        <w:rPr>
          <w:rFonts w:ascii="Calibri" w:hAnsi="Calibri"/>
        </w:rPr>
        <w:t>that</w:t>
      </w:r>
      <w:r>
        <w:rPr>
          <w:rFonts w:ascii="Calibri" w:hAnsi="Calibri"/>
          <w:spacing w:val="-7"/>
        </w:rPr>
        <w:t xml:space="preserve"> </w:t>
      </w:r>
      <w:r>
        <w:rPr>
          <w:rFonts w:ascii="Calibri" w:hAnsi="Calibri"/>
        </w:rPr>
        <w:t>is</w:t>
      </w:r>
      <w:r>
        <w:rPr>
          <w:rFonts w:ascii="Calibri" w:hAnsi="Calibri"/>
          <w:spacing w:val="-6"/>
        </w:rPr>
        <w:t xml:space="preserve"> </w:t>
      </w:r>
      <w:r>
        <w:rPr>
          <w:rFonts w:ascii="Calibri" w:hAnsi="Calibri"/>
        </w:rPr>
        <w:t>being</w:t>
      </w:r>
      <w:r>
        <w:rPr>
          <w:rFonts w:ascii="Calibri" w:hAnsi="Calibri"/>
          <w:spacing w:val="-8"/>
        </w:rPr>
        <w:t xml:space="preserve"> </w:t>
      </w:r>
      <w:r>
        <w:rPr>
          <w:rFonts w:ascii="Calibri" w:hAnsi="Calibri"/>
        </w:rPr>
        <w:t>analyzed/reserved</w:t>
      </w:r>
      <w:r>
        <w:rPr>
          <w:rFonts w:ascii="Calibri" w:hAnsi="Calibri"/>
          <w:spacing w:val="-7"/>
        </w:rPr>
        <w:t xml:space="preserve"> </w:t>
      </w:r>
      <w:r>
        <w:rPr>
          <w:rFonts w:ascii="Calibri" w:hAnsi="Calibri"/>
        </w:rPr>
        <w:t>for.</w:t>
      </w:r>
      <w:r>
        <w:rPr>
          <w:rFonts w:ascii="Calibri" w:hAnsi="Calibri"/>
          <w:spacing w:val="-9"/>
        </w:rPr>
        <w:t xml:space="preserve"> </w:t>
      </w:r>
      <w:r>
        <w:rPr>
          <w:rFonts w:ascii="Calibri" w:hAnsi="Calibri"/>
        </w:rPr>
        <w:t>However,</w:t>
      </w:r>
      <w:r>
        <w:rPr>
          <w:rFonts w:ascii="Calibri" w:hAnsi="Calibri"/>
          <w:spacing w:val="-3"/>
        </w:rPr>
        <w:t xml:space="preserve"> </w:t>
      </w:r>
      <w:r>
        <w:rPr>
          <w:rFonts w:ascii="Calibri" w:hAnsi="Calibri"/>
        </w:rPr>
        <w:t>these</w:t>
      </w:r>
      <w:r>
        <w:rPr>
          <w:rFonts w:ascii="Calibri" w:hAnsi="Calibri"/>
          <w:spacing w:val="-7"/>
        </w:rPr>
        <w:t xml:space="preserve"> </w:t>
      </w:r>
      <w:r>
        <w:rPr>
          <w:rFonts w:ascii="Calibri" w:hAnsi="Calibri"/>
        </w:rPr>
        <w:t>references</w:t>
      </w:r>
      <w:r>
        <w:rPr>
          <w:rFonts w:ascii="Calibri" w:hAnsi="Calibri"/>
          <w:spacing w:val="-4"/>
        </w:rPr>
        <w:t xml:space="preserve"> </w:t>
      </w:r>
      <w:r>
        <w:rPr>
          <w:rFonts w:ascii="Calibri" w:hAnsi="Calibri"/>
        </w:rPr>
        <w:t>do</w:t>
      </w:r>
      <w:r>
        <w:rPr>
          <w:rFonts w:ascii="Calibri" w:hAnsi="Calibri"/>
          <w:spacing w:val="-8"/>
        </w:rPr>
        <w:t xml:space="preserve"> </w:t>
      </w:r>
      <w:r>
        <w:rPr>
          <w:rFonts w:ascii="Calibri" w:hAnsi="Calibri"/>
        </w:rPr>
        <w:t>not</w:t>
      </w:r>
      <w:r>
        <w:rPr>
          <w:rFonts w:ascii="Calibri" w:hAnsi="Calibri"/>
          <w:spacing w:val="-7"/>
        </w:rPr>
        <w:t xml:space="preserve"> </w:t>
      </w:r>
      <w:r>
        <w:rPr>
          <w:rFonts w:ascii="Calibri" w:hAnsi="Calibri"/>
        </w:rPr>
        <w:t>detail what</w:t>
      </w:r>
      <w:r>
        <w:rPr>
          <w:rFonts w:ascii="Calibri" w:hAnsi="Calibri"/>
          <w:spacing w:val="-1"/>
        </w:rPr>
        <w:t xml:space="preserve"> </w:t>
      </w:r>
      <w:r>
        <w:rPr>
          <w:rFonts w:ascii="Calibri" w:hAnsi="Calibri"/>
        </w:rPr>
        <w:t>to do when the</w:t>
      </w:r>
      <w:r>
        <w:rPr>
          <w:rFonts w:ascii="Calibri" w:hAnsi="Calibri"/>
          <w:spacing w:val="-1"/>
        </w:rPr>
        <w:t xml:space="preserve"> </w:t>
      </w:r>
      <w:r>
        <w:rPr>
          <w:rFonts w:ascii="Calibri" w:hAnsi="Calibri"/>
        </w:rPr>
        <w:t>total company IMR balance</w:t>
      </w:r>
      <w:r>
        <w:rPr>
          <w:rFonts w:ascii="Calibri" w:hAnsi="Calibri"/>
          <w:spacing w:val="-1"/>
        </w:rPr>
        <w:t xml:space="preserve"> </w:t>
      </w:r>
      <w:r>
        <w:rPr>
          <w:rFonts w:ascii="Calibri" w:hAnsi="Calibri"/>
        </w:rPr>
        <w:t>is negative – and therefore a</w:t>
      </w:r>
      <w:r>
        <w:rPr>
          <w:rFonts w:ascii="Calibri" w:hAnsi="Calibri"/>
          <w:spacing w:val="-1"/>
        </w:rPr>
        <w:t xml:space="preserve"> </w:t>
      </w:r>
      <w:r>
        <w:rPr>
          <w:rFonts w:ascii="Calibri" w:hAnsi="Calibri"/>
        </w:rPr>
        <w:t>non-admitted asset</w:t>
      </w:r>
      <w:r>
        <w:rPr>
          <w:rFonts w:ascii="Calibri" w:hAnsi="Calibri"/>
          <w:spacing w:val="-1"/>
        </w:rPr>
        <w:t xml:space="preserve"> </w:t>
      </w:r>
      <w:r>
        <w:rPr>
          <w:rFonts w:ascii="Calibri" w:hAnsi="Calibri"/>
        </w:rPr>
        <w:t>under</w:t>
      </w:r>
      <w:r>
        <w:rPr>
          <w:rFonts w:ascii="Calibri" w:hAnsi="Calibri"/>
          <w:spacing w:val="-1"/>
        </w:rPr>
        <w:t xml:space="preserve"> </w:t>
      </w:r>
      <w:r>
        <w:rPr>
          <w:rFonts w:ascii="Calibri" w:hAnsi="Calibri"/>
        </w:rPr>
        <w:t>current statutory guidance.</w:t>
      </w:r>
    </w:p>
    <w:p w14:paraId="4CB12675" w14:textId="77777777" w:rsidR="00680063" w:rsidRDefault="00680063">
      <w:pPr>
        <w:pStyle w:val="BodyText"/>
        <w:spacing w:before="1"/>
        <w:rPr>
          <w:rFonts w:ascii="Calibri"/>
          <w:sz w:val="21"/>
        </w:rPr>
      </w:pPr>
    </w:p>
    <w:p w14:paraId="431D3BA8" w14:textId="77777777" w:rsidR="00680063" w:rsidRDefault="00000000">
      <w:pPr>
        <w:spacing w:line="232" w:lineRule="auto"/>
        <w:ind w:left="117" w:right="417" w:firstLine="84"/>
        <w:rPr>
          <w:rFonts w:ascii="Calibri" w:hAnsi="Calibri"/>
        </w:rPr>
      </w:pPr>
      <w:r>
        <w:rPr>
          <w:rFonts w:ascii="Calibri" w:hAnsi="Calibri"/>
        </w:rPr>
        <w:t>Other</w:t>
      </w:r>
      <w:r>
        <w:rPr>
          <w:rFonts w:ascii="Calibri" w:hAnsi="Calibri"/>
          <w:spacing w:val="22"/>
        </w:rPr>
        <w:t xml:space="preserve"> </w:t>
      </w:r>
      <w:r>
        <w:rPr>
          <w:rFonts w:ascii="Calibri" w:hAnsi="Calibri"/>
        </w:rPr>
        <w:t>references</w:t>
      </w:r>
      <w:r>
        <w:rPr>
          <w:rFonts w:ascii="Calibri" w:hAnsi="Calibri"/>
          <w:spacing w:val="21"/>
        </w:rPr>
        <w:t xml:space="preserve"> </w:t>
      </w:r>
      <w:r>
        <w:rPr>
          <w:rFonts w:ascii="Calibri" w:hAnsi="Calibri"/>
        </w:rPr>
        <w:t>do</w:t>
      </w:r>
      <w:r>
        <w:rPr>
          <w:rFonts w:ascii="Calibri" w:hAnsi="Calibri"/>
          <w:spacing w:val="22"/>
        </w:rPr>
        <w:t xml:space="preserve"> </w:t>
      </w:r>
      <w:r>
        <w:rPr>
          <w:rFonts w:ascii="Calibri" w:hAnsi="Calibri"/>
        </w:rPr>
        <w:t>provide</w:t>
      </w:r>
      <w:r>
        <w:rPr>
          <w:rFonts w:ascii="Calibri" w:hAnsi="Calibri"/>
          <w:spacing w:val="22"/>
        </w:rPr>
        <w:t xml:space="preserve"> </w:t>
      </w:r>
      <w:r>
        <w:rPr>
          <w:rFonts w:ascii="Calibri" w:hAnsi="Calibri"/>
        </w:rPr>
        <w:t>additional</w:t>
      </w:r>
      <w:r>
        <w:rPr>
          <w:rFonts w:ascii="Calibri" w:hAnsi="Calibri"/>
          <w:spacing w:val="20"/>
        </w:rPr>
        <w:t xml:space="preserve"> </w:t>
      </w:r>
      <w:r>
        <w:rPr>
          <w:rFonts w:ascii="Calibri" w:hAnsi="Calibri"/>
        </w:rPr>
        <w:t>insight</w:t>
      </w:r>
      <w:r>
        <w:rPr>
          <w:rFonts w:ascii="Calibri" w:hAnsi="Calibri"/>
          <w:spacing w:val="21"/>
        </w:rPr>
        <w:t xml:space="preserve"> </w:t>
      </w:r>
      <w:r>
        <w:rPr>
          <w:rFonts w:ascii="Calibri" w:hAnsi="Calibri"/>
        </w:rPr>
        <w:t>as</w:t>
      </w:r>
      <w:r>
        <w:rPr>
          <w:rFonts w:ascii="Calibri" w:hAnsi="Calibri"/>
          <w:spacing w:val="21"/>
        </w:rPr>
        <w:t xml:space="preserve"> </w:t>
      </w:r>
      <w:r>
        <w:rPr>
          <w:rFonts w:ascii="Calibri" w:hAnsi="Calibri"/>
        </w:rPr>
        <w:t>to</w:t>
      </w:r>
      <w:r>
        <w:rPr>
          <w:rFonts w:ascii="Calibri" w:hAnsi="Calibri"/>
          <w:spacing w:val="18"/>
        </w:rPr>
        <w:t xml:space="preserve"> </w:t>
      </w:r>
      <w:r>
        <w:rPr>
          <w:rFonts w:ascii="Calibri" w:hAnsi="Calibri"/>
        </w:rPr>
        <w:t>the</w:t>
      </w:r>
      <w:r>
        <w:rPr>
          <w:rFonts w:ascii="Calibri" w:hAnsi="Calibri"/>
          <w:spacing w:val="22"/>
        </w:rPr>
        <w:t xml:space="preserve"> </w:t>
      </w:r>
      <w:r>
        <w:rPr>
          <w:rFonts w:ascii="Calibri" w:hAnsi="Calibri"/>
        </w:rPr>
        <w:t>allocation of</w:t>
      </w:r>
      <w:r>
        <w:rPr>
          <w:rFonts w:ascii="Calibri" w:hAnsi="Calibri"/>
          <w:spacing w:val="21"/>
        </w:rPr>
        <w:t xml:space="preserve"> </w:t>
      </w:r>
      <w:r>
        <w:rPr>
          <w:rFonts w:ascii="Calibri" w:hAnsi="Calibri"/>
        </w:rPr>
        <w:t>IMR</w:t>
      </w:r>
      <w:r>
        <w:rPr>
          <w:rFonts w:ascii="Calibri" w:hAnsi="Calibri"/>
          <w:spacing w:val="19"/>
        </w:rPr>
        <w:t xml:space="preserve"> </w:t>
      </w:r>
      <w:r>
        <w:rPr>
          <w:rFonts w:ascii="Calibri" w:hAnsi="Calibri"/>
        </w:rPr>
        <w:t>when</w:t>
      </w:r>
      <w:r>
        <w:rPr>
          <w:rFonts w:ascii="Calibri" w:hAnsi="Calibri"/>
          <w:spacing w:val="21"/>
        </w:rPr>
        <w:t xml:space="preserve"> </w:t>
      </w:r>
      <w:r>
        <w:rPr>
          <w:rFonts w:ascii="Calibri" w:hAnsi="Calibri"/>
        </w:rPr>
        <w:t>the</w:t>
      </w:r>
      <w:r>
        <w:rPr>
          <w:rFonts w:ascii="Calibri" w:hAnsi="Calibri"/>
          <w:spacing w:val="20"/>
        </w:rPr>
        <w:t xml:space="preserve"> </w:t>
      </w:r>
      <w:r>
        <w:rPr>
          <w:rFonts w:ascii="Calibri" w:hAnsi="Calibri"/>
        </w:rPr>
        <w:t>total</w:t>
      </w:r>
      <w:r>
        <w:rPr>
          <w:rFonts w:ascii="Calibri" w:hAnsi="Calibri"/>
          <w:spacing w:val="20"/>
        </w:rPr>
        <w:t xml:space="preserve"> </w:t>
      </w:r>
      <w:r>
        <w:rPr>
          <w:rFonts w:ascii="Calibri" w:hAnsi="Calibri"/>
        </w:rPr>
        <w:t>company</w:t>
      </w:r>
      <w:r>
        <w:rPr>
          <w:rFonts w:ascii="Calibri" w:hAnsi="Calibri"/>
          <w:spacing w:val="23"/>
        </w:rPr>
        <w:t xml:space="preserve"> </w:t>
      </w:r>
      <w:r>
        <w:rPr>
          <w:rFonts w:ascii="Calibri" w:hAnsi="Calibri"/>
        </w:rPr>
        <w:t>balance</w:t>
      </w:r>
      <w:r>
        <w:rPr>
          <w:rFonts w:ascii="Calibri" w:hAnsi="Calibri"/>
          <w:spacing w:val="20"/>
        </w:rPr>
        <w:t xml:space="preserve"> </w:t>
      </w:r>
      <w:r>
        <w:rPr>
          <w:rFonts w:ascii="Calibri" w:hAnsi="Calibri"/>
        </w:rPr>
        <w:t>is negative/disallowable.</w:t>
      </w:r>
      <w:r>
        <w:rPr>
          <w:rFonts w:ascii="Calibri" w:hAnsi="Calibri"/>
          <w:spacing w:val="36"/>
        </w:rPr>
        <w:t xml:space="preserve"> </w:t>
      </w:r>
      <w:r>
        <w:rPr>
          <w:rFonts w:ascii="Calibri" w:hAnsi="Calibri"/>
        </w:rPr>
        <w:t>VM-20</w:t>
      </w:r>
      <w:r>
        <w:rPr>
          <w:rFonts w:ascii="Calibri" w:hAnsi="Calibri"/>
          <w:spacing w:val="38"/>
        </w:rPr>
        <w:t xml:space="preserve"> </w:t>
      </w:r>
      <w:r>
        <w:rPr>
          <w:rFonts w:ascii="Calibri" w:hAnsi="Calibri"/>
        </w:rPr>
        <w:t>Section</w:t>
      </w:r>
      <w:r>
        <w:rPr>
          <w:rFonts w:ascii="Calibri" w:hAnsi="Calibri"/>
          <w:spacing w:val="36"/>
        </w:rPr>
        <w:t xml:space="preserve"> </w:t>
      </w:r>
      <w:r>
        <w:rPr>
          <w:rFonts w:ascii="Calibri" w:hAnsi="Calibri"/>
        </w:rPr>
        <w:t>7.D.7.b</w:t>
      </w:r>
      <w:r>
        <w:rPr>
          <w:rFonts w:ascii="Calibri" w:hAnsi="Calibri"/>
          <w:spacing w:val="38"/>
        </w:rPr>
        <w:t xml:space="preserve"> </w:t>
      </w:r>
      <w:r>
        <w:rPr>
          <w:rFonts w:ascii="Calibri" w:hAnsi="Calibri"/>
        </w:rPr>
        <w:t>notes</w:t>
      </w:r>
      <w:r>
        <w:rPr>
          <w:rFonts w:ascii="Calibri" w:hAnsi="Calibri"/>
          <w:spacing w:val="34"/>
        </w:rPr>
        <w:t xml:space="preserve"> </w:t>
      </w:r>
      <w:r>
        <w:rPr>
          <w:rFonts w:ascii="Calibri" w:hAnsi="Calibri"/>
        </w:rPr>
        <w:t>that</w:t>
      </w:r>
      <w:r>
        <w:rPr>
          <w:rFonts w:ascii="Calibri" w:hAnsi="Calibri"/>
          <w:spacing w:val="38"/>
        </w:rPr>
        <w:t xml:space="preserve"> </w:t>
      </w:r>
      <w:r>
        <w:rPr>
          <w:rFonts w:ascii="Calibri" w:hAnsi="Calibri"/>
        </w:rPr>
        <w:t>“…the</w:t>
      </w:r>
      <w:r>
        <w:rPr>
          <w:rFonts w:ascii="Calibri" w:hAnsi="Calibri"/>
          <w:spacing w:val="37"/>
        </w:rPr>
        <w:t xml:space="preserve"> </w:t>
      </w:r>
      <w:r>
        <w:rPr>
          <w:rFonts w:ascii="Calibri" w:hAnsi="Calibri"/>
        </w:rPr>
        <w:t>company</w:t>
      </w:r>
      <w:r>
        <w:rPr>
          <w:rFonts w:ascii="Calibri" w:hAnsi="Calibri"/>
          <w:spacing w:val="36"/>
        </w:rPr>
        <w:t xml:space="preserve"> </w:t>
      </w:r>
      <w:r>
        <w:rPr>
          <w:rFonts w:ascii="Calibri" w:hAnsi="Calibri"/>
        </w:rPr>
        <w:t>shall</w:t>
      </w:r>
      <w:r>
        <w:rPr>
          <w:rFonts w:ascii="Calibri" w:hAnsi="Calibri"/>
          <w:spacing w:val="37"/>
        </w:rPr>
        <w:t xml:space="preserve"> </w:t>
      </w:r>
      <w:r>
        <w:rPr>
          <w:rFonts w:ascii="Calibri" w:hAnsi="Calibri"/>
        </w:rPr>
        <w:t>use</w:t>
      </w:r>
      <w:r>
        <w:rPr>
          <w:rFonts w:ascii="Calibri" w:hAnsi="Calibri"/>
          <w:spacing w:val="40"/>
        </w:rPr>
        <w:t xml:space="preserve"> </w:t>
      </w:r>
      <w:r>
        <w:rPr>
          <w:rFonts w:ascii="Calibri" w:hAnsi="Calibri"/>
        </w:rPr>
        <w:t>a</w:t>
      </w:r>
      <w:r>
        <w:rPr>
          <w:rFonts w:ascii="Calibri" w:hAnsi="Calibri"/>
          <w:spacing w:val="37"/>
        </w:rPr>
        <w:t xml:space="preserve"> </w:t>
      </w:r>
      <w:r>
        <w:rPr>
          <w:rFonts w:ascii="Calibri" w:hAnsi="Calibri"/>
        </w:rPr>
        <w:t>reasonable</w:t>
      </w:r>
      <w:r>
        <w:rPr>
          <w:rFonts w:ascii="Calibri" w:hAnsi="Calibri"/>
          <w:spacing w:val="38"/>
        </w:rPr>
        <w:t xml:space="preserve"> </w:t>
      </w:r>
      <w:r>
        <w:rPr>
          <w:rFonts w:ascii="Calibri" w:hAnsi="Calibri"/>
        </w:rPr>
        <w:t>approach</w:t>
      </w:r>
      <w:r>
        <w:rPr>
          <w:rFonts w:ascii="Calibri" w:hAnsi="Calibri"/>
          <w:spacing w:val="38"/>
        </w:rPr>
        <w:t xml:space="preserve"> </w:t>
      </w:r>
      <w:r>
        <w:rPr>
          <w:rFonts w:ascii="Calibri" w:hAnsi="Calibri"/>
        </w:rPr>
        <w:t>to allocate</w:t>
      </w:r>
      <w:r>
        <w:rPr>
          <w:rFonts w:ascii="Calibri" w:hAnsi="Calibri"/>
          <w:spacing w:val="-6"/>
        </w:rPr>
        <w:t xml:space="preserve"> </w:t>
      </w:r>
      <w:r>
        <w:rPr>
          <w:rFonts w:ascii="Calibri" w:hAnsi="Calibri"/>
        </w:rPr>
        <w:t>any</w:t>
      </w:r>
      <w:r>
        <w:rPr>
          <w:rFonts w:ascii="Calibri" w:hAnsi="Calibri"/>
          <w:spacing w:val="-5"/>
        </w:rPr>
        <w:t xml:space="preserve"> </w:t>
      </w:r>
      <w:r>
        <w:rPr>
          <w:rFonts w:ascii="Calibri" w:hAnsi="Calibri"/>
        </w:rPr>
        <w:t>portion</w:t>
      </w:r>
      <w:r>
        <w:rPr>
          <w:rFonts w:ascii="Calibri" w:hAnsi="Calibri"/>
          <w:spacing w:val="-7"/>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total</w:t>
      </w:r>
      <w:r>
        <w:rPr>
          <w:rFonts w:ascii="Calibri" w:hAnsi="Calibri"/>
          <w:spacing w:val="-6"/>
        </w:rPr>
        <w:t xml:space="preserve"> </w:t>
      </w:r>
      <w:r>
        <w:rPr>
          <w:rFonts w:ascii="Calibri" w:hAnsi="Calibri"/>
        </w:rPr>
        <w:t>company</w:t>
      </w:r>
      <w:r>
        <w:rPr>
          <w:rFonts w:ascii="Calibri" w:hAnsi="Calibri"/>
          <w:spacing w:val="-5"/>
        </w:rPr>
        <w:t xml:space="preserve"> </w:t>
      </w:r>
      <w:r>
        <w:rPr>
          <w:rFonts w:ascii="Calibri" w:hAnsi="Calibri"/>
        </w:rPr>
        <w:t>balance</w:t>
      </w:r>
      <w:r>
        <w:rPr>
          <w:rFonts w:ascii="Calibri" w:hAnsi="Calibri"/>
          <w:spacing w:val="-4"/>
        </w:rPr>
        <w:t xml:space="preserve"> </w:t>
      </w:r>
      <w:r>
        <w:rPr>
          <w:rFonts w:ascii="Calibri" w:hAnsi="Calibri"/>
        </w:rPr>
        <w:t>that</w:t>
      </w:r>
      <w:r>
        <w:rPr>
          <w:rFonts w:ascii="Calibri" w:hAnsi="Calibri"/>
          <w:spacing w:val="-2"/>
        </w:rPr>
        <w:t xml:space="preserve"> </w:t>
      </w:r>
      <w:r>
        <w:rPr>
          <w:rFonts w:ascii="Calibri" w:hAnsi="Calibri"/>
        </w:rPr>
        <w:t>is</w:t>
      </w:r>
      <w:r>
        <w:rPr>
          <w:rFonts w:ascii="Calibri" w:hAnsi="Calibri"/>
          <w:spacing w:val="-4"/>
        </w:rPr>
        <w:t xml:space="preserve"> </w:t>
      </w:r>
      <w:r>
        <w:rPr>
          <w:rFonts w:ascii="Calibri" w:hAnsi="Calibri"/>
        </w:rPr>
        <w:t>disallowable</w:t>
      </w:r>
      <w:r>
        <w:rPr>
          <w:rFonts w:ascii="Calibri" w:hAnsi="Calibri"/>
          <w:spacing w:val="-2"/>
        </w:rPr>
        <w:t xml:space="preserve"> </w:t>
      </w:r>
      <w:r>
        <w:rPr>
          <w:rFonts w:ascii="Calibri" w:hAnsi="Calibri"/>
        </w:rPr>
        <w:t>under</w:t>
      </w:r>
      <w:r>
        <w:rPr>
          <w:rFonts w:ascii="Calibri" w:hAnsi="Calibri"/>
          <w:spacing w:val="-4"/>
        </w:rPr>
        <w:t xml:space="preserve"> </w:t>
      </w:r>
      <w:r>
        <w:rPr>
          <w:rFonts w:ascii="Calibri" w:hAnsi="Calibri"/>
        </w:rPr>
        <w:t>statutory</w:t>
      </w:r>
      <w:r>
        <w:rPr>
          <w:rFonts w:ascii="Calibri" w:hAnsi="Calibri"/>
          <w:spacing w:val="-5"/>
        </w:rPr>
        <w:t xml:space="preserve"> </w:t>
      </w:r>
      <w:r>
        <w:rPr>
          <w:rFonts w:ascii="Calibri" w:hAnsi="Calibri"/>
        </w:rPr>
        <w:t>accounting</w:t>
      </w:r>
      <w:r>
        <w:rPr>
          <w:rFonts w:ascii="Calibri" w:hAnsi="Calibri"/>
          <w:spacing w:val="-6"/>
        </w:rPr>
        <w:t xml:space="preserve"> </w:t>
      </w:r>
      <w:r>
        <w:rPr>
          <w:rFonts w:ascii="Calibri" w:hAnsi="Calibri"/>
        </w:rPr>
        <w:t>procedures</w:t>
      </w:r>
      <w:r>
        <w:rPr>
          <w:rFonts w:ascii="Calibri" w:hAnsi="Calibri"/>
          <w:spacing w:val="-9"/>
        </w:rPr>
        <w:t xml:space="preserve"> </w:t>
      </w:r>
      <w:r>
        <w:rPr>
          <w:rFonts w:ascii="Calibri" w:hAnsi="Calibri"/>
        </w:rPr>
        <w:t>(i.e., when the total company</w:t>
      </w:r>
      <w:r>
        <w:rPr>
          <w:rFonts w:ascii="Calibri" w:hAnsi="Calibri"/>
          <w:spacing w:val="24"/>
        </w:rPr>
        <w:t xml:space="preserve"> </w:t>
      </w:r>
      <w:r>
        <w:rPr>
          <w:rFonts w:ascii="Calibri" w:hAnsi="Calibri"/>
        </w:rPr>
        <w:t>balance is an asset rather than a liability).” Question 22 of the AAA’s Asset Adequacy</w:t>
      </w:r>
      <w:r>
        <w:rPr>
          <w:rFonts w:ascii="Calibri" w:hAnsi="Calibri"/>
          <w:spacing w:val="40"/>
        </w:rPr>
        <w:t xml:space="preserve"> </w:t>
      </w:r>
      <w:r>
        <w:rPr>
          <w:rFonts w:ascii="Calibri" w:hAnsi="Calibri"/>
        </w:rPr>
        <w:t>Practice Note (Attachment 2) states that “… a negative IMR is not an admitted asset in the annual statement.</w:t>
      </w:r>
      <w:r>
        <w:rPr>
          <w:rFonts w:ascii="Calibri" w:hAnsi="Calibri"/>
          <w:spacing w:val="-1"/>
        </w:rPr>
        <w:t xml:space="preserve"> </w:t>
      </w:r>
      <w:r>
        <w:rPr>
          <w:rFonts w:ascii="Calibri" w:hAnsi="Calibri"/>
        </w:rPr>
        <w:t>So, some</w:t>
      </w:r>
      <w:r>
        <w:rPr>
          <w:rFonts w:ascii="Calibri" w:hAnsi="Calibri"/>
          <w:spacing w:val="-4"/>
        </w:rPr>
        <w:t xml:space="preserve"> </w:t>
      </w:r>
      <w:r>
        <w:rPr>
          <w:rFonts w:ascii="Calibri" w:hAnsi="Calibri"/>
        </w:rPr>
        <w:t>actuaries</w:t>
      </w:r>
      <w:r>
        <w:rPr>
          <w:rFonts w:ascii="Calibri" w:hAnsi="Calibri"/>
          <w:spacing w:val="-1"/>
        </w:rPr>
        <w:t xml:space="preserve"> </w:t>
      </w:r>
      <w:r>
        <w:rPr>
          <w:rFonts w:ascii="Calibri" w:hAnsi="Calibri"/>
        </w:rPr>
        <w:t>do</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reflect a</w:t>
      </w:r>
      <w:r>
        <w:rPr>
          <w:rFonts w:ascii="Calibri" w:hAnsi="Calibri"/>
          <w:spacing w:val="-5"/>
        </w:rPr>
        <w:t xml:space="preserve"> </w:t>
      </w:r>
      <w:r>
        <w:rPr>
          <w:rFonts w:ascii="Calibri" w:hAnsi="Calibri"/>
        </w:rPr>
        <w:t>negative</w:t>
      </w:r>
      <w:r>
        <w:rPr>
          <w:rFonts w:ascii="Calibri" w:hAnsi="Calibri"/>
          <w:spacing w:val="-7"/>
        </w:rPr>
        <w:t xml:space="preserve"> </w:t>
      </w:r>
      <w:r>
        <w:rPr>
          <w:rFonts w:ascii="Calibri" w:hAnsi="Calibri"/>
        </w:rPr>
        <w:t>value</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IMR</w:t>
      </w:r>
      <w:r>
        <w:rPr>
          <w:rFonts w:ascii="Calibri" w:hAnsi="Calibri"/>
          <w:spacing w:val="-5"/>
        </w:rPr>
        <w:t xml:space="preserve"> </w:t>
      </w:r>
      <w:r>
        <w:rPr>
          <w:rFonts w:ascii="Calibri" w:hAnsi="Calibri"/>
        </w:rPr>
        <w:t>in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liabilities</w:t>
      </w:r>
      <w:r>
        <w:rPr>
          <w:rFonts w:ascii="Calibri" w:hAnsi="Calibri"/>
          <w:spacing w:val="-3"/>
        </w:rPr>
        <w:t xml:space="preserve"> </w:t>
      </w:r>
      <w:r>
        <w:rPr>
          <w:rFonts w:ascii="Calibri" w:hAnsi="Calibri"/>
        </w:rPr>
        <w:t>used</w:t>
      </w:r>
      <w:r>
        <w:rPr>
          <w:rFonts w:ascii="Calibri" w:hAnsi="Calibri"/>
          <w:spacing w:val="-4"/>
        </w:rPr>
        <w:t xml:space="preserve"> </w:t>
      </w:r>
      <w:r>
        <w:rPr>
          <w:rFonts w:ascii="Calibri" w:hAnsi="Calibri"/>
        </w:rPr>
        <w:t>for asset</w:t>
      </w:r>
      <w:r>
        <w:rPr>
          <w:rFonts w:ascii="Calibri" w:hAnsi="Calibri"/>
          <w:spacing w:val="-1"/>
        </w:rPr>
        <w:t xml:space="preserve"> </w:t>
      </w:r>
      <w:r>
        <w:rPr>
          <w:rFonts w:ascii="Calibri" w:hAnsi="Calibri"/>
        </w:rPr>
        <w:t>adequacy</w:t>
      </w:r>
      <w:r>
        <w:rPr>
          <w:rFonts w:ascii="Calibri" w:hAnsi="Calibri"/>
          <w:spacing w:val="-3"/>
        </w:rPr>
        <w:t xml:space="preserve"> </w:t>
      </w:r>
      <w:r>
        <w:rPr>
          <w:rFonts w:ascii="Calibri" w:hAnsi="Calibri"/>
        </w:rPr>
        <w:t>analysis.”</w:t>
      </w:r>
      <w:r>
        <w:rPr>
          <w:rFonts w:ascii="Calibri" w:hAnsi="Calibri"/>
          <w:spacing w:val="-2"/>
        </w:rPr>
        <w:t xml:space="preserve"> </w:t>
      </w:r>
      <w:r>
        <w:rPr>
          <w:rFonts w:ascii="Calibri" w:hAnsi="Calibri"/>
        </w:rPr>
        <w:t>However, Question</w:t>
      </w:r>
      <w:r>
        <w:rPr>
          <w:rFonts w:ascii="Calibri" w:hAnsi="Calibri"/>
          <w:spacing w:val="37"/>
        </w:rPr>
        <w:t xml:space="preserve"> </w:t>
      </w:r>
      <w:r>
        <w:rPr>
          <w:rFonts w:ascii="Calibri" w:hAnsi="Calibri"/>
        </w:rPr>
        <w:t>22</w:t>
      </w:r>
      <w:r>
        <w:rPr>
          <w:rFonts w:ascii="Calibri" w:hAnsi="Calibri"/>
          <w:spacing w:val="37"/>
        </w:rPr>
        <w:t xml:space="preserve"> </w:t>
      </w:r>
      <w:r>
        <w:rPr>
          <w:rFonts w:ascii="Calibri" w:hAnsi="Calibri"/>
        </w:rPr>
        <w:t>also</w:t>
      </w:r>
      <w:r>
        <w:rPr>
          <w:rFonts w:ascii="Calibri" w:hAnsi="Calibri"/>
          <w:spacing w:val="39"/>
        </w:rPr>
        <w:t xml:space="preserve"> </w:t>
      </w:r>
      <w:r>
        <w:rPr>
          <w:rFonts w:ascii="Calibri" w:hAnsi="Calibri"/>
        </w:rPr>
        <w:t>notes</w:t>
      </w:r>
      <w:r>
        <w:rPr>
          <w:rFonts w:ascii="Calibri" w:hAnsi="Calibri"/>
          <w:spacing w:val="36"/>
        </w:rPr>
        <w:t xml:space="preserve"> </w:t>
      </w:r>
      <w:r>
        <w:rPr>
          <w:rFonts w:ascii="Calibri" w:hAnsi="Calibri"/>
        </w:rPr>
        <w:t>a</w:t>
      </w:r>
      <w:r>
        <w:rPr>
          <w:rFonts w:ascii="Calibri" w:hAnsi="Calibri"/>
          <w:spacing w:val="34"/>
        </w:rPr>
        <w:t xml:space="preserve"> </w:t>
      </w:r>
      <w:r>
        <w:rPr>
          <w:rFonts w:ascii="Calibri" w:hAnsi="Calibri"/>
        </w:rPr>
        <w:t>2012</w:t>
      </w:r>
      <w:r>
        <w:rPr>
          <w:rFonts w:ascii="Calibri" w:hAnsi="Calibri"/>
          <w:spacing w:val="37"/>
        </w:rPr>
        <w:t xml:space="preserve"> </w:t>
      </w:r>
      <w:r>
        <w:rPr>
          <w:rFonts w:ascii="Calibri" w:hAnsi="Calibri"/>
        </w:rPr>
        <w:t>survey</w:t>
      </w:r>
      <w:r>
        <w:rPr>
          <w:rFonts w:ascii="Calibri" w:hAnsi="Calibri"/>
          <w:spacing w:val="38"/>
        </w:rPr>
        <w:t xml:space="preserve"> </w:t>
      </w:r>
      <w:r>
        <w:rPr>
          <w:rFonts w:ascii="Calibri" w:hAnsi="Calibri"/>
        </w:rPr>
        <w:t>data</w:t>
      </w:r>
      <w:r>
        <w:rPr>
          <w:rFonts w:ascii="Calibri" w:hAnsi="Calibri"/>
          <w:spacing w:val="34"/>
        </w:rPr>
        <w:t xml:space="preserve"> </w:t>
      </w:r>
      <w:r>
        <w:rPr>
          <w:rFonts w:ascii="Calibri" w:hAnsi="Calibri"/>
        </w:rPr>
        <w:t>that</w:t>
      </w:r>
      <w:r>
        <w:rPr>
          <w:rFonts w:ascii="Calibri" w:hAnsi="Calibri"/>
          <w:spacing w:val="37"/>
        </w:rPr>
        <w:t xml:space="preserve"> </w:t>
      </w:r>
      <w:r>
        <w:rPr>
          <w:rFonts w:ascii="Calibri" w:hAnsi="Calibri"/>
        </w:rPr>
        <w:t>showed</w:t>
      </w:r>
      <w:r>
        <w:rPr>
          <w:rFonts w:ascii="Calibri" w:hAnsi="Calibri"/>
          <w:spacing w:val="35"/>
        </w:rPr>
        <w:t xml:space="preserve"> </w:t>
      </w:r>
      <w:r>
        <w:rPr>
          <w:rFonts w:ascii="Calibri" w:hAnsi="Calibri"/>
        </w:rPr>
        <w:t>varying</w:t>
      </w:r>
      <w:r>
        <w:rPr>
          <w:rFonts w:ascii="Calibri" w:hAnsi="Calibri"/>
          <w:spacing w:val="36"/>
        </w:rPr>
        <w:t xml:space="preserve"> </w:t>
      </w:r>
      <w:r>
        <w:rPr>
          <w:rFonts w:ascii="Calibri" w:hAnsi="Calibri"/>
        </w:rPr>
        <w:t>practices</w:t>
      </w:r>
      <w:r>
        <w:rPr>
          <w:rFonts w:ascii="Calibri" w:hAnsi="Calibri"/>
          <w:spacing w:val="36"/>
        </w:rPr>
        <w:t xml:space="preserve"> </w:t>
      </w:r>
      <w:r>
        <w:rPr>
          <w:rFonts w:ascii="Calibri" w:hAnsi="Calibri"/>
        </w:rPr>
        <w:t>across</w:t>
      </w:r>
      <w:r>
        <w:rPr>
          <w:rFonts w:ascii="Calibri" w:hAnsi="Calibri"/>
          <w:spacing w:val="36"/>
        </w:rPr>
        <w:t xml:space="preserve"> </w:t>
      </w:r>
      <w:r>
        <w:rPr>
          <w:rFonts w:ascii="Calibri" w:hAnsi="Calibri"/>
        </w:rPr>
        <w:t>companies,</w:t>
      </w:r>
      <w:r>
        <w:rPr>
          <w:rFonts w:ascii="Calibri" w:hAnsi="Calibri"/>
          <w:spacing w:val="38"/>
        </w:rPr>
        <w:t xml:space="preserve"> </w:t>
      </w:r>
      <w:r>
        <w:rPr>
          <w:rFonts w:ascii="Calibri" w:hAnsi="Calibri"/>
        </w:rPr>
        <w:t>including</w:t>
      </w:r>
      <w:r>
        <w:rPr>
          <w:rFonts w:ascii="Calibri" w:hAnsi="Calibri"/>
          <w:spacing w:val="37"/>
        </w:rPr>
        <w:t xml:space="preserve"> </w:t>
      </w:r>
      <w:r>
        <w:rPr>
          <w:rFonts w:ascii="Calibri" w:hAnsi="Calibri"/>
        </w:rPr>
        <w:t>some companies that allocated negative IMR.</w:t>
      </w:r>
    </w:p>
    <w:p w14:paraId="53867E1D" w14:textId="77777777" w:rsidR="00680063" w:rsidRDefault="00680063">
      <w:pPr>
        <w:pStyle w:val="BodyText"/>
        <w:spacing w:before="6"/>
        <w:rPr>
          <w:rFonts w:ascii="Calibri"/>
          <w:sz w:val="20"/>
        </w:rPr>
      </w:pPr>
    </w:p>
    <w:p w14:paraId="69A0EF75" w14:textId="77777777" w:rsidR="00680063" w:rsidRDefault="00000000">
      <w:pPr>
        <w:spacing w:line="264" w:lineRule="exact"/>
        <w:ind w:left="117"/>
        <w:rPr>
          <w:rFonts w:ascii="Calibri"/>
          <w:b/>
        </w:rPr>
      </w:pPr>
      <w:r>
        <w:rPr>
          <w:rFonts w:ascii="Calibri"/>
          <w:b/>
          <w:spacing w:val="-2"/>
        </w:rPr>
        <w:t>Recommendation</w:t>
      </w:r>
    </w:p>
    <w:p w14:paraId="5E0F3BEF" w14:textId="77777777" w:rsidR="00680063" w:rsidRDefault="00000000">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2022,</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following 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the asset handling for the non-admitted portion of IMR would be part of a principle-based, reasonable and appropriate allocation. However, if a company was granted a permitted practice to admit negative IMR as an asset, the company should allocate the formerly</w:t>
      </w:r>
      <w:r>
        <w:rPr>
          <w:rFonts w:ascii="Calibri" w:hAnsi="Calibri"/>
          <w:spacing w:val="37"/>
        </w:rPr>
        <w:t xml:space="preserve"> </w:t>
      </w:r>
      <w:r>
        <w:rPr>
          <w:rFonts w:ascii="Calibri" w:hAnsi="Calibri"/>
        </w:rPr>
        <w:t>non-admitted</w:t>
      </w:r>
      <w:r>
        <w:rPr>
          <w:rFonts w:ascii="Calibri" w:hAnsi="Calibri"/>
          <w:spacing w:val="36"/>
        </w:rPr>
        <w:t xml:space="preserve"> </w:t>
      </w:r>
      <w:r>
        <w:rPr>
          <w:rFonts w:ascii="Calibri" w:hAnsi="Calibri"/>
        </w:rPr>
        <w:t>portion</w:t>
      </w:r>
      <w:r>
        <w:rPr>
          <w:rFonts w:ascii="Calibri" w:hAnsi="Calibri"/>
          <w:spacing w:val="33"/>
        </w:rPr>
        <w:t xml:space="preserve"> </w:t>
      </w:r>
      <w:r>
        <w:rPr>
          <w:rFonts w:ascii="Calibri" w:hAnsi="Calibri"/>
        </w:rPr>
        <w:t>of</w:t>
      </w:r>
      <w:r>
        <w:rPr>
          <w:rFonts w:ascii="Calibri" w:hAnsi="Calibri"/>
          <w:spacing w:val="37"/>
        </w:rPr>
        <w:t xml:space="preserve"> </w:t>
      </w:r>
      <w:r>
        <w:rPr>
          <w:rFonts w:ascii="Calibri" w:hAnsi="Calibri"/>
        </w:rPr>
        <w:t>negative</w:t>
      </w:r>
      <w:r>
        <w:rPr>
          <w:rFonts w:ascii="Calibri" w:hAnsi="Calibri"/>
          <w:spacing w:val="35"/>
        </w:rPr>
        <w:t xml:space="preserve"> </w:t>
      </w:r>
      <w:r>
        <w:rPr>
          <w:rFonts w:ascii="Calibri" w:hAnsi="Calibri"/>
        </w:rPr>
        <w:t>IMR,</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097B3743" w14:textId="77777777" w:rsidR="00680063" w:rsidRDefault="00000000">
      <w:pPr>
        <w:spacing w:line="232" w:lineRule="auto"/>
        <w:ind w:left="117" w:right="1015"/>
        <w:rPr>
          <w:rFonts w:ascii="Calibri" w:hAnsi="Calibri"/>
        </w:rPr>
      </w:pPr>
      <w:r>
        <w:rPr>
          <w:rFonts w:ascii="Calibri" w:hAnsi="Calibri"/>
        </w:rPr>
        <w:t>This recommended guidance is for year-end 2022,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Pr>
          <w:rFonts w:ascii="Calibri" w:hAnsi="Calibri"/>
        </w:rPr>
        <w:t>Refinement</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this</w:t>
      </w:r>
      <w:r>
        <w:rPr>
          <w:rFonts w:ascii="Calibri" w:hAnsi="Calibri"/>
          <w:spacing w:val="-2"/>
        </w:rPr>
        <w:t xml:space="preserve"> </w:t>
      </w:r>
      <w:r>
        <w:rPr>
          <w:rFonts w:ascii="Calibri" w:hAnsi="Calibri"/>
        </w:rPr>
        <w:t>guidance may be</w:t>
      </w:r>
      <w:r>
        <w:rPr>
          <w:rFonts w:ascii="Calibri" w:hAnsi="Calibri"/>
          <w:spacing w:val="-1"/>
        </w:rPr>
        <w:t xml:space="preserve"> </w:t>
      </w:r>
      <w:r>
        <w:rPr>
          <w:rFonts w:ascii="Calibri" w:hAnsi="Calibri"/>
        </w:rPr>
        <w:t>considered</w:t>
      </w:r>
      <w:r>
        <w:rPr>
          <w:rFonts w:ascii="Calibri" w:hAnsi="Calibri"/>
          <w:spacing w:val="-3"/>
        </w:rPr>
        <w:t xml:space="preserve"> </w:t>
      </w:r>
      <w:r>
        <w:rPr>
          <w:rFonts w:ascii="Calibri" w:hAnsi="Calibri"/>
        </w:rPr>
        <w:t>beyond year-end 2022.</w:t>
      </w:r>
    </w:p>
    <w:p w14:paraId="5703CD58" w14:textId="77777777" w:rsidR="00680063" w:rsidRDefault="00680063">
      <w:pPr>
        <w:spacing w:line="232" w:lineRule="auto"/>
        <w:rPr>
          <w:rFonts w:ascii="Calibri" w:hAnsi="Calibri"/>
        </w:rPr>
        <w:sectPr w:rsidR="00680063">
          <w:type w:val="continuous"/>
          <w:pgSz w:w="12240" w:h="15840"/>
          <w:pgMar w:top="1500" w:right="240" w:bottom="280" w:left="960" w:header="720" w:footer="720" w:gutter="0"/>
          <w:cols w:space="720"/>
        </w:sectPr>
      </w:pPr>
    </w:p>
    <w:p w14:paraId="47E9982A" w14:textId="77777777" w:rsidR="00680063" w:rsidRDefault="00680063">
      <w:pPr>
        <w:pStyle w:val="BodyText"/>
        <w:rPr>
          <w:rFonts w:ascii="Calibri"/>
          <w:sz w:val="20"/>
        </w:rPr>
      </w:pPr>
    </w:p>
    <w:p w14:paraId="677F4C03" w14:textId="77777777" w:rsidR="00680063" w:rsidRDefault="00680063">
      <w:pPr>
        <w:pStyle w:val="BodyText"/>
        <w:rPr>
          <w:rFonts w:ascii="Calibri"/>
          <w:sz w:val="20"/>
        </w:rPr>
      </w:pPr>
    </w:p>
    <w:p w14:paraId="1993F73E" w14:textId="77777777" w:rsidR="00680063" w:rsidRDefault="00680063">
      <w:pPr>
        <w:pStyle w:val="BodyText"/>
        <w:rPr>
          <w:rFonts w:ascii="Calibri"/>
          <w:sz w:val="20"/>
        </w:rPr>
      </w:pPr>
    </w:p>
    <w:p w14:paraId="5C80CB6E" w14:textId="77777777" w:rsidR="00680063" w:rsidRDefault="00680063">
      <w:pPr>
        <w:pStyle w:val="BodyText"/>
        <w:rPr>
          <w:rFonts w:ascii="Calibri"/>
          <w:sz w:val="20"/>
        </w:rPr>
      </w:pPr>
    </w:p>
    <w:p w14:paraId="540926DB" w14:textId="77777777" w:rsidR="00680063" w:rsidRDefault="00680063">
      <w:pPr>
        <w:pStyle w:val="BodyText"/>
        <w:rPr>
          <w:rFonts w:ascii="Calibri"/>
          <w:sz w:val="20"/>
        </w:rPr>
      </w:pPr>
    </w:p>
    <w:p w14:paraId="7E248EF9" w14:textId="77777777" w:rsidR="00680063" w:rsidRDefault="00680063">
      <w:pPr>
        <w:pStyle w:val="BodyText"/>
        <w:rPr>
          <w:rFonts w:ascii="Calibri"/>
          <w:sz w:val="20"/>
        </w:rPr>
      </w:pPr>
    </w:p>
    <w:p w14:paraId="5B8DEA7B" w14:textId="77777777" w:rsidR="00680063" w:rsidRDefault="00680063">
      <w:pPr>
        <w:pStyle w:val="BodyText"/>
        <w:rPr>
          <w:rFonts w:ascii="Calibri"/>
          <w:sz w:val="20"/>
        </w:rPr>
      </w:pPr>
    </w:p>
    <w:p w14:paraId="6E694C9E" w14:textId="77777777" w:rsidR="00680063" w:rsidRDefault="00680063">
      <w:pPr>
        <w:pStyle w:val="BodyText"/>
        <w:rPr>
          <w:rFonts w:ascii="Calibri"/>
          <w:sz w:val="20"/>
        </w:rPr>
      </w:pPr>
    </w:p>
    <w:p w14:paraId="58AD44BB" w14:textId="77777777" w:rsidR="00680063" w:rsidRDefault="00680063">
      <w:pPr>
        <w:pStyle w:val="BodyText"/>
        <w:rPr>
          <w:rFonts w:ascii="Calibri"/>
          <w:sz w:val="20"/>
        </w:rPr>
      </w:pPr>
    </w:p>
    <w:p w14:paraId="0A32932D" w14:textId="77777777" w:rsidR="00680063" w:rsidRDefault="00680063">
      <w:pPr>
        <w:pStyle w:val="BodyText"/>
        <w:rPr>
          <w:rFonts w:ascii="Calibri"/>
          <w:sz w:val="20"/>
        </w:rPr>
      </w:pPr>
    </w:p>
    <w:p w14:paraId="5144E5A3" w14:textId="77777777" w:rsidR="00680063" w:rsidRDefault="00680063">
      <w:pPr>
        <w:pStyle w:val="BodyText"/>
        <w:rPr>
          <w:rFonts w:ascii="Calibri"/>
          <w:sz w:val="20"/>
        </w:rPr>
      </w:pPr>
    </w:p>
    <w:p w14:paraId="5B2A7235" w14:textId="77777777" w:rsidR="00680063" w:rsidRDefault="00680063">
      <w:pPr>
        <w:pStyle w:val="BodyText"/>
        <w:rPr>
          <w:rFonts w:ascii="Calibri"/>
          <w:sz w:val="20"/>
        </w:rPr>
      </w:pPr>
    </w:p>
    <w:p w14:paraId="066C4CD9" w14:textId="77777777" w:rsidR="00680063" w:rsidRDefault="00680063">
      <w:pPr>
        <w:pStyle w:val="BodyText"/>
        <w:rPr>
          <w:rFonts w:ascii="Calibri"/>
          <w:sz w:val="20"/>
        </w:rPr>
      </w:pPr>
    </w:p>
    <w:p w14:paraId="03CCE266" w14:textId="77777777" w:rsidR="00680063" w:rsidRDefault="00680063">
      <w:pPr>
        <w:pStyle w:val="BodyText"/>
        <w:rPr>
          <w:rFonts w:ascii="Calibri"/>
          <w:sz w:val="20"/>
        </w:rPr>
      </w:pPr>
    </w:p>
    <w:p w14:paraId="6616140E" w14:textId="77777777" w:rsidR="00680063" w:rsidRDefault="00680063">
      <w:pPr>
        <w:pStyle w:val="BodyText"/>
        <w:rPr>
          <w:rFonts w:ascii="Calibri"/>
          <w:sz w:val="20"/>
        </w:rPr>
      </w:pPr>
    </w:p>
    <w:p w14:paraId="780C5558" w14:textId="77777777" w:rsidR="00680063" w:rsidRDefault="00680063">
      <w:pPr>
        <w:pStyle w:val="BodyText"/>
        <w:rPr>
          <w:rFonts w:ascii="Calibri"/>
          <w:sz w:val="20"/>
        </w:rPr>
      </w:pPr>
    </w:p>
    <w:p w14:paraId="0C32FF44" w14:textId="77777777" w:rsidR="00680063" w:rsidRDefault="00000000">
      <w:pPr>
        <w:pStyle w:val="Heading1"/>
        <w:spacing w:before="126"/>
      </w:pPr>
      <w:r>
        <w:t>Attachment</w:t>
      </w:r>
      <w:r>
        <w:rPr>
          <w:spacing w:val="35"/>
        </w:rPr>
        <w:t xml:space="preserve"> </w:t>
      </w:r>
      <w:r>
        <w:rPr>
          <w:spacing w:val="-10"/>
        </w:rPr>
        <w:t>1</w:t>
      </w:r>
    </w:p>
    <w:p w14:paraId="1B779591" w14:textId="77777777" w:rsidR="00680063" w:rsidRDefault="00680063">
      <w:pPr>
        <w:sectPr w:rsidR="00680063">
          <w:pgSz w:w="12240" w:h="15840"/>
          <w:pgMar w:top="1500" w:right="240" w:bottom="280" w:left="960" w:header="720" w:footer="720" w:gutter="0"/>
          <w:cols w:space="720"/>
        </w:sectPr>
      </w:pPr>
    </w:p>
    <w:p w14:paraId="55B1A88D" w14:textId="77777777" w:rsidR="00680063" w:rsidRDefault="00000000">
      <w:pPr>
        <w:pStyle w:val="BodyText"/>
        <w:ind w:left="477"/>
        <w:rPr>
          <w:rFonts w:ascii="Calibri"/>
          <w:sz w:val="20"/>
        </w:rPr>
      </w:pPr>
      <w:r>
        <w:rPr>
          <w:rFonts w:ascii="Calibri"/>
          <w:noProof/>
          <w:sz w:val="20"/>
        </w:rPr>
        <w:lastRenderedPageBreak/>
        <w:drawing>
          <wp:inline distT="0" distB="0" distL="0" distR="0" wp14:anchorId="6D3F85C0" wp14:editId="38FB069E">
            <wp:extent cx="6008640" cy="540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08640" cy="540639"/>
                    </a:xfrm>
                    <a:prstGeom prst="rect">
                      <a:avLst/>
                    </a:prstGeom>
                  </pic:spPr>
                </pic:pic>
              </a:graphicData>
            </a:graphic>
          </wp:inline>
        </w:drawing>
      </w:r>
    </w:p>
    <w:p w14:paraId="1B9C1100" w14:textId="77777777" w:rsidR="00680063" w:rsidRDefault="00680063">
      <w:pPr>
        <w:pStyle w:val="BodyText"/>
        <w:spacing w:before="7"/>
        <w:rPr>
          <w:rFonts w:ascii="Calibri"/>
          <w:sz w:val="14"/>
        </w:rPr>
      </w:pPr>
    </w:p>
    <w:p w14:paraId="4D44F66E" w14:textId="77777777" w:rsidR="00680063" w:rsidRDefault="00000000">
      <w:pPr>
        <w:pStyle w:val="Heading2"/>
        <w:spacing w:before="90"/>
      </w:pPr>
      <w:r>
        <w:t>Mike</w:t>
      </w:r>
      <w:r>
        <w:rPr>
          <w:spacing w:val="-2"/>
        </w:rPr>
        <w:t xml:space="preserve"> Monahan</w:t>
      </w:r>
    </w:p>
    <w:p w14:paraId="69AEB419" w14:textId="77777777" w:rsidR="00680063" w:rsidRDefault="00000000">
      <w:pPr>
        <w:pStyle w:val="BodyText"/>
        <w:spacing w:before="4" w:line="244" w:lineRule="auto"/>
        <w:ind w:left="479" w:right="7160"/>
      </w:pPr>
      <w:r>
        <w:t>Senior</w:t>
      </w:r>
      <w:r>
        <w:rPr>
          <w:spacing w:val="-14"/>
        </w:rPr>
        <w:t xml:space="preserve"> </w:t>
      </w:r>
      <w:r>
        <w:t>Director,</w:t>
      </w:r>
      <w:r>
        <w:rPr>
          <w:spacing w:val="-12"/>
        </w:rPr>
        <w:t xml:space="preserve"> </w:t>
      </w:r>
      <w:r>
        <w:t>Accounting</w:t>
      </w:r>
      <w:r>
        <w:rPr>
          <w:spacing w:val="-14"/>
        </w:rPr>
        <w:t xml:space="preserve"> </w:t>
      </w:r>
      <w:r>
        <w:t>Policy 202-624-2324 t</w:t>
      </w:r>
    </w:p>
    <w:p w14:paraId="6E4010A0" w14:textId="77777777" w:rsidR="00680063" w:rsidRDefault="00000000">
      <w:pPr>
        <w:pStyle w:val="BodyText"/>
        <w:spacing w:line="272" w:lineRule="exact"/>
        <w:ind w:left="479"/>
      </w:pPr>
      <w:hyperlink r:id="rId6">
        <w:r>
          <w:rPr>
            <w:color w:val="47A0F9"/>
            <w:spacing w:val="-2"/>
            <w:u w:val="single" w:color="47A0F9"/>
          </w:rPr>
          <w:t>mikemonahan@acli.com</w:t>
        </w:r>
      </w:hyperlink>
    </w:p>
    <w:p w14:paraId="2ACAB965" w14:textId="77777777" w:rsidR="00680063" w:rsidRDefault="00680063">
      <w:pPr>
        <w:pStyle w:val="BodyText"/>
        <w:spacing w:before="5"/>
        <w:rPr>
          <w:sz w:val="16"/>
        </w:rPr>
      </w:pPr>
    </w:p>
    <w:p w14:paraId="3E37277E" w14:textId="77777777" w:rsidR="00680063" w:rsidRDefault="00000000">
      <w:pPr>
        <w:pStyle w:val="Heading2"/>
        <w:spacing w:before="90"/>
      </w:pPr>
      <w:r>
        <w:t>Paul</w:t>
      </w:r>
      <w:r>
        <w:rPr>
          <w:spacing w:val="-2"/>
        </w:rPr>
        <w:t xml:space="preserve"> Graham</w:t>
      </w:r>
    </w:p>
    <w:p w14:paraId="64F2D168" w14:textId="77777777" w:rsidR="00680063" w:rsidRDefault="00000000">
      <w:pPr>
        <w:spacing w:before="3" w:line="242" w:lineRule="auto"/>
        <w:ind w:left="481" w:right="7164" w:hanging="2"/>
        <w:rPr>
          <w:sz w:val="24"/>
        </w:rPr>
      </w:pPr>
      <w:r>
        <w:t>Senior</w:t>
      </w:r>
      <w:r>
        <w:rPr>
          <w:spacing w:val="-9"/>
        </w:rPr>
        <w:t xml:space="preserve"> </w:t>
      </w:r>
      <w:r>
        <w:t>Vice</w:t>
      </w:r>
      <w:r>
        <w:rPr>
          <w:spacing w:val="-9"/>
        </w:rPr>
        <w:t xml:space="preserve"> </w:t>
      </w:r>
      <w:r>
        <w:t>President,</w:t>
      </w:r>
      <w:r>
        <w:rPr>
          <w:spacing w:val="-11"/>
        </w:rPr>
        <w:t xml:space="preserve"> </w:t>
      </w:r>
      <w:r>
        <w:rPr>
          <w:sz w:val="24"/>
        </w:rPr>
        <w:t>Chief</w:t>
      </w:r>
      <w:r>
        <w:rPr>
          <w:spacing w:val="-11"/>
          <w:sz w:val="24"/>
        </w:rPr>
        <w:t xml:space="preserve"> </w:t>
      </w:r>
      <w:r>
        <w:rPr>
          <w:sz w:val="24"/>
        </w:rPr>
        <w:t>Actuary 202-624-2164 t</w:t>
      </w:r>
    </w:p>
    <w:p w14:paraId="52586B4E" w14:textId="77777777" w:rsidR="00680063" w:rsidRDefault="00000000">
      <w:pPr>
        <w:pStyle w:val="BodyText"/>
        <w:spacing w:line="273" w:lineRule="exact"/>
        <w:ind w:left="481"/>
      </w:pPr>
      <w:hyperlink r:id="rId7">
        <w:r>
          <w:rPr>
            <w:color w:val="47A0F9"/>
            <w:spacing w:val="-2"/>
            <w:u w:val="single" w:color="47A0F9"/>
          </w:rPr>
          <w:t>paulgraham@acli.com</w:t>
        </w:r>
      </w:hyperlink>
    </w:p>
    <w:p w14:paraId="25197816" w14:textId="77777777" w:rsidR="00680063" w:rsidRDefault="00680063">
      <w:pPr>
        <w:pStyle w:val="BodyText"/>
        <w:spacing w:before="2"/>
        <w:rPr>
          <w:sz w:val="15"/>
        </w:rPr>
      </w:pPr>
    </w:p>
    <w:p w14:paraId="5D20BB48" w14:textId="77777777" w:rsidR="00680063" w:rsidRDefault="00000000">
      <w:pPr>
        <w:pStyle w:val="BodyText"/>
        <w:spacing w:before="90"/>
        <w:ind w:left="479"/>
      </w:pPr>
      <w:r>
        <w:t>October</w:t>
      </w:r>
      <w:r>
        <w:rPr>
          <w:spacing w:val="-3"/>
        </w:rPr>
        <w:t xml:space="preserve"> </w:t>
      </w:r>
      <w:r>
        <w:t>31,</w:t>
      </w:r>
      <w:r>
        <w:rPr>
          <w:spacing w:val="-2"/>
        </w:rPr>
        <w:t xml:space="preserve"> </w:t>
      </w:r>
      <w:r>
        <w:rPr>
          <w:spacing w:val="-4"/>
        </w:rPr>
        <w:t>2022</w:t>
      </w:r>
    </w:p>
    <w:p w14:paraId="4BBDAA73" w14:textId="77777777" w:rsidR="00680063" w:rsidRDefault="00680063">
      <w:pPr>
        <w:pStyle w:val="BodyText"/>
        <w:spacing w:before="4"/>
      </w:pPr>
    </w:p>
    <w:p w14:paraId="4640C9D4" w14:textId="77777777" w:rsidR="00680063" w:rsidRDefault="00000000">
      <w:pPr>
        <w:pStyle w:val="BodyText"/>
        <w:ind w:left="479"/>
      </w:pPr>
      <w:r>
        <w:t>Mr.</w:t>
      </w:r>
      <w:r>
        <w:rPr>
          <w:spacing w:val="-3"/>
        </w:rPr>
        <w:t xml:space="preserve"> </w:t>
      </w:r>
      <w:r>
        <w:t>Dale</w:t>
      </w:r>
      <w:r>
        <w:rPr>
          <w:spacing w:val="-2"/>
        </w:rPr>
        <w:t xml:space="preserve"> </w:t>
      </w:r>
      <w:r>
        <w:t>Bruggeman,</w:t>
      </w:r>
      <w:r>
        <w:rPr>
          <w:spacing w:val="-2"/>
        </w:rPr>
        <w:t xml:space="preserve"> Chairman</w:t>
      </w:r>
    </w:p>
    <w:p w14:paraId="3E8BB1DE" w14:textId="77777777" w:rsidR="00680063" w:rsidRDefault="00000000">
      <w:pPr>
        <w:pStyle w:val="BodyText"/>
        <w:spacing w:before="5" w:line="242" w:lineRule="auto"/>
        <w:ind w:left="479" w:right="5320"/>
      </w:pPr>
      <w:r>
        <w:t>Statutory Accounting Principles Working Group National</w:t>
      </w:r>
      <w:r>
        <w:rPr>
          <w:spacing w:val="-11"/>
        </w:rPr>
        <w:t xml:space="preserve"> </w:t>
      </w:r>
      <w:r>
        <w:t>Association</w:t>
      </w:r>
      <w:r>
        <w:rPr>
          <w:spacing w:val="-12"/>
        </w:rPr>
        <w:t xml:space="preserve"> </w:t>
      </w:r>
      <w:r>
        <w:t>of</w:t>
      </w:r>
      <w:r>
        <w:rPr>
          <w:spacing w:val="-10"/>
        </w:rPr>
        <w:t xml:space="preserve"> </w:t>
      </w:r>
      <w:r>
        <w:t>Insurance</w:t>
      </w:r>
      <w:r>
        <w:rPr>
          <w:spacing w:val="-12"/>
        </w:rPr>
        <w:t xml:space="preserve"> </w:t>
      </w:r>
      <w:r>
        <w:t>Commissioners 1100 Walnut Street, Suite 1500</w:t>
      </w:r>
    </w:p>
    <w:p w14:paraId="1033620D" w14:textId="77777777" w:rsidR="00680063" w:rsidRDefault="00000000">
      <w:pPr>
        <w:pStyle w:val="BodyText"/>
        <w:spacing w:before="3"/>
        <w:ind w:left="479"/>
      </w:pPr>
      <w:r>
        <w:t>Kansas</w:t>
      </w:r>
      <w:r>
        <w:rPr>
          <w:spacing w:val="-1"/>
        </w:rPr>
        <w:t xml:space="preserve"> </w:t>
      </w:r>
      <w:r>
        <w:t>City,</w:t>
      </w:r>
      <w:r>
        <w:rPr>
          <w:spacing w:val="-2"/>
        </w:rPr>
        <w:t xml:space="preserve"> </w:t>
      </w:r>
      <w:r>
        <w:t>MO</w:t>
      </w:r>
      <w:r>
        <w:rPr>
          <w:spacing w:val="-1"/>
        </w:rPr>
        <w:t xml:space="preserve"> </w:t>
      </w:r>
      <w:r>
        <w:t>64106-</w:t>
      </w:r>
      <w:r>
        <w:rPr>
          <w:spacing w:val="-4"/>
        </w:rPr>
        <w:t>2197</w:t>
      </w:r>
    </w:p>
    <w:p w14:paraId="1E453C61" w14:textId="77777777" w:rsidR="00680063" w:rsidRDefault="00680063">
      <w:pPr>
        <w:pStyle w:val="BodyText"/>
        <w:rPr>
          <w:sz w:val="26"/>
        </w:rPr>
      </w:pPr>
    </w:p>
    <w:p w14:paraId="612A1CCB" w14:textId="77777777" w:rsidR="00680063" w:rsidRDefault="00680063">
      <w:pPr>
        <w:pStyle w:val="BodyText"/>
        <w:spacing w:before="2"/>
        <w:rPr>
          <w:sz w:val="22"/>
        </w:rPr>
      </w:pPr>
    </w:p>
    <w:p w14:paraId="279F837F" w14:textId="77777777" w:rsidR="00680063" w:rsidRDefault="00000000">
      <w:pPr>
        <w:pStyle w:val="BodyText"/>
        <w:ind w:left="479"/>
      </w:pPr>
      <w:r>
        <w:t>Dear</w:t>
      </w:r>
      <w:r>
        <w:rPr>
          <w:spacing w:val="-2"/>
        </w:rPr>
        <w:t xml:space="preserve"> </w:t>
      </w:r>
      <w:r>
        <w:t>Mr.</w:t>
      </w:r>
      <w:r>
        <w:rPr>
          <w:spacing w:val="-2"/>
        </w:rPr>
        <w:t xml:space="preserve"> Bruggeman:</w:t>
      </w:r>
    </w:p>
    <w:p w14:paraId="2D845A42" w14:textId="77777777" w:rsidR="00680063" w:rsidRDefault="00680063">
      <w:pPr>
        <w:pStyle w:val="BodyText"/>
      </w:pPr>
    </w:p>
    <w:p w14:paraId="49875584" w14:textId="77777777" w:rsidR="00680063" w:rsidRDefault="00000000">
      <w:pPr>
        <w:pStyle w:val="Heading2"/>
      </w:pPr>
      <w:r>
        <w:t>Re:</w:t>
      </w:r>
      <w:r>
        <w:rPr>
          <w:spacing w:val="-6"/>
        </w:rPr>
        <w:t xml:space="preserve"> </w:t>
      </w:r>
      <w:r>
        <w:t>Proposal</w:t>
      </w:r>
      <w:r>
        <w:rPr>
          <w:spacing w:val="-4"/>
        </w:rPr>
        <w:t xml:space="preserve"> </w:t>
      </w:r>
      <w:r>
        <w:t>for</w:t>
      </w:r>
      <w:r>
        <w:rPr>
          <w:spacing w:val="-2"/>
        </w:rPr>
        <w:t xml:space="preserve"> </w:t>
      </w:r>
      <w:r>
        <w:t>the</w:t>
      </w:r>
      <w:r>
        <w:rPr>
          <w:spacing w:val="-6"/>
        </w:rPr>
        <w:t xml:space="preserve"> </w:t>
      </w:r>
      <w:r>
        <w:t>NAIC</w:t>
      </w:r>
      <w:r>
        <w:rPr>
          <w:spacing w:val="-5"/>
        </w:rPr>
        <w:t xml:space="preserve"> </w:t>
      </w:r>
      <w:r>
        <w:t>to</w:t>
      </w:r>
      <w:r>
        <w:rPr>
          <w:spacing w:val="-4"/>
        </w:rPr>
        <w:t xml:space="preserve"> </w:t>
      </w:r>
      <w:r>
        <w:t>Fulfil</w:t>
      </w:r>
      <w:r>
        <w:rPr>
          <w:spacing w:val="-4"/>
        </w:rPr>
        <w:t xml:space="preserve"> </w:t>
      </w:r>
      <w:r>
        <w:t>the</w:t>
      </w:r>
      <w:r>
        <w:rPr>
          <w:spacing w:val="-3"/>
        </w:rPr>
        <w:t xml:space="preserve"> </w:t>
      </w:r>
      <w:r>
        <w:t>Original</w:t>
      </w:r>
      <w:r>
        <w:rPr>
          <w:spacing w:val="-3"/>
        </w:rPr>
        <w:t xml:space="preserve"> </w:t>
      </w:r>
      <w:r>
        <w:t>Intent</w:t>
      </w:r>
      <w:r>
        <w:rPr>
          <w:spacing w:val="-6"/>
        </w:rPr>
        <w:t xml:space="preserve"> </w:t>
      </w:r>
      <w:r>
        <w:t>of</w:t>
      </w:r>
      <w:r>
        <w:rPr>
          <w:spacing w:val="-5"/>
        </w:rPr>
        <w:t xml:space="preserve"> </w:t>
      </w:r>
      <w:r>
        <w:t>the</w:t>
      </w:r>
      <w:r>
        <w:rPr>
          <w:spacing w:val="-3"/>
        </w:rPr>
        <w:t xml:space="preserve"> </w:t>
      </w:r>
      <w:r>
        <w:t>Interest</w:t>
      </w:r>
      <w:r>
        <w:rPr>
          <w:spacing w:val="-1"/>
        </w:rPr>
        <w:t xml:space="preserve"> </w:t>
      </w:r>
      <w:r>
        <w:t>Maintenance</w:t>
      </w:r>
      <w:r>
        <w:rPr>
          <w:spacing w:val="-5"/>
        </w:rPr>
        <w:t xml:space="preserve"> </w:t>
      </w:r>
      <w:r>
        <w:rPr>
          <w:spacing w:val="-2"/>
        </w:rPr>
        <w:t>Reserve</w:t>
      </w:r>
    </w:p>
    <w:p w14:paraId="67E883FD" w14:textId="77777777" w:rsidR="00680063" w:rsidRDefault="00680063">
      <w:pPr>
        <w:pStyle w:val="BodyText"/>
        <w:spacing w:before="4"/>
        <w:rPr>
          <w:b/>
        </w:rPr>
      </w:pPr>
    </w:p>
    <w:p w14:paraId="5E1C7559" w14:textId="77777777" w:rsidR="00680063" w:rsidRDefault="00000000">
      <w:pPr>
        <w:pStyle w:val="BodyText"/>
        <w:spacing w:line="244" w:lineRule="auto"/>
        <w:ind w:left="479" w:right="1108"/>
        <w:jc w:val="both"/>
      </w:pPr>
      <w:r>
        <w:pict w14:anchorId="1139BC95">
          <v:rect id="docshape1" o:spid="_x0000_s1066" style="position:absolute;left:0;text-align:left;margin-left:199.8pt;margin-top:36.25pt;width:6.35pt;height:.6pt;z-index:-16112128;mso-position-horizontal-relative:page" fillcolor="black" stroked="f">
            <w10:wrap anchorx="page"/>
          </v:rect>
        </w:pict>
      </w:r>
      <w:r>
        <w:t>The</w:t>
      </w:r>
      <w:r>
        <w:rPr>
          <w:spacing w:val="-6"/>
        </w:rPr>
        <w:t xml:space="preserve"> </w:t>
      </w:r>
      <w:r>
        <w:t>American</w:t>
      </w:r>
      <w:r>
        <w:rPr>
          <w:spacing w:val="-5"/>
        </w:rPr>
        <w:t xml:space="preserve"> </w:t>
      </w:r>
      <w:r>
        <w:t>Council</w:t>
      </w:r>
      <w:r>
        <w:rPr>
          <w:spacing w:val="-4"/>
        </w:rPr>
        <w:t xml:space="preserve"> </w:t>
      </w:r>
      <w:r>
        <w:t>of</w:t>
      </w:r>
      <w:r>
        <w:rPr>
          <w:spacing w:val="-3"/>
        </w:rPr>
        <w:t xml:space="preserve"> </w:t>
      </w:r>
      <w:r>
        <w:t>Life</w:t>
      </w:r>
      <w:r>
        <w:rPr>
          <w:spacing w:val="-3"/>
        </w:rPr>
        <w:t xml:space="preserve"> </w:t>
      </w:r>
      <w:r>
        <w:t>Insurers</w:t>
      </w:r>
      <w:r>
        <w:rPr>
          <w:spacing w:val="-5"/>
        </w:rPr>
        <w:t xml:space="preserve"> </w:t>
      </w:r>
      <w:r>
        <w:t>(ACLI)</w:t>
      </w:r>
      <w:r>
        <w:rPr>
          <w:spacing w:val="-6"/>
        </w:rPr>
        <w:t xml:space="preserve"> </w:t>
      </w:r>
      <w:r>
        <w:t>would</w:t>
      </w:r>
      <w:r>
        <w:rPr>
          <w:spacing w:val="-5"/>
        </w:rPr>
        <w:t xml:space="preserve"> </w:t>
      </w:r>
      <w:r>
        <w:t>like</w:t>
      </w:r>
      <w:r>
        <w:rPr>
          <w:spacing w:val="-6"/>
        </w:rPr>
        <w:t xml:space="preserve"> </w:t>
      </w:r>
      <w:r>
        <w:t>to</w:t>
      </w:r>
      <w:r>
        <w:rPr>
          <w:spacing w:val="-5"/>
        </w:rPr>
        <w:t xml:space="preserve"> </w:t>
      </w:r>
      <w:r>
        <w:t>request</w:t>
      </w:r>
      <w:r>
        <w:rPr>
          <w:spacing w:val="-4"/>
        </w:rPr>
        <w:t xml:space="preserve"> </w:t>
      </w:r>
      <w:r>
        <w:t>urgent</w:t>
      </w:r>
      <w:r>
        <w:rPr>
          <w:spacing w:val="-2"/>
        </w:rPr>
        <w:t xml:space="preserve"> </w:t>
      </w:r>
      <w:r>
        <w:t>action</w:t>
      </w:r>
      <w:r>
        <w:rPr>
          <w:spacing w:val="-5"/>
        </w:rPr>
        <w:t xml:space="preserve"> </w:t>
      </w:r>
      <w:r>
        <w:t>on</w:t>
      </w:r>
      <w:r>
        <w:rPr>
          <w:spacing w:val="-5"/>
        </w:rPr>
        <w:t xml:space="preserve"> </w:t>
      </w:r>
      <w:r>
        <w:t>an</w:t>
      </w:r>
      <w:r>
        <w:rPr>
          <w:spacing w:val="-3"/>
        </w:rPr>
        <w:t xml:space="preserve"> </w:t>
      </w:r>
      <w:r>
        <w:t>issue</w:t>
      </w:r>
      <w:r>
        <w:rPr>
          <w:spacing w:val="-6"/>
        </w:rPr>
        <w:t xml:space="preserve"> </w:t>
      </w:r>
      <w:r>
        <w:t>that was</w:t>
      </w:r>
      <w:r>
        <w:rPr>
          <w:spacing w:val="-5"/>
        </w:rPr>
        <w:t xml:space="preserve"> </w:t>
      </w:r>
      <w:r>
        <w:t>never</w:t>
      </w:r>
      <w:r>
        <w:rPr>
          <w:spacing w:val="-6"/>
        </w:rPr>
        <w:t xml:space="preserve"> </w:t>
      </w:r>
      <w:r>
        <w:t>fully</w:t>
      </w:r>
      <w:r>
        <w:rPr>
          <w:spacing w:val="-5"/>
        </w:rPr>
        <w:t xml:space="preserve"> </w:t>
      </w:r>
      <w:r>
        <w:t>resolved by</w:t>
      </w:r>
      <w:r>
        <w:rPr>
          <w:spacing w:val="-5"/>
        </w:rPr>
        <w:t xml:space="preserve"> </w:t>
      </w:r>
      <w:r>
        <w:t>the</w:t>
      </w:r>
      <w:r>
        <w:rPr>
          <w:spacing w:val="-6"/>
        </w:rPr>
        <w:t xml:space="preserve"> </w:t>
      </w:r>
      <w:r>
        <w:t>NAIC</w:t>
      </w:r>
      <w:r>
        <w:rPr>
          <w:spacing w:val="-4"/>
        </w:rPr>
        <w:t xml:space="preserve"> </w:t>
      </w:r>
      <w:r>
        <w:t>and</w:t>
      </w:r>
      <w:r>
        <w:rPr>
          <w:spacing w:val="-5"/>
        </w:rPr>
        <w:t xml:space="preserve"> </w:t>
      </w:r>
      <w:r>
        <w:t>has</w:t>
      </w:r>
      <w:r>
        <w:rPr>
          <w:spacing w:val="-5"/>
        </w:rPr>
        <w:t xml:space="preserve"> </w:t>
      </w:r>
      <w:r>
        <w:t>become</w:t>
      </w:r>
      <w:r>
        <w:rPr>
          <w:spacing w:val="-6"/>
        </w:rPr>
        <w:t xml:space="preserve"> </w:t>
      </w:r>
      <w:r>
        <w:t>a</w:t>
      </w:r>
      <w:r>
        <w:rPr>
          <w:spacing w:val="-6"/>
        </w:rPr>
        <w:t xml:space="preserve"> </w:t>
      </w:r>
      <w:r>
        <w:t>pressing</w:t>
      </w:r>
      <w:r>
        <w:rPr>
          <w:spacing w:val="-5"/>
        </w:rPr>
        <w:t xml:space="preserve"> </w:t>
      </w:r>
      <w:r>
        <w:t>matter</w:t>
      </w:r>
      <w:r>
        <w:rPr>
          <w:spacing w:val="-6"/>
        </w:rPr>
        <w:t xml:space="preserve"> </w:t>
      </w:r>
      <w:r>
        <w:t>for</w:t>
      </w:r>
      <w:r>
        <w:rPr>
          <w:spacing w:val="-3"/>
        </w:rPr>
        <w:t xml:space="preserve"> </w:t>
      </w:r>
      <w:r>
        <w:t>the</w:t>
      </w:r>
      <w:r>
        <w:rPr>
          <w:spacing w:val="-3"/>
        </w:rPr>
        <w:t xml:space="preserve"> </w:t>
      </w:r>
      <w:r>
        <w:t>industry</w:t>
      </w:r>
      <w:r>
        <w:rPr>
          <w:spacing w:val="-7"/>
        </w:rPr>
        <w:t xml:space="preserve"> </w:t>
      </w:r>
      <w:r>
        <w:t>due</w:t>
      </w:r>
      <w:r>
        <w:rPr>
          <w:spacing w:val="-6"/>
        </w:rPr>
        <w:t xml:space="preserve"> </w:t>
      </w:r>
      <w:r>
        <w:t>to</w:t>
      </w:r>
      <w:r>
        <w:rPr>
          <w:spacing w:val="-5"/>
        </w:rPr>
        <w:t xml:space="preserve"> </w:t>
      </w:r>
      <w:r>
        <w:t>the rapid rise in interest rates</w:t>
      </w:r>
      <w:r>
        <w:rPr>
          <w:spacing w:val="80"/>
        </w:rPr>
        <w:t xml:space="preserve"> </w:t>
      </w:r>
      <w:r>
        <w:t xml:space="preserve">the allowance of a net negative Interest Maintenance Reserve (IMR) </w:t>
      </w:r>
      <w:r>
        <w:rPr>
          <w:spacing w:val="-2"/>
        </w:rPr>
        <w:t>balance.</w:t>
      </w:r>
    </w:p>
    <w:p w14:paraId="04CEBB84" w14:textId="77777777" w:rsidR="00680063" w:rsidRDefault="00680063">
      <w:pPr>
        <w:pStyle w:val="BodyText"/>
        <w:spacing w:before="1"/>
      </w:pPr>
    </w:p>
    <w:p w14:paraId="09FC64D0" w14:textId="77777777" w:rsidR="00680063" w:rsidRDefault="00000000">
      <w:pPr>
        <w:pStyle w:val="BodyText"/>
        <w:spacing w:before="1"/>
        <w:ind w:left="481" w:right="1199"/>
        <w:jc w:val="both"/>
      </w:pPr>
      <w:r>
        <w:rPr>
          <w:noProof/>
        </w:rPr>
        <w:drawing>
          <wp:anchor distT="0" distB="0" distL="0" distR="0" simplePos="0" relativeHeight="487204864" behindDoc="1" locked="0" layoutInCell="1" allowOverlap="1" wp14:anchorId="6F046A28" wp14:editId="17696C0E">
            <wp:simplePos x="0" y="0"/>
            <wp:positionH relativeFrom="page">
              <wp:posOffset>5314188</wp:posOffset>
            </wp:positionH>
            <wp:positionV relativeFrom="paragraph">
              <wp:posOffset>387069</wp:posOffset>
            </wp:positionV>
            <wp:extent cx="940307" cy="1082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40307" cy="108204"/>
                    </a:xfrm>
                    <a:prstGeom prst="rect">
                      <a:avLst/>
                    </a:prstGeom>
                  </pic:spPr>
                </pic:pic>
              </a:graphicData>
            </a:graphic>
          </wp:anchor>
        </w:drawing>
      </w:r>
      <w:r>
        <w:rPr>
          <w:noProof/>
        </w:rPr>
        <w:drawing>
          <wp:anchor distT="0" distB="0" distL="0" distR="0" simplePos="0" relativeHeight="487205376" behindDoc="1" locked="0" layoutInCell="1" allowOverlap="1" wp14:anchorId="426321BD" wp14:editId="70122287">
            <wp:simplePos x="0" y="0"/>
            <wp:positionH relativeFrom="page">
              <wp:posOffset>6329171</wp:posOffset>
            </wp:positionH>
            <wp:positionV relativeFrom="paragraph">
              <wp:posOffset>387068</wp:posOffset>
            </wp:positionV>
            <wp:extent cx="524256" cy="1082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24256" cy="108204"/>
                    </a:xfrm>
                    <a:prstGeom prst="rect">
                      <a:avLst/>
                    </a:prstGeom>
                  </pic:spPr>
                </pic:pic>
              </a:graphicData>
            </a:graphic>
          </wp:anchor>
        </w:drawing>
      </w:r>
      <w:r>
        <w:t>The ACLI proposes the allowance of a negative IMR balance in statutory accounting.</w:t>
      </w:r>
      <w:r>
        <w:rPr>
          <w:spacing w:val="40"/>
        </w:rPr>
        <w:t xml:space="preserve"> </w:t>
      </w:r>
      <w:r>
        <w:t>Negative IMR balances are expected to become more prevalent in a higher interest rate environment and their continued disallowance</w:t>
      </w:r>
      <w:r>
        <w:rPr>
          <w:spacing w:val="40"/>
        </w:rPr>
        <w:t xml:space="preserve"> </w:t>
      </w:r>
      <w:r>
        <w:t>will</w:t>
      </w:r>
      <w:r>
        <w:rPr>
          <w:spacing w:val="40"/>
        </w:rPr>
        <w:t xml:space="preserve"> </w:t>
      </w:r>
      <w:r>
        <w:t>only serve to</w:t>
      </w:r>
      <w:r>
        <w:rPr>
          <w:spacing w:val="40"/>
        </w:rPr>
        <w:t xml:space="preserve"> </w:t>
      </w:r>
      <w:r>
        <w:t>project</w:t>
      </w:r>
      <w:r>
        <w:rPr>
          <w:spacing w:val="40"/>
        </w:rPr>
        <w:t xml:space="preserve"> </w:t>
      </w:r>
      <w:r>
        <w:t>misleading opt</w:t>
      </w:r>
    </w:p>
    <w:p w14:paraId="32B43955" w14:textId="77777777" w:rsidR="00680063" w:rsidRDefault="00000000">
      <w:pPr>
        <w:pStyle w:val="BodyText"/>
        <w:ind w:left="479" w:right="1204"/>
        <w:jc w:val="both"/>
      </w:pPr>
      <w:r>
        <w:t xml:space="preserve">strength (e.g. inappropriate perception of decreased financial strength through lower surplus and </w:t>
      </w:r>
      <w:r>
        <w:rPr>
          <w:spacing w:val="-2"/>
        </w:rPr>
        <w:t>risk-</w:t>
      </w:r>
      <w:r>
        <w:rPr>
          <w:noProof/>
          <w:position w:val="-4"/>
        </w:rPr>
        <w:drawing>
          <wp:inline distT="0" distB="0" distL="0" distR="0" wp14:anchorId="02C39134" wp14:editId="23A62A9E">
            <wp:extent cx="5654039" cy="1386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654039" cy="138684"/>
                    </a:xfrm>
                    <a:prstGeom prst="rect">
                      <a:avLst/>
                    </a:prstGeom>
                  </pic:spPr>
                </pic:pic>
              </a:graphicData>
            </a:graphic>
          </wp:inline>
        </w:drawing>
      </w:r>
      <w:r>
        <w:rPr>
          <w:position w:val="-4"/>
        </w:rPr>
        <w:t xml:space="preserve"> </w:t>
      </w:r>
      <w:r>
        <w:t>creating uneconomic incentives for asset-liability management (e.g. discourage prudent investment transactions that are</w:t>
      </w:r>
      <w:r>
        <w:rPr>
          <w:spacing w:val="-2"/>
        </w:rPr>
        <w:t xml:space="preserve"> </w:t>
      </w:r>
      <w:r>
        <w:t>necessary</w:t>
      </w:r>
      <w:r>
        <w:rPr>
          <w:spacing w:val="-1"/>
        </w:rPr>
        <w:t xml:space="preserve"> </w:t>
      </w:r>
      <w:r>
        <w:t>to avoid mismatches between assets</w:t>
      </w:r>
      <w:r>
        <w:rPr>
          <w:spacing w:val="-1"/>
        </w:rPr>
        <w:t xml:space="preserve"> </w:t>
      </w:r>
      <w:r>
        <w:t>and liabilities just to avoid negative IMR).</w:t>
      </w:r>
    </w:p>
    <w:p w14:paraId="47084D71" w14:textId="77777777" w:rsidR="00680063" w:rsidRDefault="00680063">
      <w:pPr>
        <w:pStyle w:val="BodyText"/>
        <w:spacing w:before="11"/>
        <w:rPr>
          <w:sz w:val="23"/>
        </w:rPr>
      </w:pPr>
    </w:p>
    <w:p w14:paraId="248FC08B" w14:textId="77777777" w:rsidR="00680063" w:rsidRDefault="00000000">
      <w:pPr>
        <w:pStyle w:val="BodyText"/>
        <w:spacing w:line="244" w:lineRule="auto"/>
        <w:ind w:left="479" w:right="1109"/>
        <w:jc w:val="both"/>
      </w:pPr>
      <w:r>
        <w:t>ACLI</w:t>
      </w:r>
      <w:r>
        <w:rPr>
          <w:spacing w:val="-11"/>
        </w:rPr>
        <w:t xml:space="preserve"> </w:t>
      </w:r>
      <w:r>
        <w:t>believes</w:t>
      </w:r>
      <w:r>
        <w:rPr>
          <w:spacing w:val="-10"/>
        </w:rPr>
        <w:t xml:space="preserve"> </w:t>
      </w:r>
      <w:r>
        <w:t>the</w:t>
      </w:r>
      <w:r>
        <w:rPr>
          <w:spacing w:val="-11"/>
        </w:rPr>
        <w:t xml:space="preserve"> </w:t>
      </w:r>
      <w:r>
        <w:t>necessary</w:t>
      </w:r>
      <w:r>
        <w:rPr>
          <w:spacing w:val="-10"/>
        </w:rPr>
        <w:t xml:space="preserve"> </w:t>
      </w:r>
      <w:r>
        <w:t>changes</w:t>
      </w:r>
      <w:r>
        <w:rPr>
          <w:spacing w:val="-7"/>
        </w:rPr>
        <w:t xml:space="preserve"> </w:t>
      </w:r>
      <w:r>
        <w:t>can</w:t>
      </w:r>
      <w:r>
        <w:rPr>
          <w:spacing w:val="-10"/>
        </w:rPr>
        <w:t xml:space="preserve"> </w:t>
      </w:r>
      <w:r>
        <w:t>be</w:t>
      </w:r>
      <w:r>
        <w:rPr>
          <w:spacing w:val="-11"/>
        </w:rPr>
        <w:t xml:space="preserve"> </w:t>
      </w:r>
      <w:r>
        <w:t>implemented</w:t>
      </w:r>
      <w:r>
        <w:rPr>
          <w:spacing w:val="-10"/>
        </w:rPr>
        <w:t xml:space="preserve"> </w:t>
      </w:r>
      <w:r>
        <w:t>quickly</w:t>
      </w:r>
      <w:r>
        <w:rPr>
          <w:spacing w:val="-10"/>
        </w:rPr>
        <w:t xml:space="preserve"> </w:t>
      </w:r>
      <w:r>
        <w:t>and</w:t>
      </w:r>
      <w:r>
        <w:rPr>
          <w:spacing w:val="-7"/>
        </w:rPr>
        <w:t xml:space="preserve"> </w:t>
      </w:r>
      <w:r>
        <w:t>with</w:t>
      </w:r>
      <w:r>
        <w:rPr>
          <w:spacing w:val="-10"/>
        </w:rPr>
        <w:t xml:space="preserve"> </w:t>
      </w:r>
      <w:r>
        <w:t>minimal</w:t>
      </w:r>
      <w:r>
        <w:rPr>
          <w:spacing w:val="-9"/>
        </w:rPr>
        <w:t xml:space="preserve"> </w:t>
      </w:r>
      <w:r>
        <w:t>changes</w:t>
      </w:r>
      <w:r>
        <w:rPr>
          <w:spacing w:val="-10"/>
        </w:rPr>
        <w:t xml:space="preserve"> </w:t>
      </w:r>
      <w:r>
        <w:t>to</w:t>
      </w:r>
      <w:r>
        <w:rPr>
          <w:spacing w:val="-10"/>
        </w:rPr>
        <w:t xml:space="preserve"> </w:t>
      </w:r>
      <w:r>
        <w:t>the annual statement reporting instructions.</w:t>
      </w:r>
    </w:p>
    <w:p w14:paraId="39DA5BD4" w14:textId="77777777" w:rsidR="00680063" w:rsidRDefault="00000000">
      <w:pPr>
        <w:pStyle w:val="BodyText"/>
        <w:spacing w:before="5"/>
        <w:rPr>
          <w:sz w:val="13"/>
        </w:rPr>
      </w:pPr>
      <w:r>
        <w:rPr>
          <w:noProof/>
        </w:rPr>
        <w:drawing>
          <wp:anchor distT="0" distB="0" distL="0" distR="0" simplePos="0" relativeHeight="487206400" behindDoc="0" locked="0" layoutInCell="1" allowOverlap="1" wp14:anchorId="38BDC81E" wp14:editId="63B2F3C6">
            <wp:simplePos x="0" y="0"/>
            <wp:positionH relativeFrom="page">
              <wp:posOffset>1580387</wp:posOffset>
            </wp:positionH>
            <wp:positionV relativeFrom="paragraph">
              <wp:posOffset>117704</wp:posOffset>
            </wp:positionV>
            <wp:extent cx="1440384" cy="793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440384" cy="79343"/>
                    </a:xfrm>
                    <a:prstGeom prst="rect">
                      <a:avLst/>
                    </a:prstGeom>
                  </pic:spPr>
                </pic:pic>
              </a:graphicData>
            </a:graphic>
          </wp:anchor>
        </w:drawing>
      </w:r>
      <w:r>
        <w:rPr>
          <w:noProof/>
        </w:rPr>
        <w:drawing>
          <wp:anchor distT="0" distB="0" distL="0" distR="0" simplePos="0" relativeHeight="487207424" behindDoc="0" locked="0" layoutInCell="1" allowOverlap="1" wp14:anchorId="633EDAB4" wp14:editId="7D591B2E">
            <wp:simplePos x="0" y="0"/>
            <wp:positionH relativeFrom="page">
              <wp:posOffset>3085397</wp:posOffset>
            </wp:positionH>
            <wp:positionV relativeFrom="paragraph">
              <wp:posOffset>113622</wp:posOffset>
            </wp:positionV>
            <wp:extent cx="3121250" cy="1026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121250" cy="102679"/>
                    </a:xfrm>
                    <a:prstGeom prst="rect">
                      <a:avLst/>
                    </a:prstGeom>
                  </pic:spPr>
                </pic:pic>
              </a:graphicData>
            </a:graphic>
          </wp:anchor>
        </w:drawing>
      </w:r>
      <w:r>
        <w:pict w14:anchorId="5E74B436">
          <v:shape id="docshape2" o:spid="_x0000_s1065" style="position:absolute;margin-left:1in;margin-top:29.05pt;width:468pt;height:.1pt;z-index:-15727616;mso-wrap-distance-left:0;mso-wrap-distance-right:0;mso-position-horizontal-relative:page;mso-position-vertical-relative:text" coordorigin="1440,581" coordsize="9360,0" path="m1440,581r9360,e" filled="f" strokecolor="#42a6ac" strokeweight=".6pt">
            <v:path arrowok="t"/>
            <w10:wrap type="topAndBottom" anchorx="page"/>
          </v:shape>
        </w:pict>
      </w:r>
      <w:r>
        <w:pict w14:anchorId="3E32693D">
          <v:group id="docshapegroup3" o:spid="_x0000_s1062" style="position:absolute;margin-left:71.95pt;margin-top:37.6pt;width:468.3pt;height:45.8pt;z-index:-15727104;mso-wrap-distance-left:0;mso-wrap-distance-right:0;mso-position-horizontal-relative:page;mso-position-vertical-relative:text" coordorigin="1439,752" coordsize="9366,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64" type="#_x0000_t75" style="position:absolute;left:1439;top:752;width:9366;height:725">
              <v:imagedata r:id="rId13" o:title=""/>
            </v:shape>
            <v:shape id="docshape5" o:spid="_x0000_s1063" type="#_x0000_t75" style="position:absolute;left:1445;top:1520;width:4912;height:148">
              <v:imagedata r:id="rId14" o:title=""/>
            </v:shape>
            <w10:wrap type="topAndBottom" anchorx="page"/>
          </v:group>
        </w:pict>
      </w:r>
      <w:r>
        <w:rPr>
          <w:noProof/>
        </w:rPr>
        <w:drawing>
          <wp:anchor distT="0" distB="0" distL="0" distR="0" simplePos="0" relativeHeight="4" behindDoc="0" locked="0" layoutInCell="1" allowOverlap="1" wp14:anchorId="2EFC1909" wp14:editId="185939E0">
            <wp:simplePos x="0" y="0"/>
            <wp:positionH relativeFrom="page">
              <wp:posOffset>915924</wp:posOffset>
            </wp:positionH>
            <wp:positionV relativeFrom="paragraph">
              <wp:posOffset>1208432</wp:posOffset>
            </wp:positionV>
            <wp:extent cx="353663" cy="76104"/>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353663" cy="76104"/>
                    </a:xfrm>
                    <a:prstGeom prst="rect">
                      <a:avLst/>
                    </a:prstGeom>
                  </pic:spPr>
                </pic:pic>
              </a:graphicData>
            </a:graphic>
          </wp:anchor>
        </w:drawing>
      </w:r>
    </w:p>
    <w:p w14:paraId="0901AADC" w14:textId="77777777" w:rsidR="00680063" w:rsidRDefault="00680063">
      <w:pPr>
        <w:pStyle w:val="BodyText"/>
        <w:spacing w:before="9"/>
        <w:rPr>
          <w:sz w:val="18"/>
        </w:rPr>
      </w:pPr>
    </w:p>
    <w:p w14:paraId="20048168" w14:textId="77777777" w:rsidR="00680063" w:rsidRDefault="00680063">
      <w:pPr>
        <w:pStyle w:val="BodyText"/>
        <w:spacing w:before="2"/>
        <w:rPr>
          <w:sz w:val="12"/>
        </w:rPr>
      </w:pPr>
    </w:p>
    <w:p w14:paraId="67E53132" w14:textId="77777777" w:rsidR="00680063" w:rsidRDefault="00680063">
      <w:pPr>
        <w:pStyle w:val="BodyText"/>
        <w:spacing w:before="4"/>
        <w:rPr>
          <w:sz w:val="18"/>
        </w:rPr>
      </w:pPr>
    </w:p>
    <w:p w14:paraId="5E9D30C4" w14:textId="77777777" w:rsidR="00680063" w:rsidRDefault="00680063">
      <w:pPr>
        <w:rPr>
          <w:sz w:val="18"/>
        </w:rPr>
        <w:sectPr w:rsidR="00680063">
          <w:pgSz w:w="12240" w:h="15840"/>
          <w:pgMar w:top="720" w:right="240" w:bottom="280" w:left="960" w:header="720" w:footer="720" w:gutter="0"/>
          <w:cols w:space="720"/>
        </w:sectPr>
      </w:pPr>
    </w:p>
    <w:p w14:paraId="4F64B4BB" w14:textId="77777777" w:rsidR="00680063" w:rsidRDefault="00000000">
      <w:pPr>
        <w:pStyle w:val="BodyText"/>
        <w:spacing w:before="60"/>
        <w:ind w:left="479"/>
      </w:pPr>
      <w:r>
        <w:lastRenderedPageBreak/>
        <w:t>The</w:t>
      </w:r>
      <w:r>
        <w:rPr>
          <w:spacing w:val="-3"/>
        </w:rPr>
        <w:t xml:space="preserve"> </w:t>
      </w:r>
      <w:r>
        <w:t>remainder</w:t>
      </w:r>
      <w:r>
        <w:rPr>
          <w:spacing w:val="-2"/>
        </w:rPr>
        <w:t xml:space="preserve"> </w:t>
      </w:r>
      <w:r>
        <w:t>of</w:t>
      </w:r>
      <w:r>
        <w:rPr>
          <w:spacing w:val="-2"/>
        </w:rPr>
        <w:t xml:space="preserve"> </w:t>
      </w:r>
      <w:r>
        <w:t>this</w:t>
      </w:r>
      <w:r>
        <w:rPr>
          <w:spacing w:val="-1"/>
        </w:rPr>
        <w:t xml:space="preserve"> </w:t>
      </w:r>
      <w:r>
        <w:t>letter</w:t>
      </w:r>
      <w:r>
        <w:rPr>
          <w:spacing w:val="-2"/>
        </w:rPr>
        <w:t xml:space="preserve"> </w:t>
      </w:r>
      <w:r>
        <w:t>expands</w:t>
      </w:r>
      <w:r>
        <w:rPr>
          <w:spacing w:val="-1"/>
        </w:rPr>
        <w:t xml:space="preserve"> </w:t>
      </w:r>
      <w:r>
        <w:t>upon</w:t>
      </w:r>
      <w:r>
        <w:rPr>
          <w:spacing w:val="-1"/>
        </w:rPr>
        <w:t xml:space="preserve"> </w:t>
      </w:r>
      <w:r>
        <w:t xml:space="preserve">these </w:t>
      </w:r>
      <w:r>
        <w:rPr>
          <w:spacing w:val="-2"/>
        </w:rPr>
        <w:t>points.</w:t>
      </w:r>
    </w:p>
    <w:p w14:paraId="6576487E" w14:textId="77777777" w:rsidR="00680063" w:rsidRDefault="00680063">
      <w:pPr>
        <w:pStyle w:val="BodyText"/>
        <w:rPr>
          <w:sz w:val="26"/>
        </w:rPr>
      </w:pPr>
    </w:p>
    <w:p w14:paraId="05C7EC75" w14:textId="77777777" w:rsidR="00680063" w:rsidRDefault="00680063">
      <w:pPr>
        <w:pStyle w:val="BodyText"/>
        <w:rPr>
          <w:sz w:val="26"/>
        </w:rPr>
      </w:pPr>
    </w:p>
    <w:p w14:paraId="61C70072" w14:textId="77777777" w:rsidR="00680063" w:rsidRDefault="00680063">
      <w:pPr>
        <w:pStyle w:val="BodyText"/>
        <w:rPr>
          <w:sz w:val="26"/>
        </w:rPr>
      </w:pPr>
    </w:p>
    <w:p w14:paraId="2A68FB3E" w14:textId="77777777" w:rsidR="00680063" w:rsidRDefault="00000000">
      <w:pPr>
        <w:pStyle w:val="Heading2"/>
        <w:spacing w:before="228"/>
      </w:pPr>
      <w:r>
        <w:t>Historical</w:t>
      </w:r>
      <w:r>
        <w:rPr>
          <w:spacing w:val="-3"/>
        </w:rPr>
        <w:t xml:space="preserve"> </w:t>
      </w:r>
      <w:r>
        <w:t>Context</w:t>
      </w:r>
      <w:r>
        <w:rPr>
          <w:spacing w:val="-2"/>
        </w:rPr>
        <w:t xml:space="preserve"> </w:t>
      </w:r>
      <w:r>
        <w:t>and</w:t>
      </w:r>
      <w:r>
        <w:rPr>
          <w:spacing w:val="-2"/>
        </w:rPr>
        <w:t xml:space="preserve"> Background</w:t>
      </w:r>
    </w:p>
    <w:p w14:paraId="187B4D99" w14:textId="77777777" w:rsidR="00680063" w:rsidRDefault="00680063">
      <w:pPr>
        <w:pStyle w:val="BodyText"/>
        <w:spacing w:before="7"/>
        <w:rPr>
          <w:b/>
        </w:rPr>
      </w:pPr>
    </w:p>
    <w:p w14:paraId="4D5C926A" w14:textId="77777777" w:rsidR="00680063" w:rsidRDefault="00000000">
      <w:pPr>
        <w:pStyle w:val="BodyText"/>
        <w:spacing w:before="1" w:line="242" w:lineRule="auto"/>
        <w:ind w:left="479" w:right="1197"/>
        <w:jc w:val="both"/>
      </w:pPr>
      <w:r>
        <w:t>The</w:t>
      </w:r>
      <w:r>
        <w:rPr>
          <w:spacing w:val="-7"/>
        </w:rPr>
        <w:t xml:space="preserve"> </w:t>
      </w:r>
      <w:r>
        <w:t>IMR,</w:t>
      </w:r>
      <w:r>
        <w:rPr>
          <w:spacing w:val="-8"/>
        </w:rPr>
        <w:t xml:space="preserve"> </w:t>
      </w:r>
      <w:r>
        <w:t>first</w:t>
      </w:r>
      <w:r>
        <w:rPr>
          <w:spacing w:val="-8"/>
        </w:rPr>
        <w:t xml:space="preserve"> </w:t>
      </w:r>
      <w:r>
        <w:t>effective</w:t>
      </w:r>
      <w:r>
        <w:rPr>
          <w:spacing w:val="-9"/>
        </w:rPr>
        <w:t xml:space="preserve"> </w:t>
      </w:r>
      <w:r>
        <w:t>in</w:t>
      </w:r>
      <w:r>
        <w:rPr>
          <w:spacing w:val="-8"/>
        </w:rPr>
        <w:t xml:space="preserve"> </w:t>
      </w:r>
      <w:r>
        <w:t>statutory</w:t>
      </w:r>
      <w:r>
        <w:rPr>
          <w:spacing w:val="-8"/>
        </w:rPr>
        <w:t xml:space="preserve"> </w:t>
      </w:r>
      <w:r>
        <w:t>accounting</w:t>
      </w:r>
      <w:r>
        <w:rPr>
          <w:spacing w:val="-8"/>
        </w:rPr>
        <w:t xml:space="preserve"> </w:t>
      </w:r>
      <w:r>
        <w:t>in</w:t>
      </w:r>
      <w:r>
        <w:rPr>
          <w:spacing w:val="-6"/>
        </w:rPr>
        <w:t xml:space="preserve"> </w:t>
      </w:r>
      <w:r>
        <w:t>1992,</w:t>
      </w:r>
      <w:r>
        <w:rPr>
          <w:spacing w:val="-8"/>
        </w:rPr>
        <w:t xml:space="preserve"> </w:t>
      </w:r>
      <w:r>
        <w:t>requires</w:t>
      </w:r>
      <w:r>
        <w:rPr>
          <w:spacing w:val="-8"/>
        </w:rPr>
        <w:t xml:space="preserve"> </w:t>
      </w:r>
      <w:r>
        <w:t>that</w:t>
      </w:r>
      <w:r>
        <w:rPr>
          <w:spacing w:val="-5"/>
        </w:rPr>
        <w:t xml:space="preserve"> </w:t>
      </w:r>
      <w:r>
        <w:t>a</w:t>
      </w:r>
      <w:r>
        <w:rPr>
          <w:spacing w:val="-9"/>
        </w:rPr>
        <w:t xml:space="preserve"> </w:t>
      </w:r>
      <w:r>
        <w:t>realized</w:t>
      </w:r>
      <w:r>
        <w:rPr>
          <w:spacing w:val="-8"/>
        </w:rPr>
        <w:t xml:space="preserve"> </w:t>
      </w:r>
      <w:r>
        <w:t>fixed</w:t>
      </w:r>
      <w:r>
        <w:rPr>
          <w:spacing w:val="-8"/>
        </w:rPr>
        <w:t xml:space="preserve"> </w:t>
      </w:r>
      <w:r>
        <w:t>income</w:t>
      </w:r>
      <w:r>
        <w:rPr>
          <w:spacing w:val="-4"/>
        </w:rPr>
        <w:t xml:space="preserve"> </w:t>
      </w:r>
      <w:r>
        <w:t>gain or loss, attributable to changes in interest rates (but not gains or losses that are credit related), be amortized into income over the remaining term to maturity of the fixed income investments (and related hedging programs) sold rather than being reflected in income immediately.</w:t>
      </w:r>
    </w:p>
    <w:p w14:paraId="7369D04F" w14:textId="77777777" w:rsidR="00680063" w:rsidRDefault="00680063">
      <w:pPr>
        <w:pStyle w:val="BodyText"/>
        <w:spacing w:before="8"/>
      </w:pPr>
    </w:p>
    <w:p w14:paraId="3D6964CE" w14:textId="77777777" w:rsidR="00680063" w:rsidRDefault="00000000">
      <w:pPr>
        <w:pStyle w:val="BodyText"/>
        <w:spacing w:line="244" w:lineRule="auto"/>
        <w:ind w:left="479" w:right="1105"/>
        <w:jc w:val="both"/>
      </w:pPr>
      <w:r>
        <w:t>Since statutory accounting practices for life insurance companies are the primary determinant of obtaining</w:t>
      </w:r>
      <w:r>
        <w:rPr>
          <w:spacing w:val="-11"/>
        </w:rPr>
        <w:t xml:space="preserve"> </w:t>
      </w:r>
      <w:r>
        <w:t>an</w:t>
      </w:r>
      <w:r>
        <w:rPr>
          <w:spacing w:val="-11"/>
        </w:rPr>
        <w:t xml:space="preserve"> </w:t>
      </w:r>
      <w:r>
        <w:t>accurate</w:t>
      </w:r>
      <w:r>
        <w:rPr>
          <w:spacing w:val="-12"/>
        </w:rPr>
        <w:t xml:space="preserve"> </w:t>
      </w:r>
      <w:r>
        <w:t>picture</w:t>
      </w:r>
      <w:r>
        <w:rPr>
          <w:spacing w:val="-12"/>
        </w:rPr>
        <w:t xml:space="preserve"> </w:t>
      </w:r>
      <w:r>
        <w:t>for</w:t>
      </w:r>
      <w:r>
        <w:rPr>
          <w:spacing w:val="-11"/>
        </w:rPr>
        <w:t xml:space="preserve"> </w:t>
      </w:r>
      <w:r>
        <w:t>assessing</w:t>
      </w:r>
      <w:r>
        <w:rPr>
          <w:spacing w:val="-11"/>
        </w:rPr>
        <w:t xml:space="preserve"> </w:t>
      </w:r>
      <w:r>
        <w:t>solvency,</w:t>
      </w:r>
      <w:r>
        <w:rPr>
          <w:spacing w:val="-11"/>
        </w:rPr>
        <w:t xml:space="preserve"> </w:t>
      </w:r>
      <w:r>
        <w:t>it</w:t>
      </w:r>
      <w:r>
        <w:rPr>
          <w:spacing w:val="-9"/>
        </w:rPr>
        <w:t xml:space="preserve"> </w:t>
      </w:r>
      <w:r>
        <w:t>was</w:t>
      </w:r>
      <w:r>
        <w:rPr>
          <w:spacing w:val="-10"/>
        </w:rPr>
        <w:t xml:space="preserve"> </w:t>
      </w:r>
      <w:r>
        <w:t>imperative</w:t>
      </w:r>
      <w:r>
        <w:rPr>
          <w:spacing w:val="-12"/>
        </w:rPr>
        <w:t xml:space="preserve"> </w:t>
      </w:r>
      <w:r>
        <w:t>that</w:t>
      </w:r>
      <w:r>
        <w:rPr>
          <w:spacing w:val="-10"/>
        </w:rPr>
        <w:t xml:space="preserve"> </w:t>
      </w:r>
      <w:r>
        <w:t>the</w:t>
      </w:r>
      <w:r>
        <w:rPr>
          <w:spacing w:val="-12"/>
        </w:rPr>
        <w:t xml:space="preserve"> </w:t>
      </w:r>
      <w:r>
        <w:t>accounting</w:t>
      </w:r>
      <w:r>
        <w:rPr>
          <w:spacing w:val="-11"/>
        </w:rPr>
        <w:t xml:space="preserve"> </w:t>
      </w:r>
      <w:r>
        <w:t>practices be</w:t>
      </w:r>
      <w:r>
        <w:rPr>
          <w:spacing w:val="-7"/>
        </w:rPr>
        <w:t xml:space="preserve"> </w:t>
      </w:r>
      <w:r>
        <w:t>consistent</w:t>
      </w:r>
      <w:r>
        <w:rPr>
          <w:spacing w:val="-3"/>
        </w:rPr>
        <w:t xml:space="preserve"> </w:t>
      </w:r>
      <w:r>
        <w:t>for</w:t>
      </w:r>
      <w:r>
        <w:rPr>
          <w:spacing w:val="-4"/>
        </w:rPr>
        <w:t xml:space="preserve"> </w:t>
      </w:r>
      <w:r>
        <w:t>assets,</w:t>
      </w:r>
      <w:r>
        <w:rPr>
          <w:spacing w:val="-6"/>
        </w:rPr>
        <w:t xml:space="preserve"> </w:t>
      </w:r>
      <w:r>
        <w:t>liabilities,</w:t>
      </w:r>
      <w:r>
        <w:rPr>
          <w:spacing w:val="-6"/>
        </w:rPr>
        <w:t xml:space="preserve"> </w:t>
      </w:r>
      <w:r>
        <w:t>and</w:t>
      </w:r>
      <w:r>
        <w:rPr>
          <w:spacing w:val="-6"/>
        </w:rPr>
        <w:t xml:space="preserve"> </w:t>
      </w:r>
      <w:r>
        <w:t>income</w:t>
      </w:r>
      <w:r>
        <w:rPr>
          <w:spacing w:val="-4"/>
        </w:rPr>
        <w:t xml:space="preserve"> </w:t>
      </w:r>
      <w:r>
        <w:t>and</w:t>
      </w:r>
      <w:r>
        <w:rPr>
          <w:spacing w:val="-3"/>
        </w:rPr>
        <w:t xml:space="preserve"> </w:t>
      </w:r>
      <w:r>
        <w:t>that</w:t>
      </w:r>
      <w:r>
        <w:rPr>
          <w:spacing w:val="-5"/>
        </w:rPr>
        <w:t xml:space="preserve"> </w:t>
      </w:r>
      <w:r>
        <w:t>they</w:t>
      </w:r>
      <w:r>
        <w:rPr>
          <w:spacing w:val="-6"/>
        </w:rPr>
        <w:t xml:space="preserve"> </w:t>
      </w:r>
      <w:r>
        <w:t>be</w:t>
      </w:r>
      <w:r>
        <w:rPr>
          <w:spacing w:val="-4"/>
        </w:rPr>
        <w:t xml:space="preserve"> </w:t>
      </w:r>
      <w:r>
        <w:t>reported</w:t>
      </w:r>
      <w:r>
        <w:rPr>
          <w:spacing w:val="-6"/>
        </w:rPr>
        <w:t xml:space="preserve"> </w:t>
      </w:r>
      <w:r>
        <w:t>on</w:t>
      </w:r>
      <w:r>
        <w:rPr>
          <w:spacing w:val="-3"/>
        </w:rPr>
        <w:t xml:space="preserve"> </w:t>
      </w:r>
      <w:r>
        <w:t>a</w:t>
      </w:r>
      <w:r>
        <w:rPr>
          <w:spacing w:val="-4"/>
        </w:rPr>
        <w:t xml:space="preserve"> </w:t>
      </w:r>
      <w:r>
        <w:t>financially consistent basis.</w:t>
      </w:r>
      <w:r>
        <w:rPr>
          <w:spacing w:val="40"/>
        </w:rPr>
        <w:t xml:space="preserve"> </w:t>
      </w:r>
      <w:r>
        <w:t>If</w:t>
      </w:r>
      <w:r>
        <w:rPr>
          <w:spacing w:val="-3"/>
        </w:rPr>
        <w:t xml:space="preserve"> </w:t>
      </w:r>
      <w:r>
        <w:t>assets</w:t>
      </w:r>
      <w:r>
        <w:rPr>
          <w:spacing w:val="-2"/>
        </w:rPr>
        <w:t xml:space="preserve"> </w:t>
      </w:r>
      <w:r>
        <w:t>and</w:t>
      </w:r>
      <w:r>
        <w:rPr>
          <w:spacing w:val="-2"/>
        </w:rPr>
        <w:t xml:space="preserve"> </w:t>
      </w:r>
      <w:r>
        <w:t>liabilities</w:t>
      </w:r>
      <w:r>
        <w:rPr>
          <w:spacing w:val="-2"/>
        </w:rPr>
        <w:t xml:space="preserve"> </w:t>
      </w:r>
      <w:r>
        <w:t>were</w:t>
      </w:r>
      <w:r>
        <w:rPr>
          <w:spacing w:val="-3"/>
        </w:rPr>
        <w:t xml:space="preserve"> </w:t>
      </w:r>
      <w:r>
        <w:t>not</w:t>
      </w:r>
      <w:r>
        <w:rPr>
          <w:spacing w:val="-2"/>
        </w:rPr>
        <w:t xml:space="preserve"> </w:t>
      </w:r>
      <w:r>
        <w:t>reported</w:t>
      </w:r>
      <w:r>
        <w:rPr>
          <w:spacing w:val="-2"/>
        </w:rPr>
        <w:t xml:space="preserve"> </w:t>
      </w:r>
      <w:r>
        <w:t>on a</w:t>
      </w:r>
      <w:r>
        <w:rPr>
          <w:spacing w:val="-3"/>
        </w:rPr>
        <w:t xml:space="preserve"> </w:t>
      </w:r>
      <w:r>
        <w:t>financially</w:t>
      </w:r>
      <w:r>
        <w:rPr>
          <w:spacing w:val="-2"/>
        </w:rPr>
        <w:t xml:space="preserve"> </w:t>
      </w:r>
      <w:r>
        <w:t>consistent</w:t>
      </w:r>
      <w:r>
        <w:rPr>
          <w:spacing w:val="-4"/>
        </w:rPr>
        <w:t xml:space="preserve"> </w:t>
      </w:r>
      <w:r>
        <w:t>basis,</w:t>
      </w:r>
      <w:r>
        <w:rPr>
          <w:spacing w:val="-2"/>
        </w:rPr>
        <w:t xml:space="preserve"> </w:t>
      </w:r>
      <w:r>
        <w:t>then</w:t>
      </w:r>
      <w:r>
        <w:rPr>
          <w:spacing w:val="-2"/>
        </w:rPr>
        <w:t xml:space="preserve"> </w:t>
      </w:r>
      <w:r>
        <w:t>the</w:t>
      </w:r>
      <w:r>
        <w:rPr>
          <w:spacing w:val="-3"/>
        </w:rPr>
        <w:t xml:space="preserve"> </w:t>
      </w:r>
      <w:r>
        <w:t>financial statements</w:t>
      </w:r>
      <w:r>
        <w:rPr>
          <w:spacing w:val="-8"/>
        </w:rPr>
        <w:t xml:space="preserve"> </w:t>
      </w:r>
      <w:r>
        <w:t>would</w:t>
      </w:r>
      <w:r>
        <w:rPr>
          <w:spacing w:val="-8"/>
        </w:rPr>
        <w:t xml:space="preserve"> </w:t>
      </w:r>
      <w:r>
        <w:t>not</w:t>
      </w:r>
      <w:r>
        <w:rPr>
          <w:spacing w:val="-8"/>
        </w:rPr>
        <w:t xml:space="preserve"> </w:t>
      </w:r>
      <w:r>
        <w:t>be</w:t>
      </w:r>
      <w:r>
        <w:rPr>
          <w:spacing w:val="-9"/>
        </w:rPr>
        <w:t xml:space="preserve"> </w:t>
      </w:r>
      <w:r>
        <w:t>useful</w:t>
      </w:r>
      <w:r>
        <w:rPr>
          <w:spacing w:val="-8"/>
        </w:rPr>
        <w:t xml:space="preserve"> </w:t>
      </w:r>
      <w:r>
        <w:t>in</w:t>
      </w:r>
      <w:r>
        <w:rPr>
          <w:spacing w:val="-8"/>
        </w:rPr>
        <w:t xml:space="preserve"> </w:t>
      </w:r>
      <w:r>
        <w:t>determining</w:t>
      </w:r>
      <w:r>
        <w:rPr>
          <w:spacing w:val="-8"/>
        </w:rPr>
        <w:t xml:space="preserve"> </w:t>
      </w:r>
      <w:r>
        <w:t>an</w:t>
      </w:r>
      <w:r>
        <w:rPr>
          <w:spacing w:val="-6"/>
        </w:rPr>
        <w:t xml:space="preserve"> </w:t>
      </w:r>
      <w:r>
        <w:t>accurate</w:t>
      </w:r>
      <w:r>
        <w:rPr>
          <w:spacing w:val="-9"/>
        </w:rPr>
        <w:t xml:space="preserve"> </w:t>
      </w:r>
      <w:r>
        <w:t>assessment</w:t>
      </w:r>
      <w:r>
        <w:rPr>
          <w:spacing w:val="-8"/>
        </w:rPr>
        <w:t xml:space="preserve"> </w:t>
      </w:r>
      <w:r>
        <w:t>of</w:t>
      </w:r>
      <w:r>
        <w:rPr>
          <w:spacing w:val="-7"/>
        </w:rPr>
        <w:t xml:space="preserve"> </w:t>
      </w:r>
      <w:r>
        <w:t>solvency</w:t>
      </w:r>
      <w:r>
        <w:rPr>
          <w:spacing w:val="-8"/>
        </w:rPr>
        <w:t xml:space="preserve"> </w:t>
      </w:r>
      <w:r>
        <w:t>or</w:t>
      </w:r>
      <w:r>
        <w:rPr>
          <w:spacing w:val="-9"/>
        </w:rPr>
        <w:t xml:space="preserve"> </w:t>
      </w:r>
      <w:r>
        <w:t>whether</w:t>
      </w:r>
      <w:r>
        <w:rPr>
          <w:spacing w:val="-9"/>
        </w:rPr>
        <w:t xml:space="preserve"> </w:t>
      </w:r>
      <w:r>
        <w:t>there were sufficient assets to pay contractual obligations when they become due.</w:t>
      </w:r>
    </w:p>
    <w:p w14:paraId="0F4D014A" w14:textId="77777777" w:rsidR="00680063" w:rsidRDefault="00680063">
      <w:pPr>
        <w:pStyle w:val="BodyText"/>
        <w:spacing w:before="7"/>
        <w:rPr>
          <w:sz w:val="23"/>
        </w:rPr>
      </w:pPr>
    </w:p>
    <w:p w14:paraId="18372E2E" w14:textId="77777777" w:rsidR="00680063" w:rsidRDefault="00000000">
      <w:pPr>
        <w:pStyle w:val="BodyText"/>
        <w:spacing w:line="242" w:lineRule="auto"/>
        <w:ind w:left="479" w:right="1105"/>
        <w:jc w:val="both"/>
      </w:pPr>
      <w:r>
        <w:t>Amortized cost valuation of fixed income investments reflects the outlook at the time of purchase and amortization reflects the yields available at time of purchase.</w:t>
      </w:r>
      <w:r>
        <w:rPr>
          <w:spacing w:val="40"/>
        </w:rPr>
        <w:t xml:space="preserve"> </w:t>
      </w:r>
      <w:r>
        <w:t>Policy reserve liabilities are established</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and</w:t>
      </w:r>
      <w:r>
        <w:rPr>
          <w:spacing w:val="-2"/>
        </w:rPr>
        <w:t xml:space="preserve"> </w:t>
      </w:r>
      <w:r>
        <w:t>the</w:t>
      </w:r>
      <w:r>
        <w:rPr>
          <w:spacing w:val="-1"/>
        </w:rPr>
        <w:t xml:space="preserve"> </w:t>
      </w:r>
      <w:r>
        <w:t>interest</w:t>
      </w:r>
      <w:r>
        <w:rPr>
          <w:spacing w:val="-2"/>
        </w:rPr>
        <w:t xml:space="preserve"> </w:t>
      </w:r>
      <w:r>
        <w:t>rate</w:t>
      </w:r>
      <w:r>
        <w:rPr>
          <w:spacing w:val="-1"/>
        </w:rPr>
        <w:t xml:space="preserve"> </w:t>
      </w:r>
      <w:r>
        <w:t>assumptions</w:t>
      </w:r>
      <w:r>
        <w:rPr>
          <w:spacing w:val="-2"/>
        </w:rPr>
        <w:t xml:space="preserve"> </w:t>
      </w:r>
      <w:r>
        <w:t>are</w:t>
      </w:r>
      <w:r>
        <w:rPr>
          <w:spacing w:val="-3"/>
        </w:rPr>
        <w:t xml:space="preserve"> </w:t>
      </w:r>
      <w:r>
        <w:t>consistent</w:t>
      </w:r>
      <w:r>
        <w:rPr>
          <w:spacing w:val="-2"/>
        </w:rPr>
        <w:t xml:space="preserve"> </w:t>
      </w:r>
      <w:r>
        <w:t>with</w:t>
      </w:r>
      <w:r>
        <w:rPr>
          <w:spacing w:val="-2"/>
        </w:rPr>
        <w:t xml:space="preserve"> </w:t>
      </w:r>
      <w:r>
        <w:t>the</w:t>
      </w:r>
      <w:r>
        <w:rPr>
          <w:spacing w:val="-3"/>
        </w:rPr>
        <w:t xml:space="preserve"> </w:t>
      </w:r>
      <w:r>
        <w:t>yields</w:t>
      </w:r>
      <w:r>
        <w:rPr>
          <w:spacing w:val="-2"/>
        </w:rPr>
        <w:t xml:space="preserve"> </w:t>
      </w:r>
      <w:r>
        <w:t>at</w:t>
      </w:r>
      <w:r>
        <w:rPr>
          <w:spacing w:val="-2"/>
        </w:rPr>
        <w:t xml:space="preserve"> </w:t>
      </w:r>
      <w:r>
        <w:t>that time.</w:t>
      </w:r>
      <w:r>
        <w:rPr>
          <w:spacing w:val="40"/>
        </w:rPr>
        <w:t xml:space="preserve"> </w:t>
      </w:r>
      <w:r>
        <w:t>But</w:t>
      </w:r>
      <w:r>
        <w:rPr>
          <w:spacing w:val="-1"/>
        </w:rPr>
        <w:t xml:space="preserve"> </w:t>
      </w:r>
      <w:r>
        <w:t>if fixed income investments are sold, with the proceeds reinvested in new fixed income investments,</w:t>
      </w:r>
      <w:r>
        <w:rPr>
          <w:spacing w:val="-15"/>
        </w:rPr>
        <w:t xml:space="preserve"> </w:t>
      </w:r>
      <w:r>
        <w:t>a</w:t>
      </w:r>
      <w:r>
        <w:rPr>
          <w:spacing w:val="-15"/>
        </w:rPr>
        <w:t xml:space="preserve"> </w:t>
      </w:r>
      <w:r>
        <w:t>new</w:t>
      </w:r>
      <w:r>
        <w:rPr>
          <w:spacing w:val="-15"/>
        </w:rPr>
        <w:t xml:space="preserve"> </w:t>
      </w:r>
      <w:r>
        <w:t>amortization</w:t>
      </w:r>
      <w:r>
        <w:rPr>
          <w:spacing w:val="-15"/>
        </w:rPr>
        <w:t xml:space="preserve"> </w:t>
      </w:r>
      <w:r>
        <w:t>schedule</w:t>
      </w:r>
      <w:r>
        <w:rPr>
          <w:spacing w:val="-15"/>
        </w:rPr>
        <w:t xml:space="preserve"> </w:t>
      </w:r>
      <w:r>
        <w:t>is</w:t>
      </w:r>
      <w:r>
        <w:rPr>
          <w:spacing w:val="-15"/>
        </w:rPr>
        <w:t xml:space="preserve"> </w:t>
      </w:r>
      <w:r>
        <w:t>established</w:t>
      </w:r>
      <w:r>
        <w:rPr>
          <w:spacing w:val="-15"/>
        </w:rPr>
        <w:t xml:space="preserve"> </w:t>
      </w:r>
      <w:r>
        <w:t>which</w:t>
      </w:r>
      <w:r>
        <w:rPr>
          <w:spacing w:val="-15"/>
        </w:rPr>
        <w:t xml:space="preserve"> </w:t>
      </w:r>
      <w:r>
        <w:t>may</w:t>
      </w:r>
      <w:r>
        <w:rPr>
          <w:spacing w:val="-15"/>
        </w:rPr>
        <w:t xml:space="preserve"> </w:t>
      </w:r>
      <w:r>
        <w:t>be</w:t>
      </w:r>
      <w:r>
        <w:rPr>
          <w:spacing w:val="-15"/>
        </w:rPr>
        <w:t xml:space="preserve"> </w:t>
      </w:r>
      <w:r>
        <w:t>based</w:t>
      </w:r>
      <w:r>
        <w:rPr>
          <w:spacing w:val="-15"/>
        </w:rPr>
        <w:t xml:space="preserve"> </w:t>
      </w:r>
      <w:r>
        <w:t>on</w:t>
      </w:r>
      <w:r>
        <w:rPr>
          <w:spacing w:val="-15"/>
        </w:rPr>
        <w:t xml:space="preserve"> </w:t>
      </w:r>
      <w:r>
        <w:t>an</w:t>
      </w:r>
      <w:r>
        <w:rPr>
          <w:spacing w:val="-15"/>
        </w:rPr>
        <w:t xml:space="preserve"> </w:t>
      </w:r>
      <w:r>
        <w:t>entirely</w:t>
      </w:r>
      <w:r>
        <w:rPr>
          <w:spacing w:val="-15"/>
        </w:rPr>
        <w:t xml:space="preserve"> </w:t>
      </w:r>
      <w:r>
        <w:t xml:space="preserve">different yield environment, which may be inconsistent with the reserve liabilities when they were </w:t>
      </w:r>
      <w:r>
        <w:rPr>
          <w:spacing w:val="-2"/>
        </w:rPr>
        <w:t>established.</w:t>
      </w:r>
    </w:p>
    <w:p w14:paraId="17F35A54" w14:textId="77777777" w:rsidR="00680063" w:rsidRDefault="00680063">
      <w:pPr>
        <w:pStyle w:val="BodyText"/>
        <w:spacing w:before="3"/>
        <w:rPr>
          <w:sz w:val="25"/>
        </w:rPr>
      </w:pPr>
    </w:p>
    <w:p w14:paraId="6DDD0428" w14:textId="77777777" w:rsidR="00680063" w:rsidRDefault="00000000">
      <w:pPr>
        <w:pStyle w:val="BodyText"/>
        <w:spacing w:line="244" w:lineRule="auto"/>
        <w:ind w:left="479" w:right="1194"/>
        <w:jc w:val="both"/>
      </w:pPr>
      <w:r>
        <w:t>IMR was created to prevent the timing of the realization of gains or losses on fixed income investments,</w:t>
      </w:r>
      <w:r>
        <w:rPr>
          <w:spacing w:val="-6"/>
        </w:rPr>
        <w:t xml:space="preserve"> </w:t>
      </w:r>
      <w:r>
        <w:t>related</w:t>
      </w:r>
      <w:r>
        <w:rPr>
          <w:spacing w:val="-6"/>
        </w:rPr>
        <w:t xml:space="preserve"> </w:t>
      </w:r>
      <w:r>
        <w:t>to</w:t>
      </w:r>
      <w:r>
        <w:rPr>
          <w:spacing w:val="-6"/>
        </w:rPr>
        <w:t xml:space="preserve"> </w:t>
      </w:r>
      <w:r>
        <w:t>interest</w:t>
      </w:r>
      <w:r>
        <w:rPr>
          <w:spacing w:val="-5"/>
        </w:rPr>
        <w:t xml:space="preserve"> </w:t>
      </w:r>
      <w:r>
        <w:t>rates</w:t>
      </w:r>
      <w:r>
        <w:rPr>
          <w:spacing w:val="-6"/>
        </w:rPr>
        <w:t xml:space="preserve"> </w:t>
      </w:r>
      <w:r>
        <w:t>changes,</w:t>
      </w:r>
      <w:r>
        <w:rPr>
          <w:spacing w:val="-6"/>
        </w:rPr>
        <w:t xml:space="preserve"> </w:t>
      </w:r>
      <w:r>
        <w:t>to</w:t>
      </w:r>
      <w:r>
        <w:rPr>
          <w:spacing w:val="-6"/>
        </w:rPr>
        <w:t xml:space="preserve"> </w:t>
      </w:r>
      <w:r>
        <w:t>affect</w:t>
      </w:r>
      <w:r>
        <w:rPr>
          <w:spacing w:val="-5"/>
        </w:rPr>
        <w:t xml:space="preserve"> </w:t>
      </w:r>
      <w:r>
        <w:t>the</w:t>
      </w:r>
      <w:r>
        <w:rPr>
          <w:spacing w:val="-7"/>
        </w:rPr>
        <w:t xml:space="preserve"> </w:t>
      </w:r>
      <w:r>
        <w:t>immediate</w:t>
      </w:r>
      <w:r>
        <w:rPr>
          <w:spacing w:val="-7"/>
        </w:rPr>
        <w:t xml:space="preserve"> </w:t>
      </w:r>
      <w:r>
        <w:t>financial</w:t>
      </w:r>
      <w:r>
        <w:rPr>
          <w:spacing w:val="-5"/>
        </w:rPr>
        <w:t xml:space="preserve"> </w:t>
      </w:r>
      <w:r>
        <w:t>performance</w:t>
      </w:r>
      <w:r>
        <w:rPr>
          <w:spacing w:val="-7"/>
        </w:rPr>
        <w:t xml:space="preserve"> </w:t>
      </w:r>
      <w:r>
        <w:t>of</w:t>
      </w:r>
      <w:r>
        <w:rPr>
          <w:spacing w:val="-7"/>
        </w:rPr>
        <w:t xml:space="preserve"> </w:t>
      </w:r>
      <w:r>
        <w:t>the insurance company.</w:t>
      </w:r>
      <w:r>
        <w:rPr>
          <w:spacing w:val="40"/>
        </w:rPr>
        <w:t xml:space="preserve"> </w:t>
      </w:r>
      <w:r>
        <w:t xml:space="preserve">This recognized that the gains and losses were transitory without any true economic substance since the proceeds would be reinvested at offsetting lower or higher interest </w:t>
      </w:r>
      <w:r>
        <w:rPr>
          <w:spacing w:val="-2"/>
        </w:rPr>
        <w:t>rates.</w:t>
      </w:r>
    </w:p>
    <w:p w14:paraId="52F562D9" w14:textId="77777777" w:rsidR="00680063" w:rsidRDefault="00680063">
      <w:pPr>
        <w:pStyle w:val="BodyText"/>
        <w:spacing w:before="8"/>
        <w:rPr>
          <w:sz w:val="23"/>
        </w:rPr>
      </w:pPr>
    </w:p>
    <w:p w14:paraId="2ADE0376" w14:textId="77777777" w:rsidR="00680063" w:rsidRDefault="00000000">
      <w:pPr>
        <w:pStyle w:val="BodyText"/>
        <w:spacing w:line="244" w:lineRule="auto"/>
        <w:ind w:left="479" w:right="1194"/>
        <w:jc w:val="both"/>
      </w:pPr>
      <w:r>
        <w:t>For example, without the IMR, if a company sold all bonds in a declining interest environment (e.g., from 4% to 2%), and reinvested in new bonds, surplus would increase through significant realized gains.</w:t>
      </w:r>
      <w:r>
        <w:rPr>
          <w:spacing w:val="40"/>
        </w:rPr>
        <w:t xml:space="preserve"> </w:t>
      </w:r>
      <w:r>
        <w:t>The increased surplus would inappropriately reflect increased financial strength that is illusory, due to a now lower</w:t>
      </w:r>
      <w:r>
        <w:rPr>
          <w:spacing w:val="-1"/>
        </w:rPr>
        <w:t xml:space="preserve"> </w:t>
      </w:r>
      <w:r>
        <w:t>yielding portfolio, as there would be no change</w:t>
      </w:r>
      <w:r>
        <w:rPr>
          <w:spacing w:val="-1"/>
        </w:rPr>
        <w:t xml:space="preserve"> </w:t>
      </w:r>
      <w:r>
        <w:t>to the income needed to support the liabilities.</w:t>
      </w:r>
    </w:p>
    <w:p w14:paraId="22379D89" w14:textId="77777777" w:rsidR="00680063" w:rsidRDefault="00680063">
      <w:pPr>
        <w:pStyle w:val="BodyText"/>
        <w:spacing w:before="8"/>
        <w:rPr>
          <w:sz w:val="23"/>
        </w:rPr>
      </w:pPr>
    </w:p>
    <w:p w14:paraId="4AA3582D" w14:textId="77777777" w:rsidR="00680063" w:rsidRDefault="00000000">
      <w:pPr>
        <w:pStyle w:val="BodyText"/>
        <w:spacing w:line="244" w:lineRule="auto"/>
        <w:ind w:left="479" w:right="1198"/>
        <w:jc w:val="both"/>
      </w:pPr>
      <w:r>
        <w:t>Likewise,</w:t>
      </w:r>
      <w:r>
        <w:rPr>
          <w:spacing w:val="-5"/>
        </w:rPr>
        <w:t xml:space="preserve"> </w:t>
      </w:r>
      <w:r>
        <w:t>if</w:t>
      </w:r>
      <w:r>
        <w:rPr>
          <w:spacing w:val="-3"/>
        </w:rPr>
        <w:t xml:space="preserve"> </w:t>
      </w:r>
      <w:r>
        <w:t>a</w:t>
      </w:r>
      <w:r>
        <w:rPr>
          <w:spacing w:val="-3"/>
        </w:rPr>
        <w:t xml:space="preserve"> </w:t>
      </w:r>
      <w:r>
        <w:t>company</w:t>
      </w:r>
      <w:r>
        <w:rPr>
          <w:spacing w:val="-5"/>
        </w:rPr>
        <w:t xml:space="preserve"> </w:t>
      </w:r>
      <w:r>
        <w:t>sold</w:t>
      </w:r>
      <w:r>
        <w:rPr>
          <w:spacing w:val="-5"/>
        </w:rPr>
        <w:t xml:space="preserve"> </w:t>
      </w:r>
      <w:r>
        <w:t>all</w:t>
      </w:r>
      <w:r>
        <w:rPr>
          <w:spacing w:val="-4"/>
        </w:rPr>
        <w:t xml:space="preserve"> </w:t>
      </w:r>
      <w:r>
        <w:t>bonds</w:t>
      </w:r>
      <w:r>
        <w:rPr>
          <w:spacing w:val="-5"/>
        </w:rPr>
        <w:t xml:space="preserve"> </w:t>
      </w:r>
      <w:r>
        <w:t>in</w:t>
      </w:r>
      <w:r>
        <w:rPr>
          <w:spacing w:val="-5"/>
        </w:rPr>
        <w:t xml:space="preserve"> </w:t>
      </w:r>
      <w:r>
        <w:t>an</w:t>
      </w:r>
      <w:r>
        <w:rPr>
          <w:spacing w:val="-2"/>
        </w:rPr>
        <w:t xml:space="preserve"> </w:t>
      </w:r>
      <w:r>
        <w:t>increasing</w:t>
      </w:r>
      <w:r>
        <w:rPr>
          <w:spacing w:val="-2"/>
        </w:rPr>
        <w:t xml:space="preserve"> </w:t>
      </w:r>
      <w:r>
        <w:t>interest</w:t>
      </w:r>
      <w:r>
        <w:rPr>
          <w:spacing w:val="-4"/>
        </w:rPr>
        <w:t xml:space="preserve"> </w:t>
      </w:r>
      <w:r>
        <w:t>rate</w:t>
      </w:r>
      <w:r>
        <w:rPr>
          <w:spacing w:val="-6"/>
        </w:rPr>
        <w:t xml:space="preserve"> </w:t>
      </w:r>
      <w:r>
        <w:t>environment</w:t>
      </w:r>
      <w:r>
        <w:rPr>
          <w:spacing w:val="-4"/>
        </w:rPr>
        <w:t xml:space="preserve"> </w:t>
      </w:r>
      <w:r>
        <w:t>(e.g.,</w:t>
      </w:r>
      <w:r>
        <w:rPr>
          <w:spacing w:val="-2"/>
        </w:rPr>
        <w:t xml:space="preserve"> </w:t>
      </w:r>
      <w:r>
        <w:t>from</w:t>
      </w:r>
      <w:r>
        <w:rPr>
          <w:spacing w:val="-4"/>
        </w:rPr>
        <w:t xml:space="preserve"> </w:t>
      </w:r>
      <w:r>
        <w:t>2%</w:t>
      </w:r>
      <w:r>
        <w:rPr>
          <w:spacing w:val="-6"/>
        </w:rPr>
        <w:t xml:space="preserve"> </w:t>
      </w:r>
      <w:r>
        <w:t>to 4%),</w:t>
      </w:r>
      <w:r>
        <w:rPr>
          <w:spacing w:val="-13"/>
        </w:rPr>
        <w:t xml:space="preserve"> </w:t>
      </w:r>
      <w:r>
        <w:t>and</w:t>
      </w:r>
      <w:r>
        <w:rPr>
          <w:spacing w:val="-13"/>
        </w:rPr>
        <w:t xml:space="preserve"> </w:t>
      </w:r>
      <w:r>
        <w:t>reinvested</w:t>
      </w:r>
      <w:r>
        <w:rPr>
          <w:spacing w:val="-13"/>
        </w:rPr>
        <w:t xml:space="preserve"> </w:t>
      </w:r>
      <w:r>
        <w:t>in</w:t>
      </w:r>
      <w:r>
        <w:rPr>
          <w:spacing w:val="-13"/>
        </w:rPr>
        <w:t xml:space="preserve"> </w:t>
      </w:r>
      <w:r>
        <w:t>new</w:t>
      </w:r>
      <w:r>
        <w:rPr>
          <w:spacing w:val="-14"/>
        </w:rPr>
        <w:t xml:space="preserve"> </w:t>
      </w:r>
      <w:r>
        <w:t>bonds,</w:t>
      </w:r>
      <w:r>
        <w:rPr>
          <w:spacing w:val="-13"/>
        </w:rPr>
        <w:t xml:space="preserve"> </w:t>
      </w:r>
      <w:r>
        <w:t>surplus</w:t>
      </w:r>
      <w:r>
        <w:rPr>
          <w:spacing w:val="-13"/>
        </w:rPr>
        <w:t xml:space="preserve"> </w:t>
      </w:r>
      <w:r>
        <w:t>would</w:t>
      </w:r>
      <w:r>
        <w:rPr>
          <w:spacing w:val="-13"/>
        </w:rPr>
        <w:t xml:space="preserve"> </w:t>
      </w:r>
      <w:r>
        <w:t>decrease</w:t>
      </w:r>
      <w:r>
        <w:rPr>
          <w:spacing w:val="-14"/>
        </w:rPr>
        <w:t xml:space="preserve"> </w:t>
      </w:r>
      <w:r>
        <w:t>through</w:t>
      </w:r>
      <w:r>
        <w:rPr>
          <w:spacing w:val="-13"/>
        </w:rPr>
        <w:t xml:space="preserve"> </w:t>
      </w:r>
      <w:r>
        <w:t>significant</w:t>
      </w:r>
      <w:r>
        <w:rPr>
          <w:spacing w:val="-13"/>
        </w:rPr>
        <w:t xml:space="preserve"> </w:t>
      </w:r>
      <w:r>
        <w:t>realized</w:t>
      </w:r>
      <w:r>
        <w:rPr>
          <w:spacing w:val="-13"/>
        </w:rPr>
        <w:t xml:space="preserve"> </w:t>
      </w:r>
      <w:r>
        <w:t>losses.</w:t>
      </w:r>
      <w:r>
        <w:rPr>
          <w:spacing w:val="35"/>
        </w:rPr>
        <w:t xml:space="preserve"> </w:t>
      </w:r>
      <w:r>
        <w:t xml:space="preserve">The decreased surplus would inappropriately reflect decreased financial strength that is similarly illusory due to the reinvestment at higher yields relative to when the bonds were originally </w:t>
      </w:r>
      <w:r>
        <w:rPr>
          <w:spacing w:val="-2"/>
        </w:rPr>
        <w:t>purchased.</w:t>
      </w:r>
    </w:p>
    <w:p w14:paraId="777A9428" w14:textId="77777777" w:rsidR="00680063" w:rsidRDefault="00680063">
      <w:pPr>
        <w:pStyle w:val="BodyText"/>
        <w:spacing w:before="8"/>
        <w:rPr>
          <w:sz w:val="23"/>
        </w:rPr>
      </w:pPr>
    </w:p>
    <w:p w14:paraId="3492AC42" w14:textId="77777777" w:rsidR="00680063" w:rsidRDefault="00000000">
      <w:pPr>
        <w:pStyle w:val="BodyText"/>
        <w:spacing w:line="242" w:lineRule="auto"/>
        <w:ind w:left="479" w:right="1104"/>
        <w:jc w:val="both"/>
      </w:pPr>
      <w:r>
        <w:t>A</w:t>
      </w:r>
      <w:r>
        <w:rPr>
          <w:spacing w:val="-9"/>
        </w:rPr>
        <w:t xml:space="preserve"> </w:t>
      </w:r>
      <w:r>
        <w:t>net</w:t>
      </w:r>
      <w:r>
        <w:rPr>
          <w:spacing w:val="-8"/>
        </w:rPr>
        <w:t xml:space="preserve"> </w:t>
      </w:r>
      <w:r>
        <w:t>negative</w:t>
      </w:r>
      <w:r>
        <w:rPr>
          <w:spacing w:val="-7"/>
        </w:rPr>
        <w:t xml:space="preserve"> </w:t>
      </w:r>
      <w:r>
        <w:t>IMR</w:t>
      </w:r>
      <w:r>
        <w:rPr>
          <w:spacing w:val="-8"/>
        </w:rPr>
        <w:t xml:space="preserve"> </w:t>
      </w:r>
      <w:r>
        <w:t>is</w:t>
      </w:r>
      <w:r>
        <w:rPr>
          <w:spacing w:val="-8"/>
        </w:rPr>
        <w:t xml:space="preserve"> </w:t>
      </w:r>
      <w:r>
        <w:t>currently</w:t>
      </w:r>
      <w:r>
        <w:rPr>
          <w:spacing w:val="-8"/>
        </w:rPr>
        <w:t xml:space="preserve"> </w:t>
      </w:r>
      <w:r>
        <w:t>disallowed</w:t>
      </w:r>
      <w:r>
        <w:rPr>
          <w:spacing w:val="-8"/>
        </w:rPr>
        <w:t xml:space="preserve"> </w:t>
      </w:r>
      <w:r>
        <w:t>in</w:t>
      </w:r>
      <w:r>
        <w:rPr>
          <w:spacing w:val="-8"/>
        </w:rPr>
        <w:t xml:space="preserve"> </w:t>
      </w:r>
      <w:r>
        <w:t>statutory</w:t>
      </w:r>
      <w:r>
        <w:rPr>
          <w:spacing w:val="-8"/>
        </w:rPr>
        <w:t xml:space="preserve"> </w:t>
      </w:r>
      <w:r>
        <w:t>accounting.</w:t>
      </w:r>
      <w:r>
        <w:rPr>
          <w:spacing w:val="40"/>
        </w:rPr>
        <w:t xml:space="preserve"> </w:t>
      </w:r>
      <w:r>
        <w:t>This</w:t>
      </w:r>
      <w:r>
        <w:rPr>
          <w:spacing w:val="-8"/>
        </w:rPr>
        <w:t xml:space="preserve"> </w:t>
      </w:r>
      <w:r>
        <w:t>handling</w:t>
      </w:r>
      <w:r>
        <w:rPr>
          <w:spacing w:val="-8"/>
        </w:rPr>
        <w:t xml:space="preserve"> </w:t>
      </w:r>
      <w:r>
        <w:t>is</w:t>
      </w:r>
      <w:r>
        <w:rPr>
          <w:spacing w:val="-8"/>
        </w:rPr>
        <w:t xml:space="preserve"> </w:t>
      </w:r>
      <w:r>
        <w:t>contrary</w:t>
      </w:r>
      <w:r>
        <w:rPr>
          <w:spacing w:val="-8"/>
        </w:rPr>
        <w:t xml:space="preserve"> </w:t>
      </w:r>
      <w:r>
        <w:t>to</w:t>
      </w:r>
      <w:r>
        <w:rPr>
          <w:spacing w:val="-8"/>
        </w:rPr>
        <w:t xml:space="preserve"> </w:t>
      </w:r>
      <w:r>
        <w:t>its original intent which recognized that interest related gains and losses are both transitory without any true economic substance since the proceeds would be reinvested at offsetting lower or higher interest</w:t>
      </w:r>
      <w:r>
        <w:rPr>
          <w:spacing w:val="3"/>
        </w:rPr>
        <w:t xml:space="preserve"> </w:t>
      </w:r>
      <w:r>
        <w:t>rates,</w:t>
      </w:r>
      <w:r>
        <w:rPr>
          <w:spacing w:val="5"/>
        </w:rPr>
        <w:t xml:space="preserve"> </w:t>
      </w:r>
      <w:r>
        <w:t>respectively.</w:t>
      </w:r>
      <w:r>
        <w:rPr>
          <w:spacing w:val="70"/>
        </w:rPr>
        <w:t xml:space="preserve"> </w:t>
      </w:r>
      <w:r>
        <w:t>See</w:t>
      </w:r>
      <w:r>
        <w:rPr>
          <w:spacing w:val="5"/>
        </w:rPr>
        <w:t xml:space="preserve"> </w:t>
      </w:r>
      <w:r>
        <w:t>attachment</w:t>
      </w:r>
      <w:r>
        <w:rPr>
          <w:spacing w:val="5"/>
        </w:rPr>
        <w:t xml:space="preserve"> </w:t>
      </w:r>
      <w:r>
        <w:t>I</w:t>
      </w:r>
      <w:r>
        <w:rPr>
          <w:spacing w:val="-1"/>
        </w:rPr>
        <w:t xml:space="preserve"> </w:t>
      </w:r>
      <w:r>
        <w:t>to</w:t>
      </w:r>
      <w:r>
        <w:rPr>
          <w:spacing w:val="5"/>
        </w:rPr>
        <w:t xml:space="preserve"> </w:t>
      </w:r>
      <w:r>
        <w:t>this</w:t>
      </w:r>
      <w:r>
        <w:rPr>
          <w:spacing w:val="6"/>
        </w:rPr>
        <w:t xml:space="preserve"> </w:t>
      </w:r>
      <w:r>
        <w:t>letter</w:t>
      </w:r>
      <w:r>
        <w:rPr>
          <w:spacing w:val="4"/>
        </w:rPr>
        <w:t xml:space="preserve"> </w:t>
      </w:r>
      <w:r>
        <w:t>that</w:t>
      </w:r>
      <w:r>
        <w:rPr>
          <w:spacing w:val="5"/>
        </w:rPr>
        <w:t xml:space="preserve"> </w:t>
      </w:r>
      <w:r>
        <w:t>illustrates</w:t>
      </w:r>
      <w:r>
        <w:rPr>
          <w:spacing w:val="5"/>
        </w:rPr>
        <w:t xml:space="preserve"> </w:t>
      </w:r>
      <w:r>
        <w:t>the</w:t>
      </w:r>
      <w:r>
        <w:rPr>
          <w:spacing w:val="4"/>
        </w:rPr>
        <w:t xml:space="preserve"> </w:t>
      </w:r>
      <w:r>
        <w:t>financially</w:t>
      </w:r>
      <w:r>
        <w:rPr>
          <w:spacing w:val="8"/>
        </w:rPr>
        <w:t xml:space="preserve"> </w:t>
      </w:r>
      <w:r>
        <w:rPr>
          <w:spacing w:val="-2"/>
        </w:rPr>
        <w:t>consistent</w:t>
      </w:r>
    </w:p>
    <w:p w14:paraId="79E71ED7" w14:textId="77777777" w:rsidR="00680063" w:rsidRDefault="00680063">
      <w:pPr>
        <w:spacing w:line="242" w:lineRule="auto"/>
        <w:jc w:val="both"/>
        <w:sectPr w:rsidR="00680063">
          <w:pgSz w:w="12240" w:h="15840"/>
          <w:pgMar w:top="940" w:right="240" w:bottom="280" w:left="960" w:header="720" w:footer="720" w:gutter="0"/>
          <w:cols w:space="720"/>
        </w:sectPr>
      </w:pPr>
    </w:p>
    <w:p w14:paraId="32970728" w14:textId="77777777" w:rsidR="00680063" w:rsidRDefault="00000000">
      <w:pPr>
        <w:pStyle w:val="BodyText"/>
        <w:spacing w:before="61" w:line="242" w:lineRule="auto"/>
        <w:ind w:left="479" w:right="1109"/>
        <w:jc w:val="both"/>
      </w:pPr>
      <w:r>
        <w:lastRenderedPageBreak/>
        <w:t>treatment</w:t>
      </w:r>
      <w:r>
        <w:rPr>
          <w:spacing w:val="-13"/>
        </w:rPr>
        <w:t xml:space="preserve"> </w:t>
      </w:r>
      <w:r>
        <w:t>of</w:t>
      </w:r>
      <w:r>
        <w:rPr>
          <w:spacing w:val="-14"/>
        </w:rPr>
        <w:t xml:space="preserve"> </w:t>
      </w:r>
      <w:r>
        <w:t>assets,</w:t>
      </w:r>
      <w:r>
        <w:rPr>
          <w:spacing w:val="-13"/>
        </w:rPr>
        <w:t xml:space="preserve"> </w:t>
      </w:r>
      <w:r>
        <w:t>liabilities,</w:t>
      </w:r>
      <w:r>
        <w:rPr>
          <w:spacing w:val="-13"/>
        </w:rPr>
        <w:t xml:space="preserve"> </w:t>
      </w:r>
      <w:r>
        <w:t>and</w:t>
      </w:r>
      <w:r>
        <w:rPr>
          <w:spacing w:val="-13"/>
        </w:rPr>
        <w:t xml:space="preserve"> </w:t>
      </w:r>
      <w:r>
        <w:t>income</w:t>
      </w:r>
      <w:r>
        <w:rPr>
          <w:spacing w:val="-14"/>
        </w:rPr>
        <w:t xml:space="preserve"> </w:t>
      </w:r>
      <w:r>
        <w:t>and</w:t>
      </w:r>
      <w:r>
        <w:rPr>
          <w:spacing w:val="-13"/>
        </w:rPr>
        <w:t xml:space="preserve"> </w:t>
      </w:r>
      <w:r>
        <w:t>how</w:t>
      </w:r>
      <w:r>
        <w:rPr>
          <w:spacing w:val="-14"/>
        </w:rPr>
        <w:t xml:space="preserve"> </w:t>
      </w:r>
      <w:r>
        <w:t>IMR</w:t>
      </w:r>
      <w:r>
        <w:rPr>
          <w:spacing w:val="-10"/>
        </w:rPr>
        <w:t xml:space="preserve"> </w:t>
      </w:r>
      <w:r>
        <w:t>is</w:t>
      </w:r>
      <w:r>
        <w:rPr>
          <w:spacing w:val="-13"/>
        </w:rPr>
        <w:t xml:space="preserve"> </w:t>
      </w:r>
      <w:r>
        <w:t>needed</w:t>
      </w:r>
      <w:r>
        <w:rPr>
          <w:spacing w:val="-13"/>
        </w:rPr>
        <w:t xml:space="preserve"> </w:t>
      </w:r>
      <w:r>
        <w:t>to</w:t>
      </w:r>
      <w:r>
        <w:rPr>
          <w:spacing w:val="-13"/>
        </w:rPr>
        <w:t xml:space="preserve"> </w:t>
      </w:r>
      <w:r>
        <w:t>achieve</w:t>
      </w:r>
      <w:r>
        <w:rPr>
          <w:spacing w:val="-12"/>
        </w:rPr>
        <w:t xml:space="preserve"> </w:t>
      </w:r>
      <w:r>
        <w:t>that</w:t>
      </w:r>
      <w:r>
        <w:rPr>
          <w:spacing w:val="-13"/>
        </w:rPr>
        <w:t xml:space="preserve"> </w:t>
      </w:r>
      <w:r>
        <w:t>objective</w:t>
      </w:r>
      <w:r>
        <w:rPr>
          <w:spacing w:val="-14"/>
        </w:rPr>
        <w:t xml:space="preserve"> </w:t>
      </w:r>
      <w:r>
        <w:t>for</w:t>
      </w:r>
      <w:r>
        <w:rPr>
          <w:spacing w:val="-14"/>
        </w:rPr>
        <w:t xml:space="preserve"> </w:t>
      </w:r>
      <w:r>
        <w:t>both realized gains and losses.</w:t>
      </w:r>
    </w:p>
    <w:p w14:paraId="66FA567B" w14:textId="77777777" w:rsidR="00680063" w:rsidRDefault="00680063">
      <w:pPr>
        <w:pStyle w:val="BodyText"/>
        <w:spacing w:before="7"/>
      </w:pPr>
    </w:p>
    <w:p w14:paraId="2CD49B6E" w14:textId="77777777" w:rsidR="00680063" w:rsidRDefault="00000000">
      <w:pPr>
        <w:pStyle w:val="BodyText"/>
        <w:spacing w:line="242" w:lineRule="auto"/>
        <w:ind w:left="479" w:right="1198"/>
        <w:jc w:val="both"/>
      </w:pPr>
      <w:r>
        <w:t>That</w:t>
      </w:r>
      <w:r>
        <w:rPr>
          <w:spacing w:val="-13"/>
        </w:rPr>
        <w:t xml:space="preserve"> </w:t>
      </w:r>
      <w:r>
        <w:t>IMR</w:t>
      </w:r>
      <w:r>
        <w:rPr>
          <w:spacing w:val="-15"/>
        </w:rPr>
        <w:t xml:space="preserve"> </w:t>
      </w:r>
      <w:r>
        <w:t>should</w:t>
      </w:r>
      <w:r>
        <w:rPr>
          <w:spacing w:val="-15"/>
        </w:rPr>
        <w:t xml:space="preserve"> </w:t>
      </w:r>
      <w:r>
        <w:t>conceptually</w:t>
      </w:r>
      <w:r>
        <w:rPr>
          <w:spacing w:val="-15"/>
        </w:rPr>
        <w:t xml:space="preserve"> </w:t>
      </w:r>
      <w:r>
        <w:t>apply</w:t>
      </w:r>
      <w:r>
        <w:rPr>
          <w:spacing w:val="-15"/>
        </w:rPr>
        <w:t xml:space="preserve"> </w:t>
      </w:r>
      <w:r>
        <w:t>to</w:t>
      </w:r>
      <w:r>
        <w:rPr>
          <w:spacing w:val="-15"/>
        </w:rPr>
        <w:t xml:space="preserve"> </w:t>
      </w:r>
      <w:r>
        <w:t>both</w:t>
      </w:r>
      <w:r>
        <w:rPr>
          <w:spacing w:val="-15"/>
        </w:rPr>
        <w:t xml:space="preserve"> </w:t>
      </w:r>
      <w:r>
        <w:t>realized</w:t>
      </w:r>
      <w:r>
        <w:rPr>
          <w:spacing w:val="-15"/>
        </w:rPr>
        <w:t xml:space="preserve"> </w:t>
      </w:r>
      <w:r>
        <w:t>gains</w:t>
      </w:r>
      <w:r>
        <w:rPr>
          <w:spacing w:val="-15"/>
        </w:rPr>
        <w:t xml:space="preserve"> </w:t>
      </w:r>
      <w:r>
        <w:t>and</w:t>
      </w:r>
      <w:r>
        <w:rPr>
          <w:spacing w:val="-15"/>
        </w:rPr>
        <w:t xml:space="preserve"> </w:t>
      </w:r>
      <w:r>
        <w:t>losses</w:t>
      </w:r>
      <w:r>
        <w:rPr>
          <w:spacing w:val="-13"/>
        </w:rPr>
        <w:t xml:space="preserve"> </w:t>
      </w:r>
      <w:r>
        <w:t>was</w:t>
      </w:r>
      <w:r>
        <w:rPr>
          <w:spacing w:val="-15"/>
        </w:rPr>
        <w:t xml:space="preserve"> </w:t>
      </w:r>
      <w:r>
        <w:t>recognized</w:t>
      </w:r>
      <w:r>
        <w:rPr>
          <w:spacing w:val="-15"/>
        </w:rPr>
        <w:t xml:space="preserve"> </w:t>
      </w:r>
      <w:r>
        <w:t>by</w:t>
      </w:r>
      <w:r>
        <w:rPr>
          <w:spacing w:val="-15"/>
        </w:rPr>
        <w:t xml:space="preserve"> </w:t>
      </w:r>
      <w:r>
        <w:t>the</w:t>
      </w:r>
      <w:r>
        <w:rPr>
          <w:spacing w:val="-14"/>
        </w:rPr>
        <w:t xml:space="preserve"> </w:t>
      </w:r>
      <w:r>
        <w:t>NAIC during and after IMR development.</w:t>
      </w:r>
      <w:r>
        <w:rPr>
          <w:spacing w:val="40"/>
        </w:rPr>
        <w:t xml:space="preserve"> </w:t>
      </w:r>
      <w:r>
        <w:t>The below is a quote from a 2002 report by the NAIC AVR/IMR Working Group to the E-Committee:</w:t>
      </w:r>
    </w:p>
    <w:p w14:paraId="735B9044" w14:textId="77777777" w:rsidR="00680063" w:rsidRDefault="00000000">
      <w:pPr>
        <w:pStyle w:val="BodyText"/>
        <w:spacing w:before="3"/>
        <w:rPr>
          <w:sz w:val="27"/>
        </w:rPr>
      </w:pPr>
      <w:r>
        <w:rPr>
          <w:noProof/>
        </w:rPr>
        <w:drawing>
          <wp:anchor distT="0" distB="0" distL="0" distR="0" simplePos="0" relativeHeight="8" behindDoc="0" locked="0" layoutInCell="1" allowOverlap="1" wp14:anchorId="320E046B" wp14:editId="5ECC3FA1">
            <wp:simplePos x="0" y="0"/>
            <wp:positionH relativeFrom="page">
              <wp:posOffset>1171955</wp:posOffset>
            </wp:positionH>
            <wp:positionV relativeFrom="paragraph">
              <wp:posOffset>214847</wp:posOffset>
            </wp:positionV>
            <wp:extent cx="5655023" cy="138112"/>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5655023" cy="138112"/>
                    </a:xfrm>
                    <a:prstGeom prst="rect">
                      <a:avLst/>
                    </a:prstGeom>
                  </pic:spPr>
                </pic:pic>
              </a:graphicData>
            </a:graphic>
          </wp:anchor>
        </w:drawing>
      </w:r>
    </w:p>
    <w:p w14:paraId="1ABA8195" w14:textId="77777777" w:rsidR="00680063" w:rsidRDefault="00000000">
      <w:pPr>
        <w:spacing w:before="2" w:after="61"/>
        <w:ind w:left="839" w:right="1195"/>
        <w:jc w:val="both"/>
        <w:rPr>
          <w:b/>
          <w:sz w:val="24"/>
        </w:rPr>
      </w:pPr>
      <w:r>
        <w:rPr>
          <w:i/>
          <w:sz w:val="24"/>
        </w:rPr>
        <w:t>appropriate.</w:t>
      </w:r>
      <w:r>
        <w:rPr>
          <w:i/>
          <w:spacing w:val="40"/>
          <w:sz w:val="24"/>
        </w:rPr>
        <w:t xml:space="preserve"> </w:t>
      </w:r>
      <w:r>
        <w:rPr>
          <w:i/>
          <w:sz w:val="24"/>
        </w:rPr>
        <w:t>If</w:t>
      </w:r>
      <w:r>
        <w:rPr>
          <w:i/>
          <w:spacing w:val="-11"/>
          <w:sz w:val="24"/>
        </w:rPr>
        <w:t xml:space="preserve"> </w:t>
      </w:r>
      <w:r>
        <w:rPr>
          <w:i/>
          <w:sz w:val="24"/>
        </w:rPr>
        <w:t>the</w:t>
      </w:r>
      <w:r>
        <w:rPr>
          <w:i/>
          <w:spacing w:val="-12"/>
          <w:sz w:val="24"/>
        </w:rPr>
        <w:t xml:space="preserve"> </w:t>
      </w:r>
      <w:r>
        <w:rPr>
          <w:i/>
          <w:sz w:val="24"/>
        </w:rPr>
        <w:t>liability</w:t>
      </w:r>
      <w:r>
        <w:rPr>
          <w:i/>
          <w:spacing w:val="-12"/>
          <w:sz w:val="24"/>
        </w:rPr>
        <w:t xml:space="preserve"> </w:t>
      </w:r>
      <w:r>
        <w:rPr>
          <w:i/>
          <w:sz w:val="24"/>
        </w:rPr>
        <w:t>values</w:t>
      </w:r>
      <w:r>
        <w:rPr>
          <w:i/>
          <w:spacing w:val="-8"/>
          <w:sz w:val="24"/>
        </w:rPr>
        <w:t xml:space="preserve"> </w:t>
      </w:r>
      <w:r>
        <w:rPr>
          <w:i/>
          <w:sz w:val="24"/>
        </w:rPr>
        <w:t>are</w:t>
      </w:r>
      <w:r>
        <w:rPr>
          <w:i/>
          <w:spacing w:val="-12"/>
          <w:sz w:val="24"/>
        </w:rPr>
        <w:t xml:space="preserve"> </w:t>
      </w:r>
      <w:r>
        <w:rPr>
          <w:i/>
          <w:sz w:val="24"/>
        </w:rPr>
        <w:t>based</w:t>
      </w:r>
      <w:r>
        <w:rPr>
          <w:i/>
          <w:spacing w:val="-11"/>
          <w:sz w:val="24"/>
        </w:rPr>
        <w:t xml:space="preserve"> </w:t>
      </w:r>
      <w:r>
        <w:rPr>
          <w:i/>
          <w:sz w:val="24"/>
        </w:rPr>
        <w:t>on</w:t>
      </w:r>
      <w:r>
        <w:rPr>
          <w:i/>
          <w:spacing w:val="-11"/>
          <w:sz w:val="24"/>
        </w:rPr>
        <w:t xml:space="preserve"> </w:t>
      </w:r>
      <w:r>
        <w:rPr>
          <w:i/>
          <w:sz w:val="24"/>
        </w:rPr>
        <w:t>the</w:t>
      </w:r>
      <w:r>
        <w:rPr>
          <w:i/>
          <w:spacing w:val="-12"/>
          <w:sz w:val="24"/>
        </w:rPr>
        <w:t xml:space="preserve"> </w:t>
      </w:r>
      <w:r>
        <w:rPr>
          <w:i/>
          <w:sz w:val="24"/>
        </w:rPr>
        <w:t>assumption</w:t>
      </w:r>
      <w:r>
        <w:rPr>
          <w:i/>
          <w:spacing w:val="-11"/>
          <w:sz w:val="24"/>
        </w:rPr>
        <w:t xml:space="preserve"> </w:t>
      </w:r>
      <w:r>
        <w:rPr>
          <w:i/>
          <w:sz w:val="24"/>
        </w:rPr>
        <w:t>that</w:t>
      </w:r>
      <w:r>
        <w:rPr>
          <w:i/>
          <w:spacing w:val="-11"/>
          <w:sz w:val="24"/>
        </w:rPr>
        <w:t xml:space="preserve"> </w:t>
      </w:r>
      <w:r>
        <w:rPr>
          <w:i/>
          <w:sz w:val="24"/>
        </w:rPr>
        <w:t>the</w:t>
      </w:r>
      <w:r>
        <w:rPr>
          <w:i/>
          <w:spacing w:val="-10"/>
          <w:sz w:val="24"/>
        </w:rPr>
        <w:t xml:space="preserve"> </w:t>
      </w:r>
      <w:r>
        <w:rPr>
          <w:i/>
          <w:sz w:val="24"/>
        </w:rPr>
        <w:t>assets</w:t>
      </w:r>
      <w:r>
        <w:rPr>
          <w:i/>
          <w:spacing w:val="-11"/>
          <w:sz w:val="24"/>
        </w:rPr>
        <w:t xml:space="preserve"> </w:t>
      </w:r>
      <w:r>
        <w:rPr>
          <w:i/>
          <w:sz w:val="24"/>
        </w:rPr>
        <w:t>were</w:t>
      </w:r>
      <w:r>
        <w:rPr>
          <w:i/>
          <w:spacing w:val="-12"/>
          <w:sz w:val="24"/>
        </w:rPr>
        <w:t xml:space="preserve"> </w:t>
      </w:r>
      <w:r>
        <w:rPr>
          <w:i/>
          <w:sz w:val="24"/>
        </w:rPr>
        <w:t>purchased at about the same time as the liabilities were established, then there should be no bounds to the</w:t>
      </w:r>
      <w:r>
        <w:rPr>
          <w:i/>
          <w:spacing w:val="-2"/>
          <w:sz w:val="24"/>
        </w:rPr>
        <w:t xml:space="preserve"> </w:t>
      </w:r>
      <w:r>
        <w:rPr>
          <w:i/>
          <w:sz w:val="24"/>
        </w:rPr>
        <w:t>reserve</w:t>
      </w:r>
      <w:r>
        <w:rPr>
          <w:i/>
          <w:spacing w:val="-2"/>
          <w:sz w:val="24"/>
        </w:rPr>
        <w:t xml:space="preserve"> </w:t>
      </w:r>
      <w:r>
        <w:rPr>
          <w:i/>
          <w:sz w:val="24"/>
        </w:rPr>
        <w:t>which</w:t>
      </w:r>
      <w:r>
        <w:rPr>
          <w:i/>
          <w:spacing w:val="-1"/>
          <w:sz w:val="24"/>
        </w:rPr>
        <w:t xml:space="preserve"> </w:t>
      </w:r>
      <w:r>
        <w:rPr>
          <w:i/>
          <w:sz w:val="24"/>
        </w:rPr>
        <w:t>corrects</w:t>
      </w:r>
      <w:r>
        <w:rPr>
          <w:i/>
          <w:spacing w:val="-1"/>
          <w:sz w:val="24"/>
        </w:rPr>
        <w:t xml:space="preserve"> </w:t>
      </w:r>
      <w:r>
        <w:rPr>
          <w:i/>
          <w:sz w:val="24"/>
        </w:rPr>
        <w:t>for</w:t>
      </w:r>
      <w:r>
        <w:rPr>
          <w:i/>
          <w:spacing w:val="-1"/>
          <w:sz w:val="24"/>
        </w:rPr>
        <w:t xml:space="preserve"> </w:t>
      </w:r>
      <w:r>
        <w:rPr>
          <w:i/>
          <w:sz w:val="24"/>
        </w:rPr>
        <w:t>departures</w:t>
      </w:r>
      <w:r>
        <w:rPr>
          <w:i/>
          <w:spacing w:val="-1"/>
          <w:sz w:val="24"/>
        </w:rPr>
        <w:t xml:space="preserve"> </w:t>
      </w:r>
      <w:r>
        <w:rPr>
          <w:i/>
          <w:sz w:val="24"/>
        </w:rPr>
        <w:t>from</w:t>
      </w:r>
      <w:r>
        <w:rPr>
          <w:i/>
          <w:spacing w:val="-2"/>
          <w:sz w:val="24"/>
        </w:rPr>
        <w:t xml:space="preserve"> </w:t>
      </w:r>
      <w:r>
        <w:rPr>
          <w:i/>
          <w:sz w:val="24"/>
        </w:rPr>
        <w:t>that</w:t>
      </w:r>
      <w:r>
        <w:rPr>
          <w:i/>
          <w:spacing w:val="-1"/>
          <w:sz w:val="24"/>
        </w:rPr>
        <w:t xml:space="preserve"> </w:t>
      </w:r>
      <w:r>
        <w:rPr>
          <w:i/>
          <w:sz w:val="24"/>
        </w:rPr>
        <w:t xml:space="preserve">assumption; </w:t>
      </w:r>
      <w:r>
        <w:rPr>
          <w:b/>
          <w:i/>
          <w:sz w:val="24"/>
          <w:u w:val="single"/>
        </w:rPr>
        <w:t>if</w:t>
      </w:r>
      <w:r>
        <w:rPr>
          <w:b/>
          <w:i/>
          <w:spacing w:val="-2"/>
          <w:sz w:val="24"/>
          <w:u w:val="single"/>
        </w:rPr>
        <w:t xml:space="preserve"> </w:t>
      </w:r>
      <w:r>
        <w:rPr>
          <w:b/>
          <w:i/>
          <w:sz w:val="24"/>
          <w:u w:val="single"/>
        </w:rPr>
        <w:t>a</w:t>
      </w:r>
      <w:r>
        <w:rPr>
          <w:b/>
          <w:i/>
          <w:spacing w:val="-1"/>
          <w:sz w:val="24"/>
          <w:u w:val="single"/>
        </w:rPr>
        <w:t xml:space="preserve"> </w:t>
      </w:r>
      <w:r>
        <w:rPr>
          <w:b/>
          <w:i/>
          <w:sz w:val="24"/>
          <w:u w:val="single"/>
        </w:rPr>
        <w:t>company</w:t>
      </w:r>
      <w:r>
        <w:rPr>
          <w:b/>
          <w:i/>
          <w:spacing w:val="-2"/>
          <w:sz w:val="24"/>
          <w:u w:val="single"/>
        </w:rPr>
        <w:t xml:space="preserve"> </w:t>
      </w:r>
      <w:r>
        <w:rPr>
          <w:b/>
          <w:i/>
          <w:sz w:val="24"/>
          <w:u w:val="single"/>
        </w:rPr>
        <w:t>has</w:t>
      </w:r>
      <w:r>
        <w:rPr>
          <w:b/>
          <w:i/>
          <w:spacing w:val="-1"/>
          <w:sz w:val="24"/>
          <w:u w:val="single"/>
        </w:rPr>
        <w:t xml:space="preserve"> </w:t>
      </w:r>
      <w:r>
        <w:rPr>
          <w:b/>
          <w:i/>
          <w:sz w:val="24"/>
          <w:u w:val="single"/>
        </w:rPr>
        <w:t>to</w:t>
      </w:r>
      <w:r>
        <w:rPr>
          <w:b/>
          <w:i/>
          <w:spacing w:val="-3"/>
          <w:sz w:val="24"/>
          <w:u w:val="single"/>
        </w:rPr>
        <w:t xml:space="preserve"> </w:t>
      </w:r>
      <w:r>
        <w:rPr>
          <w:b/>
          <w:i/>
          <w:sz w:val="24"/>
          <w:u w:val="single"/>
        </w:rPr>
        <w:t>set</w:t>
      </w:r>
      <w:r>
        <w:rPr>
          <w:b/>
          <w:i/>
          <w:spacing w:val="-1"/>
          <w:sz w:val="24"/>
          <w:u w:val="single"/>
        </w:rPr>
        <w:t xml:space="preserve"> </w:t>
      </w:r>
      <w:r>
        <w:rPr>
          <w:b/>
          <w:i/>
          <w:sz w:val="24"/>
          <w:u w:val="single"/>
        </w:rPr>
        <w:t>up</w:t>
      </w:r>
      <w:r>
        <w:rPr>
          <w:b/>
          <w:i/>
          <w:spacing w:val="-3"/>
          <w:sz w:val="24"/>
          <w:u w:val="single"/>
        </w:rPr>
        <w:t xml:space="preserve"> </w:t>
      </w:r>
      <w:r>
        <w:rPr>
          <w:b/>
          <w:i/>
          <w:sz w:val="24"/>
          <w:u w:val="single"/>
        </w:rPr>
        <w:t>a</w:t>
      </w:r>
      <w:r>
        <w:rPr>
          <w:b/>
          <w:i/>
          <w:sz w:val="24"/>
        </w:rPr>
        <w:t xml:space="preserve"> </w:t>
      </w:r>
      <w:r>
        <w:rPr>
          <w:b/>
          <w:i/>
          <w:sz w:val="24"/>
          <w:u w:val="single"/>
        </w:rPr>
        <w:t>large</w:t>
      </w:r>
      <w:r>
        <w:rPr>
          <w:b/>
          <w:i/>
          <w:spacing w:val="-15"/>
          <w:sz w:val="24"/>
          <w:u w:val="single"/>
        </w:rPr>
        <w:t xml:space="preserve"> </w:t>
      </w:r>
      <w:r>
        <w:rPr>
          <w:b/>
          <w:i/>
          <w:sz w:val="24"/>
          <w:u w:val="single"/>
        </w:rPr>
        <w:t>reserve</w:t>
      </w:r>
      <w:r>
        <w:rPr>
          <w:b/>
          <w:i/>
          <w:spacing w:val="-15"/>
          <w:sz w:val="24"/>
          <w:u w:val="single"/>
        </w:rPr>
        <w:t xml:space="preserve"> </w:t>
      </w:r>
      <w:r>
        <w:rPr>
          <w:b/>
          <w:i/>
          <w:sz w:val="24"/>
          <w:u w:val="single"/>
        </w:rPr>
        <w:t>because</w:t>
      </w:r>
      <w:r>
        <w:rPr>
          <w:b/>
          <w:i/>
          <w:spacing w:val="-15"/>
          <w:sz w:val="24"/>
          <w:u w:val="single"/>
        </w:rPr>
        <w:t xml:space="preserve"> </w:t>
      </w:r>
      <w:r>
        <w:rPr>
          <w:b/>
          <w:i/>
          <w:sz w:val="24"/>
          <w:u w:val="single"/>
        </w:rPr>
        <w:t>of</w:t>
      </w:r>
      <w:r>
        <w:rPr>
          <w:b/>
          <w:i/>
          <w:spacing w:val="-15"/>
          <w:sz w:val="24"/>
          <w:u w:val="single"/>
        </w:rPr>
        <w:t xml:space="preserve"> </w:t>
      </w:r>
      <w:r>
        <w:rPr>
          <w:b/>
          <w:i/>
          <w:sz w:val="24"/>
          <w:u w:val="single"/>
        </w:rPr>
        <w:t>trading</w:t>
      </w:r>
      <w:r>
        <w:rPr>
          <w:b/>
          <w:i/>
          <w:spacing w:val="-15"/>
          <w:sz w:val="24"/>
          <w:u w:val="single"/>
        </w:rPr>
        <w:t xml:space="preserve"> </w:t>
      </w:r>
      <w:r>
        <w:rPr>
          <w:b/>
          <w:i/>
          <w:sz w:val="24"/>
          <w:u w:val="single"/>
        </w:rPr>
        <w:t>gains,</w:t>
      </w:r>
      <w:r>
        <w:rPr>
          <w:b/>
          <w:i/>
          <w:spacing w:val="-15"/>
          <w:sz w:val="24"/>
          <w:u w:val="single"/>
        </w:rPr>
        <w:t xml:space="preserve"> </w:t>
      </w:r>
      <w:r>
        <w:rPr>
          <w:b/>
          <w:i/>
          <w:sz w:val="24"/>
          <w:u w:val="single"/>
        </w:rPr>
        <w:t>it</w:t>
      </w:r>
      <w:r>
        <w:rPr>
          <w:b/>
          <w:i/>
          <w:spacing w:val="-15"/>
          <w:sz w:val="24"/>
          <w:u w:val="single"/>
        </w:rPr>
        <w:t xml:space="preserve"> </w:t>
      </w:r>
      <w:r>
        <w:rPr>
          <w:b/>
          <w:i/>
          <w:sz w:val="24"/>
          <w:u w:val="single"/>
        </w:rPr>
        <w:t>is</w:t>
      </w:r>
      <w:r>
        <w:rPr>
          <w:b/>
          <w:i/>
          <w:spacing w:val="-15"/>
          <w:sz w:val="24"/>
          <w:u w:val="single"/>
        </w:rPr>
        <w:t xml:space="preserve"> </w:t>
      </w:r>
      <w:r>
        <w:rPr>
          <w:b/>
          <w:i/>
          <w:sz w:val="24"/>
          <w:u w:val="single"/>
        </w:rPr>
        <w:t>in</w:t>
      </w:r>
      <w:r>
        <w:rPr>
          <w:b/>
          <w:i/>
          <w:spacing w:val="-15"/>
          <w:sz w:val="24"/>
          <w:u w:val="single"/>
        </w:rPr>
        <w:t xml:space="preserve"> </w:t>
      </w:r>
      <w:r>
        <w:rPr>
          <w:b/>
          <w:i/>
          <w:sz w:val="24"/>
          <w:u w:val="single"/>
        </w:rPr>
        <w:t>no</w:t>
      </w:r>
      <w:r>
        <w:rPr>
          <w:b/>
          <w:i/>
          <w:spacing w:val="-15"/>
          <w:sz w:val="24"/>
          <w:u w:val="single"/>
        </w:rPr>
        <w:t xml:space="preserve"> </w:t>
      </w:r>
      <w:r>
        <w:rPr>
          <w:b/>
          <w:i/>
          <w:sz w:val="24"/>
          <w:u w:val="single"/>
        </w:rPr>
        <w:t>worse</w:t>
      </w:r>
      <w:r>
        <w:rPr>
          <w:b/>
          <w:i/>
          <w:spacing w:val="-15"/>
          <w:sz w:val="24"/>
          <w:u w:val="single"/>
        </w:rPr>
        <w:t xml:space="preserve"> </w:t>
      </w:r>
      <w:r>
        <w:rPr>
          <w:b/>
          <w:i/>
          <w:sz w:val="24"/>
          <w:u w:val="single"/>
        </w:rPr>
        <w:t>position</w:t>
      </w:r>
      <w:r>
        <w:rPr>
          <w:b/>
          <w:i/>
          <w:spacing w:val="-15"/>
          <w:sz w:val="24"/>
          <w:u w:val="single"/>
        </w:rPr>
        <w:t xml:space="preserve"> </w:t>
      </w:r>
      <w:r>
        <w:rPr>
          <w:b/>
          <w:i/>
          <w:sz w:val="24"/>
          <w:u w:val="single"/>
        </w:rPr>
        <w:t>that</w:t>
      </w:r>
      <w:r>
        <w:rPr>
          <w:b/>
          <w:i/>
          <w:spacing w:val="-15"/>
          <w:sz w:val="24"/>
          <w:u w:val="single"/>
        </w:rPr>
        <w:t xml:space="preserve"> </w:t>
      </w:r>
      <w:r>
        <w:rPr>
          <w:b/>
          <w:i/>
          <w:sz w:val="24"/>
          <w:u w:val="single"/>
        </w:rPr>
        <w:t>if</w:t>
      </w:r>
      <w:r>
        <w:rPr>
          <w:b/>
          <w:i/>
          <w:spacing w:val="-15"/>
          <w:sz w:val="24"/>
          <w:u w:val="single"/>
        </w:rPr>
        <w:t xml:space="preserve"> </w:t>
      </w:r>
      <w:r>
        <w:rPr>
          <w:b/>
          <w:i/>
          <w:sz w:val="24"/>
          <w:u w:val="single"/>
        </w:rPr>
        <w:t>it</w:t>
      </w:r>
      <w:r>
        <w:rPr>
          <w:b/>
          <w:i/>
          <w:spacing w:val="-15"/>
          <w:sz w:val="24"/>
          <w:u w:val="single"/>
        </w:rPr>
        <w:t xml:space="preserve"> </w:t>
      </w:r>
      <w:r>
        <w:rPr>
          <w:b/>
          <w:i/>
          <w:sz w:val="24"/>
          <w:u w:val="single"/>
        </w:rPr>
        <w:t>had</w:t>
      </w:r>
      <w:r>
        <w:rPr>
          <w:b/>
          <w:i/>
          <w:spacing w:val="-15"/>
          <w:sz w:val="24"/>
          <w:u w:val="single"/>
        </w:rPr>
        <w:t xml:space="preserve"> </w:t>
      </w:r>
      <w:r>
        <w:rPr>
          <w:b/>
          <w:i/>
          <w:sz w:val="24"/>
          <w:u w:val="single"/>
        </w:rPr>
        <w:t>held</w:t>
      </w:r>
      <w:r>
        <w:rPr>
          <w:b/>
          <w:i/>
          <w:spacing w:val="-15"/>
          <w:sz w:val="24"/>
          <w:u w:val="single"/>
        </w:rPr>
        <w:t xml:space="preserve"> </w:t>
      </w:r>
      <w:r>
        <w:rPr>
          <w:b/>
          <w:i/>
          <w:sz w:val="24"/>
          <w:u w:val="single"/>
        </w:rPr>
        <w:t>the</w:t>
      </w:r>
      <w:r>
        <w:rPr>
          <w:b/>
          <w:i/>
          <w:spacing w:val="-15"/>
          <w:sz w:val="24"/>
          <w:u w:val="single"/>
        </w:rPr>
        <w:t xml:space="preserve"> </w:t>
      </w:r>
      <w:r>
        <w:rPr>
          <w:b/>
          <w:i/>
          <w:sz w:val="24"/>
          <w:u w:val="single"/>
        </w:rPr>
        <w:t>original</w:t>
      </w:r>
      <w:r>
        <w:rPr>
          <w:b/>
          <w:i/>
          <w:sz w:val="24"/>
        </w:rPr>
        <w:t xml:space="preserve"> </w:t>
      </w:r>
      <w:r>
        <w:rPr>
          <w:b/>
          <w:i/>
          <w:sz w:val="24"/>
          <w:u w:val="single"/>
        </w:rPr>
        <w:t>assets.</w:t>
      </w:r>
      <w:r>
        <w:rPr>
          <w:b/>
          <w:i/>
          <w:spacing w:val="43"/>
          <w:sz w:val="24"/>
          <w:u w:val="single"/>
        </w:rPr>
        <w:t xml:space="preserve"> </w:t>
      </w:r>
      <w:r>
        <w:rPr>
          <w:b/>
          <w:i/>
          <w:sz w:val="24"/>
          <w:u w:val="single"/>
        </w:rPr>
        <w:t>As</w:t>
      </w:r>
      <w:r>
        <w:rPr>
          <w:b/>
          <w:i/>
          <w:spacing w:val="-13"/>
          <w:sz w:val="24"/>
          <w:u w:val="single"/>
        </w:rPr>
        <w:t xml:space="preserve"> </w:t>
      </w:r>
      <w:r>
        <w:rPr>
          <w:b/>
          <w:i/>
          <w:sz w:val="24"/>
          <w:u w:val="single"/>
        </w:rPr>
        <w:t>for</w:t>
      </w:r>
      <w:r>
        <w:rPr>
          <w:b/>
          <w:i/>
          <w:spacing w:val="-13"/>
          <w:sz w:val="24"/>
          <w:u w:val="single"/>
        </w:rPr>
        <w:t xml:space="preserve"> </w:t>
      </w:r>
      <w:r>
        <w:rPr>
          <w:b/>
          <w:i/>
          <w:sz w:val="24"/>
          <w:u w:val="single"/>
        </w:rPr>
        <w:t>negative</w:t>
      </w:r>
      <w:r>
        <w:rPr>
          <w:b/>
          <w:i/>
          <w:spacing w:val="-15"/>
          <w:sz w:val="24"/>
          <w:u w:val="single"/>
        </w:rPr>
        <w:t xml:space="preserve"> </w:t>
      </w:r>
      <w:r>
        <w:rPr>
          <w:b/>
          <w:i/>
          <w:sz w:val="24"/>
          <w:u w:val="single"/>
        </w:rPr>
        <w:t>values</w:t>
      </w:r>
      <w:r>
        <w:rPr>
          <w:b/>
          <w:i/>
          <w:spacing w:val="-13"/>
          <w:sz w:val="24"/>
          <w:u w:val="single"/>
        </w:rPr>
        <w:t xml:space="preserve"> </w:t>
      </w:r>
      <w:r>
        <w:rPr>
          <w:b/>
          <w:i/>
          <w:sz w:val="24"/>
          <w:u w:val="single"/>
        </w:rPr>
        <w:t>of</w:t>
      </w:r>
      <w:r>
        <w:rPr>
          <w:b/>
          <w:i/>
          <w:spacing w:val="-14"/>
          <w:sz w:val="24"/>
          <w:u w:val="single"/>
        </w:rPr>
        <w:t xml:space="preserve"> </w:t>
      </w:r>
      <w:r>
        <w:rPr>
          <w:b/>
          <w:i/>
          <w:sz w:val="24"/>
          <w:u w:val="single"/>
        </w:rPr>
        <w:t>the</w:t>
      </w:r>
      <w:r>
        <w:rPr>
          <w:b/>
          <w:i/>
          <w:spacing w:val="-14"/>
          <w:sz w:val="24"/>
          <w:u w:val="single"/>
        </w:rPr>
        <w:t xml:space="preserve"> </w:t>
      </w:r>
      <w:r>
        <w:rPr>
          <w:b/>
          <w:i/>
          <w:sz w:val="24"/>
          <w:u w:val="single"/>
        </w:rPr>
        <w:t>IMR,</w:t>
      </w:r>
      <w:r>
        <w:rPr>
          <w:b/>
          <w:i/>
          <w:spacing w:val="-13"/>
          <w:sz w:val="24"/>
          <w:u w:val="single"/>
        </w:rPr>
        <w:t xml:space="preserve"> </w:t>
      </w:r>
      <w:r>
        <w:rPr>
          <w:b/>
          <w:i/>
          <w:sz w:val="24"/>
          <w:u w:val="single"/>
        </w:rPr>
        <w:t>the</w:t>
      </w:r>
      <w:r>
        <w:rPr>
          <w:b/>
          <w:i/>
          <w:spacing w:val="-14"/>
          <w:sz w:val="24"/>
          <w:u w:val="single"/>
        </w:rPr>
        <w:t xml:space="preserve"> </w:t>
      </w:r>
      <w:r>
        <w:rPr>
          <w:b/>
          <w:i/>
          <w:sz w:val="24"/>
          <w:u w:val="single"/>
        </w:rPr>
        <w:t>same</w:t>
      </w:r>
      <w:r>
        <w:rPr>
          <w:b/>
          <w:i/>
          <w:spacing w:val="-14"/>
          <w:sz w:val="24"/>
          <w:u w:val="single"/>
        </w:rPr>
        <w:t xml:space="preserve"> </w:t>
      </w:r>
      <w:r>
        <w:rPr>
          <w:b/>
          <w:i/>
          <w:sz w:val="24"/>
          <w:u w:val="single"/>
        </w:rPr>
        <w:t>rationale</w:t>
      </w:r>
      <w:r>
        <w:rPr>
          <w:b/>
          <w:i/>
          <w:spacing w:val="-13"/>
          <w:sz w:val="24"/>
          <w:u w:val="single"/>
        </w:rPr>
        <w:t xml:space="preserve"> </w:t>
      </w:r>
      <w:r>
        <w:rPr>
          <w:b/>
          <w:i/>
          <w:sz w:val="24"/>
          <w:u w:val="single"/>
        </w:rPr>
        <w:t>applies</w:t>
      </w:r>
      <w:r>
        <w:rPr>
          <w:b/>
          <w:sz w:val="24"/>
          <w:u w:val="single"/>
        </w:rPr>
        <w:t>.</w:t>
      </w:r>
      <w:r>
        <w:rPr>
          <w:b/>
          <w:spacing w:val="46"/>
          <w:sz w:val="24"/>
          <w:u w:val="single"/>
        </w:rPr>
        <w:t xml:space="preserve"> </w:t>
      </w:r>
      <w:r>
        <w:rPr>
          <w:b/>
          <w:sz w:val="24"/>
          <w:u w:val="single"/>
        </w:rPr>
        <w:t>However,</w:t>
      </w:r>
      <w:r>
        <w:rPr>
          <w:b/>
          <w:spacing w:val="-11"/>
          <w:sz w:val="24"/>
          <w:u w:val="single"/>
        </w:rPr>
        <w:t xml:space="preserve"> </w:t>
      </w:r>
      <w:r>
        <w:rPr>
          <w:b/>
          <w:sz w:val="24"/>
          <w:u w:val="single"/>
        </w:rPr>
        <w:t>the</w:t>
      </w:r>
      <w:r>
        <w:rPr>
          <w:b/>
          <w:spacing w:val="-14"/>
          <w:sz w:val="24"/>
          <w:u w:val="single"/>
        </w:rPr>
        <w:t xml:space="preserve"> </w:t>
      </w:r>
      <w:r>
        <w:rPr>
          <w:b/>
          <w:spacing w:val="-2"/>
          <w:sz w:val="24"/>
          <w:u w:val="single"/>
        </w:rPr>
        <w:t>concept</w:t>
      </w:r>
    </w:p>
    <w:p w14:paraId="0009F4CB" w14:textId="77777777" w:rsidR="00680063" w:rsidRDefault="00000000">
      <w:pPr>
        <w:pStyle w:val="BodyText"/>
        <w:spacing w:line="216" w:lineRule="exact"/>
        <w:ind w:left="840"/>
        <w:rPr>
          <w:sz w:val="20"/>
        </w:rPr>
      </w:pPr>
      <w:r>
        <w:rPr>
          <w:position w:val="-3"/>
          <w:sz w:val="20"/>
        </w:rPr>
      </w:r>
      <w:r>
        <w:rPr>
          <w:position w:val="-3"/>
          <w:sz w:val="20"/>
        </w:rPr>
        <w:pict w14:anchorId="335B9973">
          <v:group id="docshapegroup6" o:spid="_x0000_s1059" style="width:310.45pt;height:10.8pt;mso-position-horizontal-relative:char;mso-position-vertical-relative:line" coordsize="6209,216">
            <v:shape id="docshape7" o:spid="_x0000_s1061" type="#_x0000_t75" style="position:absolute;left:9;width:6183;height:214">
              <v:imagedata r:id="rId17" o:title=""/>
            </v:shape>
            <v:rect id="docshape8" o:spid="_x0000_s1060" style="position:absolute;top:189;width:6209;height:27" fillcolor="black" stroked="f"/>
            <w10:anchorlock/>
          </v:group>
        </w:pict>
      </w:r>
    </w:p>
    <w:p w14:paraId="1900C40C" w14:textId="77777777" w:rsidR="00680063" w:rsidRDefault="00680063">
      <w:pPr>
        <w:pStyle w:val="BodyText"/>
        <w:spacing w:before="1"/>
        <w:rPr>
          <w:b/>
          <w:sz w:val="16"/>
        </w:rPr>
      </w:pPr>
    </w:p>
    <w:p w14:paraId="4D6DD1F5" w14:textId="77777777" w:rsidR="00680063" w:rsidRDefault="00000000">
      <w:pPr>
        <w:pStyle w:val="BodyText"/>
        <w:spacing w:before="90" w:line="242" w:lineRule="auto"/>
        <w:ind w:left="479" w:right="1196"/>
        <w:jc w:val="both"/>
      </w:pPr>
      <w:r>
        <w:t>While realized losses can offset realized gains in IMR, the IMR instructions require the disallowance of a net negative IMR balance (e.g., as noted in the last sentence of the aforementioned quote).</w:t>
      </w:r>
      <w:r>
        <w:rPr>
          <w:spacing w:val="40"/>
        </w:rPr>
        <w:t xml:space="preserve"> </w:t>
      </w:r>
      <w:r>
        <w:t>See attachment II to this letter, which includes the pertinent IMR instructions where negative IMR balances are currently disallowed and in need of amendment.</w:t>
      </w:r>
    </w:p>
    <w:p w14:paraId="091C8416" w14:textId="77777777" w:rsidR="00680063" w:rsidRDefault="00680063">
      <w:pPr>
        <w:pStyle w:val="BodyText"/>
        <w:spacing w:before="10"/>
      </w:pPr>
    </w:p>
    <w:p w14:paraId="2603E65B" w14:textId="77777777" w:rsidR="00680063" w:rsidRDefault="00000000">
      <w:pPr>
        <w:pStyle w:val="BodyText"/>
        <w:spacing w:before="1" w:line="242" w:lineRule="auto"/>
        <w:ind w:left="479" w:right="1198"/>
        <w:jc w:val="both"/>
      </w:pPr>
      <w:r>
        <w:t>When IMR was originally developed, it was intended to achieve its purpose in both a declining and rising interest rate environment.</w:t>
      </w:r>
      <w:r>
        <w:rPr>
          <w:spacing w:val="40"/>
        </w:rPr>
        <w:t xml:space="preserve"> </w:t>
      </w:r>
      <w:r>
        <w:t>The originally adopted disallowed status of a negative IMR was expected to be addressed in subsequent years.</w:t>
      </w:r>
      <w:r>
        <w:rPr>
          <w:spacing w:val="40"/>
        </w:rPr>
        <w:t xml:space="preserve"> </w:t>
      </w:r>
      <w:r>
        <w:t>However, over time with the persistent declining interest rates, the issue lost urgency since a negative IMR would not have been a significant issue for any company.</w:t>
      </w:r>
      <w:r>
        <w:rPr>
          <w:spacing w:val="40"/>
        </w:rPr>
        <w:t xml:space="preserve"> </w:t>
      </w:r>
      <w:r>
        <w:t>The NAIC AVR/IMR Working Group ultimately disbanded without ever addressing this longstanding item on their agenda.</w:t>
      </w:r>
    </w:p>
    <w:p w14:paraId="7EA90AE5" w14:textId="77777777" w:rsidR="00680063" w:rsidRDefault="00680063">
      <w:pPr>
        <w:pStyle w:val="BodyText"/>
        <w:spacing w:before="9"/>
      </w:pPr>
    </w:p>
    <w:p w14:paraId="3613EB3A" w14:textId="77777777" w:rsidR="00680063" w:rsidRDefault="00000000">
      <w:pPr>
        <w:pStyle w:val="BodyText"/>
        <w:spacing w:line="244" w:lineRule="auto"/>
        <w:ind w:left="479" w:right="1199"/>
        <w:jc w:val="both"/>
      </w:pPr>
      <w:r>
        <w:t>With a rising interest rate environment, it is important that the allowance of a negative IMR be addressed to fulfill its original purpose.</w:t>
      </w:r>
      <w:r>
        <w:rPr>
          <w:spacing w:val="40"/>
        </w:rPr>
        <w:t xml:space="preserve"> </w:t>
      </w:r>
      <w:r>
        <w:t>In general, rising interest rates are favorable to the financial health of the insurance industry as well as for policyowners.</w:t>
      </w:r>
    </w:p>
    <w:p w14:paraId="3533E99C" w14:textId="77777777" w:rsidR="00680063" w:rsidRDefault="00680063">
      <w:pPr>
        <w:pStyle w:val="BodyText"/>
        <w:spacing w:before="3"/>
      </w:pPr>
    </w:p>
    <w:p w14:paraId="2395E1D6" w14:textId="77777777" w:rsidR="00680063" w:rsidRDefault="00000000">
      <w:pPr>
        <w:pStyle w:val="BodyText"/>
        <w:spacing w:line="242" w:lineRule="auto"/>
        <w:ind w:left="479" w:right="1199"/>
        <w:jc w:val="both"/>
      </w:pPr>
      <w:r>
        <w:t>Without a change, the rising interest rate environment will give the inappropriate perception of decreased financial strength through lower surplus and risk-based capital and worse, create incentives for insurance companies to take action, or not take actions, to prevent uneconomic surplus impacts where the actions (or lack thereof) themselves may be economically detrimental.</w:t>
      </w:r>
    </w:p>
    <w:p w14:paraId="48059241" w14:textId="77777777" w:rsidR="00680063" w:rsidRDefault="00680063">
      <w:pPr>
        <w:pStyle w:val="BodyText"/>
        <w:spacing w:before="8"/>
      </w:pPr>
    </w:p>
    <w:p w14:paraId="18C89458" w14:textId="77777777" w:rsidR="00680063" w:rsidRDefault="00000000">
      <w:pPr>
        <w:pStyle w:val="BodyText"/>
        <w:spacing w:before="1" w:line="242" w:lineRule="auto"/>
        <w:ind w:left="479" w:right="1195"/>
        <w:jc w:val="both"/>
      </w:pPr>
      <w:r>
        <w:rPr>
          <w:noProof/>
        </w:rPr>
        <w:drawing>
          <wp:anchor distT="0" distB="0" distL="0" distR="0" simplePos="0" relativeHeight="10" behindDoc="0" locked="0" layoutInCell="1" allowOverlap="1" wp14:anchorId="5C1A9EB4" wp14:editId="044735A3">
            <wp:simplePos x="0" y="0"/>
            <wp:positionH relativeFrom="page">
              <wp:posOffset>915923</wp:posOffset>
            </wp:positionH>
            <wp:positionV relativeFrom="paragraph">
              <wp:posOffset>747969</wp:posOffset>
            </wp:positionV>
            <wp:extent cx="3971862" cy="138112"/>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8" cstate="print"/>
                    <a:stretch>
                      <a:fillRect/>
                    </a:stretch>
                  </pic:blipFill>
                  <pic:spPr>
                    <a:xfrm>
                      <a:off x="0" y="0"/>
                      <a:ext cx="3971862" cy="138112"/>
                    </a:xfrm>
                    <a:prstGeom prst="rect">
                      <a:avLst/>
                    </a:prstGeom>
                  </pic:spPr>
                </pic:pic>
              </a:graphicData>
            </a:graphic>
          </wp:anchor>
        </w:drawing>
      </w:r>
      <w:r>
        <w:rPr>
          <w:noProof/>
        </w:rPr>
        <w:drawing>
          <wp:anchor distT="0" distB="0" distL="0" distR="0" simplePos="0" relativeHeight="11" behindDoc="0" locked="0" layoutInCell="1" allowOverlap="1" wp14:anchorId="3AE16450" wp14:editId="73D23072">
            <wp:simplePos x="0" y="0"/>
            <wp:positionH relativeFrom="page">
              <wp:posOffset>4968239</wp:posOffset>
            </wp:positionH>
            <wp:positionV relativeFrom="paragraph">
              <wp:posOffset>784546</wp:posOffset>
            </wp:positionV>
            <wp:extent cx="147434" cy="71437"/>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9" cstate="print"/>
                    <a:stretch>
                      <a:fillRect/>
                    </a:stretch>
                  </pic:blipFill>
                  <pic:spPr>
                    <a:xfrm>
                      <a:off x="0" y="0"/>
                      <a:ext cx="147434" cy="71437"/>
                    </a:xfrm>
                    <a:prstGeom prst="rect">
                      <a:avLst/>
                    </a:prstGeom>
                  </pic:spPr>
                </pic:pic>
              </a:graphicData>
            </a:graphic>
          </wp:anchor>
        </w:drawing>
      </w:r>
      <w:r>
        <w:rPr>
          <w:noProof/>
        </w:rPr>
        <w:drawing>
          <wp:anchor distT="0" distB="0" distL="0" distR="0" simplePos="0" relativeHeight="12" behindDoc="0" locked="0" layoutInCell="1" allowOverlap="1" wp14:anchorId="61996805" wp14:editId="55386327">
            <wp:simplePos x="0" y="0"/>
            <wp:positionH relativeFrom="page">
              <wp:posOffset>5175503</wp:posOffset>
            </wp:positionH>
            <wp:positionV relativeFrom="paragraph">
              <wp:posOffset>784546</wp:posOffset>
            </wp:positionV>
            <wp:extent cx="63837" cy="71437"/>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0" cstate="print"/>
                    <a:stretch>
                      <a:fillRect/>
                    </a:stretch>
                  </pic:blipFill>
                  <pic:spPr>
                    <a:xfrm>
                      <a:off x="0" y="0"/>
                      <a:ext cx="63837" cy="71437"/>
                    </a:xfrm>
                    <a:prstGeom prst="rect">
                      <a:avLst/>
                    </a:prstGeom>
                  </pic:spPr>
                </pic:pic>
              </a:graphicData>
            </a:graphic>
          </wp:anchor>
        </w:drawing>
      </w:r>
      <w:r>
        <w:rPr>
          <w:noProof/>
        </w:rPr>
        <w:drawing>
          <wp:anchor distT="0" distB="0" distL="0" distR="0" simplePos="0" relativeHeight="13" behindDoc="0" locked="0" layoutInCell="1" allowOverlap="1" wp14:anchorId="6F40B91D" wp14:editId="210A8798">
            <wp:simplePos x="0" y="0"/>
            <wp:positionH relativeFrom="page">
              <wp:posOffset>5297423</wp:posOffset>
            </wp:positionH>
            <wp:positionV relativeFrom="paragraph">
              <wp:posOffset>747969</wp:posOffset>
            </wp:positionV>
            <wp:extent cx="192013" cy="107346"/>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1" cstate="print"/>
                    <a:stretch>
                      <a:fillRect/>
                    </a:stretch>
                  </pic:blipFill>
                  <pic:spPr>
                    <a:xfrm>
                      <a:off x="0" y="0"/>
                      <a:ext cx="192013" cy="107346"/>
                    </a:xfrm>
                    <a:prstGeom prst="rect">
                      <a:avLst/>
                    </a:prstGeom>
                  </pic:spPr>
                </pic:pic>
              </a:graphicData>
            </a:graphic>
          </wp:anchor>
        </w:drawing>
      </w:r>
      <w:r>
        <w:rPr>
          <w:noProof/>
        </w:rPr>
        <w:drawing>
          <wp:anchor distT="0" distB="0" distL="0" distR="0" simplePos="0" relativeHeight="14" behindDoc="0" locked="0" layoutInCell="1" allowOverlap="1" wp14:anchorId="2C00A803" wp14:editId="303A541B">
            <wp:simplePos x="0" y="0"/>
            <wp:positionH relativeFrom="page">
              <wp:posOffset>5554979</wp:posOffset>
            </wp:positionH>
            <wp:positionV relativeFrom="paragraph">
              <wp:posOffset>747970</wp:posOffset>
            </wp:positionV>
            <wp:extent cx="1288545" cy="138112"/>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2" cstate="print"/>
                    <a:stretch>
                      <a:fillRect/>
                    </a:stretch>
                  </pic:blipFill>
                  <pic:spPr>
                    <a:xfrm>
                      <a:off x="0" y="0"/>
                      <a:ext cx="1288545" cy="138112"/>
                    </a:xfrm>
                    <a:prstGeom prst="rect">
                      <a:avLst/>
                    </a:prstGeom>
                  </pic:spPr>
                </pic:pic>
              </a:graphicData>
            </a:graphic>
          </wp:anchor>
        </w:drawing>
      </w:r>
      <w:r>
        <w:t>Symmetrical treatment of a negative IMR (i.e., the allowance of a negative IMR balance) would appropriately not change surplus as a sale and reinvestment would not affect the underlying insurance</w:t>
      </w:r>
      <w:r>
        <w:rPr>
          <w:spacing w:val="-15"/>
        </w:rPr>
        <w:t xml:space="preserve"> </w:t>
      </w:r>
      <w:r>
        <w:t>company</w:t>
      </w:r>
      <w:r>
        <w:rPr>
          <w:spacing w:val="-15"/>
        </w:rPr>
        <w:t xml:space="preserve"> </w:t>
      </w:r>
      <w:r>
        <w:t>liquidity,</w:t>
      </w:r>
      <w:r>
        <w:rPr>
          <w:spacing w:val="-15"/>
        </w:rPr>
        <w:t xml:space="preserve"> </w:t>
      </w:r>
      <w:r>
        <w:t>solvency,</w:t>
      </w:r>
      <w:r>
        <w:rPr>
          <w:spacing w:val="-15"/>
        </w:rPr>
        <w:t xml:space="preserve"> </w:t>
      </w:r>
      <w:r>
        <w:t>or</w:t>
      </w:r>
      <w:r>
        <w:rPr>
          <w:spacing w:val="-15"/>
        </w:rPr>
        <w:t xml:space="preserve"> </w:t>
      </w:r>
      <w:r>
        <w:t>claims</w:t>
      </w:r>
      <w:r>
        <w:rPr>
          <w:spacing w:val="-15"/>
        </w:rPr>
        <w:t xml:space="preserve"> </w:t>
      </w:r>
      <w:r>
        <w:t>paying</w:t>
      </w:r>
      <w:r>
        <w:rPr>
          <w:spacing w:val="-15"/>
        </w:rPr>
        <w:t xml:space="preserve"> </w:t>
      </w:r>
      <w:r>
        <w:t>ability,</w:t>
      </w:r>
      <w:r>
        <w:rPr>
          <w:spacing w:val="-15"/>
        </w:rPr>
        <w:t xml:space="preserve"> </w:t>
      </w:r>
      <w:r>
        <w:t>just</w:t>
      </w:r>
      <w:r>
        <w:rPr>
          <w:spacing w:val="-13"/>
        </w:rPr>
        <w:t xml:space="preserve"> </w:t>
      </w:r>
      <w:r>
        <w:t>like</w:t>
      </w:r>
      <w:r>
        <w:rPr>
          <w:spacing w:val="-14"/>
        </w:rPr>
        <w:t xml:space="preserve"> </w:t>
      </w:r>
      <w:r>
        <w:t>with</w:t>
      </w:r>
      <w:r>
        <w:rPr>
          <w:spacing w:val="-15"/>
        </w:rPr>
        <w:t xml:space="preserve"> </w:t>
      </w:r>
      <w:r>
        <w:t>a</w:t>
      </w:r>
      <w:r>
        <w:rPr>
          <w:spacing w:val="-15"/>
        </w:rPr>
        <w:t xml:space="preserve"> </w:t>
      </w:r>
      <w:r>
        <w:t>positive</w:t>
      </w:r>
      <w:r>
        <w:rPr>
          <w:spacing w:val="-15"/>
        </w:rPr>
        <w:t xml:space="preserve"> </w:t>
      </w:r>
      <w:r>
        <w:t>IMR.</w:t>
      </w:r>
      <w:r>
        <w:rPr>
          <w:spacing w:val="76"/>
        </w:rPr>
        <w:t xml:space="preserve"> </w:t>
      </w:r>
      <w:r>
        <w:t>See attachment</w:t>
      </w:r>
      <w:r>
        <w:rPr>
          <w:spacing w:val="58"/>
        </w:rPr>
        <w:t xml:space="preserve"> </w:t>
      </w:r>
      <w:r>
        <w:t>III</w:t>
      </w:r>
      <w:r>
        <w:rPr>
          <w:spacing w:val="54"/>
        </w:rPr>
        <w:t xml:space="preserve"> </w:t>
      </w:r>
      <w:r>
        <w:t>to</w:t>
      </w:r>
      <w:r>
        <w:rPr>
          <w:spacing w:val="55"/>
        </w:rPr>
        <w:t xml:space="preserve"> </w:t>
      </w:r>
      <w:r>
        <w:t>this</w:t>
      </w:r>
      <w:r>
        <w:rPr>
          <w:spacing w:val="56"/>
        </w:rPr>
        <w:t xml:space="preserve"> </w:t>
      </w:r>
      <w:r>
        <w:t>letter</w:t>
      </w:r>
      <w:r>
        <w:rPr>
          <w:spacing w:val="55"/>
        </w:rPr>
        <w:t xml:space="preserve"> </w:t>
      </w:r>
      <w:r>
        <w:t>that</w:t>
      </w:r>
      <w:r>
        <w:rPr>
          <w:spacing w:val="55"/>
        </w:rPr>
        <w:t xml:space="preserve"> </w:t>
      </w:r>
      <w:r>
        <w:t>illustrates</w:t>
      </w:r>
      <w:r>
        <w:rPr>
          <w:spacing w:val="56"/>
        </w:rPr>
        <w:t xml:space="preserve"> </w:t>
      </w:r>
      <w:r>
        <w:t>that</w:t>
      </w:r>
      <w:r>
        <w:rPr>
          <w:spacing w:val="56"/>
        </w:rPr>
        <w:t xml:space="preserve"> </w:t>
      </w:r>
      <w:r>
        <w:t>the</w:t>
      </w:r>
      <w:r>
        <w:rPr>
          <w:spacing w:val="55"/>
        </w:rPr>
        <w:t xml:space="preserve"> </w:t>
      </w:r>
      <w:r>
        <w:t>sale</w:t>
      </w:r>
      <w:r>
        <w:rPr>
          <w:spacing w:val="56"/>
        </w:rPr>
        <w:t xml:space="preserve"> </w:t>
      </w:r>
      <w:r>
        <w:t>of</w:t>
      </w:r>
      <w:r>
        <w:rPr>
          <w:spacing w:val="55"/>
        </w:rPr>
        <w:t xml:space="preserve"> </w:t>
      </w:r>
      <w:r>
        <w:t>a</w:t>
      </w:r>
      <w:r>
        <w:rPr>
          <w:spacing w:val="55"/>
        </w:rPr>
        <w:t xml:space="preserve"> </w:t>
      </w:r>
      <w:r>
        <w:t>fixed</w:t>
      </w:r>
      <w:r>
        <w:rPr>
          <w:spacing w:val="56"/>
        </w:rPr>
        <w:t xml:space="preserve"> </w:t>
      </w:r>
      <w:r>
        <w:t>income</w:t>
      </w:r>
      <w:r>
        <w:rPr>
          <w:spacing w:val="55"/>
        </w:rPr>
        <w:t xml:space="preserve"> </w:t>
      </w:r>
      <w:r>
        <w:t>investment,</w:t>
      </w:r>
      <w:r>
        <w:rPr>
          <w:spacing w:val="56"/>
        </w:rPr>
        <w:t xml:space="preserve"> </w:t>
      </w:r>
      <w:r>
        <w:rPr>
          <w:spacing w:val="-5"/>
        </w:rPr>
        <w:t>and</w:t>
      </w:r>
    </w:p>
    <w:p w14:paraId="61EFA771" w14:textId="77777777" w:rsidR="00680063" w:rsidRDefault="00000000">
      <w:pPr>
        <w:pStyle w:val="BodyText"/>
        <w:spacing w:before="7"/>
        <w:ind w:left="479"/>
      </w:pPr>
      <w:r>
        <w:t>liquidity,</w:t>
      </w:r>
      <w:r>
        <w:rPr>
          <w:spacing w:val="-2"/>
        </w:rPr>
        <w:t xml:space="preserve"> </w:t>
      </w:r>
      <w:r>
        <w:t>solvency,</w:t>
      </w:r>
      <w:r>
        <w:rPr>
          <w:spacing w:val="-2"/>
        </w:rPr>
        <w:t xml:space="preserve"> </w:t>
      </w:r>
      <w:r>
        <w:t>or</w:t>
      </w:r>
      <w:r>
        <w:rPr>
          <w:spacing w:val="-3"/>
        </w:rPr>
        <w:t xml:space="preserve"> </w:t>
      </w:r>
      <w:r>
        <w:t>claims paying</w:t>
      </w:r>
      <w:r>
        <w:rPr>
          <w:spacing w:val="-1"/>
        </w:rPr>
        <w:t xml:space="preserve"> </w:t>
      </w:r>
      <w:r>
        <w:rPr>
          <w:spacing w:val="-2"/>
        </w:rPr>
        <w:t>ability.</w:t>
      </w:r>
    </w:p>
    <w:p w14:paraId="41F79216" w14:textId="77777777" w:rsidR="00680063" w:rsidRDefault="00680063">
      <w:pPr>
        <w:pStyle w:val="BodyText"/>
        <w:spacing w:before="7"/>
      </w:pPr>
    </w:p>
    <w:p w14:paraId="51AC2F62" w14:textId="77777777" w:rsidR="00680063" w:rsidRDefault="00000000">
      <w:pPr>
        <w:pStyle w:val="BodyText"/>
        <w:spacing w:line="242" w:lineRule="auto"/>
        <w:ind w:left="479" w:right="1195"/>
        <w:jc w:val="both"/>
      </w:pPr>
      <w:r>
        <w:t>As it was initially recognized by the NAIC that IMR should apply to both gains and losses, adequate safeguards were already built into the IMR instructions for asset adequacy, risk-based capital, and troubled companies.</w:t>
      </w:r>
    </w:p>
    <w:p w14:paraId="55A290D3" w14:textId="77777777" w:rsidR="00680063" w:rsidRDefault="00680063">
      <w:pPr>
        <w:pStyle w:val="BodyText"/>
        <w:spacing w:before="1"/>
      </w:pPr>
    </w:p>
    <w:p w14:paraId="589AE0C4" w14:textId="77777777" w:rsidR="00680063" w:rsidRDefault="00000000">
      <w:pPr>
        <w:pStyle w:val="Heading2"/>
        <w:tabs>
          <w:tab w:val="left" w:pos="2164"/>
        </w:tabs>
        <w:spacing w:before="1"/>
      </w:pPr>
      <w:r>
        <w:pict w14:anchorId="48B9618E">
          <v:rect id="docshape9" o:spid="_x0000_s1058" style="position:absolute;left:0;text-align:left;margin-left:147.1pt;margin-top:7.9pt;width:6.35pt;height:.95pt;z-index:-16107008;mso-position-horizontal-relative:page" fillcolor="black" stroked="f">
            <w10:wrap anchorx="page"/>
          </v:rect>
        </w:pict>
      </w:r>
      <w:r>
        <w:rPr>
          <w:u w:val="single"/>
        </w:rPr>
        <w:t>Negative</w:t>
      </w:r>
      <w:r>
        <w:rPr>
          <w:spacing w:val="-4"/>
          <w:u w:val="single"/>
        </w:rPr>
        <w:t xml:space="preserve"> </w:t>
      </w:r>
      <w:r>
        <w:rPr>
          <w:spacing w:val="-5"/>
          <w:u w:val="single"/>
        </w:rPr>
        <w:t>IMR</w:t>
      </w:r>
      <w:r>
        <w:rPr>
          <w:u w:val="single"/>
        </w:rPr>
        <w:tab/>
        <w:t>Reserve</w:t>
      </w:r>
      <w:r>
        <w:rPr>
          <w:spacing w:val="-5"/>
          <w:u w:val="single"/>
        </w:rPr>
        <w:t xml:space="preserve"> </w:t>
      </w:r>
      <w:r>
        <w:rPr>
          <w:u w:val="single"/>
        </w:rPr>
        <w:t>Adequacy</w:t>
      </w:r>
      <w:r>
        <w:rPr>
          <w:spacing w:val="-2"/>
          <w:u w:val="single"/>
        </w:rPr>
        <w:t xml:space="preserve"> </w:t>
      </w:r>
      <w:r>
        <w:rPr>
          <w:u w:val="single"/>
        </w:rPr>
        <w:t>and</w:t>
      </w:r>
      <w:r>
        <w:rPr>
          <w:spacing w:val="-2"/>
          <w:u w:val="single"/>
        </w:rPr>
        <w:t xml:space="preserve"> </w:t>
      </w:r>
      <w:r>
        <w:rPr>
          <w:u w:val="single"/>
        </w:rPr>
        <w:t>Risk-Based</w:t>
      </w:r>
      <w:r>
        <w:rPr>
          <w:spacing w:val="-2"/>
          <w:u w:val="single"/>
        </w:rPr>
        <w:t xml:space="preserve"> Capital</w:t>
      </w:r>
    </w:p>
    <w:p w14:paraId="48ADB18B" w14:textId="77777777" w:rsidR="00680063" w:rsidRDefault="00680063">
      <w:pPr>
        <w:sectPr w:rsidR="00680063">
          <w:pgSz w:w="12240" w:h="15840"/>
          <w:pgMar w:top="660" w:right="240" w:bottom="280" w:left="960" w:header="720" w:footer="720" w:gutter="0"/>
          <w:cols w:space="720"/>
        </w:sectPr>
      </w:pPr>
    </w:p>
    <w:p w14:paraId="4A810261" w14:textId="77777777" w:rsidR="00680063" w:rsidRDefault="00000000">
      <w:pPr>
        <w:pStyle w:val="BodyText"/>
        <w:spacing w:before="79"/>
        <w:ind w:left="479" w:right="1195"/>
        <w:jc w:val="both"/>
      </w:pPr>
      <w:r>
        <w:lastRenderedPageBreak/>
        <w:t>When IMR was developed, it was anticipated that a negative IMR balance would be reflected in asset adequacy analysis.</w:t>
      </w:r>
      <w:r>
        <w:rPr>
          <w:spacing w:val="40"/>
        </w:rPr>
        <w:t xml:space="preserve"> </w:t>
      </w:r>
      <w:r>
        <w:t>This inclusion ensures that the assets, with the appropriate allocation from</w:t>
      </w:r>
      <w:r>
        <w:rPr>
          <w:spacing w:val="-8"/>
        </w:rPr>
        <w:t xml:space="preserve"> </w:t>
      </w:r>
      <w:r>
        <w:t>the</w:t>
      </w:r>
      <w:r>
        <w:rPr>
          <w:spacing w:val="-7"/>
        </w:rPr>
        <w:t xml:space="preserve"> </w:t>
      </w:r>
      <w:r>
        <w:t>IMR</w:t>
      </w:r>
      <w:r>
        <w:rPr>
          <w:spacing w:val="-8"/>
        </w:rPr>
        <w:t xml:space="preserve"> </w:t>
      </w:r>
      <w:r>
        <w:t>(whether</w:t>
      </w:r>
      <w:r>
        <w:rPr>
          <w:spacing w:val="-9"/>
        </w:rPr>
        <w:t xml:space="preserve"> </w:t>
      </w:r>
      <w:r>
        <w:t>negative</w:t>
      </w:r>
      <w:r>
        <w:rPr>
          <w:spacing w:val="-9"/>
        </w:rPr>
        <w:t xml:space="preserve"> </w:t>
      </w:r>
      <w:r>
        <w:t>or</w:t>
      </w:r>
      <w:r>
        <w:rPr>
          <w:spacing w:val="-9"/>
        </w:rPr>
        <w:t xml:space="preserve"> </w:t>
      </w:r>
      <w:r>
        <w:t>positive),</w:t>
      </w:r>
      <w:r>
        <w:rPr>
          <w:spacing w:val="-11"/>
        </w:rPr>
        <w:t xml:space="preserve"> </w:t>
      </w:r>
      <w:r>
        <w:t>would</w:t>
      </w:r>
      <w:r>
        <w:rPr>
          <w:spacing w:val="-8"/>
        </w:rPr>
        <w:t xml:space="preserve"> </w:t>
      </w:r>
      <w:r>
        <w:t>be</w:t>
      </w:r>
      <w:r>
        <w:rPr>
          <w:spacing w:val="-9"/>
        </w:rPr>
        <w:t xml:space="preserve"> </w:t>
      </w:r>
      <w:r>
        <w:t>adequate</w:t>
      </w:r>
      <w:r>
        <w:rPr>
          <w:spacing w:val="-9"/>
        </w:rPr>
        <w:t xml:space="preserve"> </w:t>
      </w:r>
      <w:r>
        <w:t>to</w:t>
      </w:r>
      <w:r>
        <w:rPr>
          <w:spacing w:val="-4"/>
        </w:rPr>
        <w:t xml:space="preserve"> </w:t>
      </w:r>
      <w:r>
        <w:t>fund</w:t>
      </w:r>
      <w:r>
        <w:rPr>
          <w:spacing w:val="-8"/>
        </w:rPr>
        <w:t xml:space="preserve"> </w:t>
      </w:r>
      <w:r>
        <w:t>future</w:t>
      </w:r>
      <w:r>
        <w:rPr>
          <w:spacing w:val="-9"/>
        </w:rPr>
        <w:t xml:space="preserve"> </w:t>
      </w:r>
      <w:r>
        <w:t>benefit</w:t>
      </w:r>
      <w:r>
        <w:rPr>
          <w:spacing w:val="-8"/>
        </w:rPr>
        <w:t xml:space="preserve"> </w:t>
      </w:r>
      <w:r>
        <w:t>obligations and related expenses of the company.</w:t>
      </w:r>
    </w:p>
    <w:p w14:paraId="524517C2" w14:textId="77777777" w:rsidR="00680063" w:rsidRDefault="00680063">
      <w:pPr>
        <w:pStyle w:val="BodyText"/>
        <w:spacing w:before="11"/>
        <w:rPr>
          <w:sz w:val="23"/>
        </w:rPr>
      </w:pPr>
    </w:p>
    <w:p w14:paraId="3FAD431F" w14:textId="77777777" w:rsidR="00680063" w:rsidRDefault="00000000">
      <w:pPr>
        <w:pStyle w:val="BodyText"/>
        <w:ind w:left="479" w:right="1198"/>
        <w:jc w:val="both"/>
      </w:pPr>
      <w:r>
        <w:t>From the standpoint of reserve adequacy, the inclusion of a negative IMR balance appropriately reduces</w:t>
      </w:r>
      <w:r>
        <w:rPr>
          <w:spacing w:val="-3"/>
        </w:rPr>
        <w:t xml:space="preserve"> </w:t>
      </w:r>
      <w:r>
        <w:t>the</w:t>
      </w:r>
      <w:r>
        <w:rPr>
          <w:spacing w:val="-4"/>
        </w:rPr>
        <w:t xml:space="preserve"> </w:t>
      </w:r>
      <w:r>
        <w:t>investment</w:t>
      </w:r>
      <w:r>
        <w:rPr>
          <w:spacing w:val="-3"/>
        </w:rPr>
        <w:t xml:space="preserve"> </w:t>
      </w:r>
      <w:r>
        <w:t>income</w:t>
      </w:r>
      <w:r>
        <w:rPr>
          <w:spacing w:val="-4"/>
        </w:rPr>
        <w:t xml:space="preserve"> </w:t>
      </w:r>
      <w:r>
        <w:t>in</w:t>
      </w:r>
      <w:r>
        <w:rPr>
          <w:spacing w:val="-4"/>
        </w:rPr>
        <w:t xml:space="preserve"> </w:t>
      </w:r>
      <w:r>
        <w:t>asset</w:t>
      </w:r>
      <w:r>
        <w:rPr>
          <w:spacing w:val="-3"/>
        </w:rPr>
        <w:t xml:space="preserve"> </w:t>
      </w:r>
      <w:r>
        <w:t>adequacy</w:t>
      </w:r>
      <w:r>
        <w:rPr>
          <w:spacing w:val="-4"/>
        </w:rPr>
        <w:t xml:space="preserve"> </w:t>
      </w:r>
      <w:r>
        <w:t>testing.</w:t>
      </w:r>
      <w:r>
        <w:rPr>
          <w:spacing w:val="40"/>
        </w:rPr>
        <w:t xml:space="preserve"> </w:t>
      </w:r>
      <w:r>
        <w:t>Without</w:t>
      </w:r>
      <w:r>
        <w:rPr>
          <w:spacing w:val="-5"/>
        </w:rPr>
        <w:t xml:space="preserve"> </w:t>
      </w:r>
      <w:r>
        <w:t>the</w:t>
      </w:r>
      <w:r>
        <w:rPr>
          <w:spacing w:val="-2"/>
        </w:rPr>
        <w:t xml:space="preserve"> </w:t>
      </w:r>
      <w:r>
        <w:t>inclusion</w:t>
      </w:r>
      <w:r>
        <w:rPr>
          <w:spacing w:val="-4"/>
        </w:rPr>
        <w:t xml:space="preserve"> </w:t>
      </w:r>
      <w:r>
        <w:t>of</w:t>
      </w:r>
      <w:r>
        <w:rPr>
          <w:spacing w:val="-4"/>
        </w:rPr>
        <w:t xml:space="preserve"> </w:t>
      </w:r>
      <w:r>
        <w:t>negative</w:t>
      </w:r>
      <w:r>
        <w:rPr>
          <w:spacing w:val="-4"/>
        </w:rPr>
        <w:t xml:space="preserve"> </w:t>
      </w:r>
      <w:r>
        <w:t>IMR, reserve inadequacies would potentially not be recognized.</w:t>
      </w:r>
    </w:p>
    <w:p w14:paraId="74F4C756" w14:textId="77777777" w:rsidR="00680063" w:rsidRDefault="00680063">
      <w:pPr>
        <w:pStyle w:val="BodyText"/>
        <w:spacing w:before="10"/>
        <w:rPr>
          <w:sz w:val="23"/>
        </w:rPr>
      </w:pPr>
    </w:p>
    <w:p w14:paraId="6D902E98" w14:textId="77777777" w:rsidR="00680063" w:rsidRDefault="00000000">
      <w:pPr>
        <w:pStyle w:val="BodyText"/>
        <w:spacing w:before="1"/>
        <w:ind w:left="474" w:right="1192" w:firstLine="5"/>
        <w:jc w:val="both"/>
      </w:pPr>
      <w:r>
        <w:t>Further, with</w:t>
      </w:r>
      <w:r>
        <w:rPr>
          <w:spacing w:val="-1"/>
        </w:rPr>
        <w:t xml:space="preserve"> </w:t>
      </w:r>
      <w:r>
        <w:t>the inclusion</w:t>
      </w:r>
      <w:r>
        <w:rPr>
          <w:spacing w:val="-1"/>
        </w:rPr>
        <w:t xml:space="preserve"> </w:t>
      </w:r>
      <w:r>
        <w:t>of</w:t>
      </w:r>
      <w:r>
        <w:rPr>
          <w:spacing w:val="-2"/>
        </w:rPr>
        <w:t xml:space="preserve"> </w:t>
      </w:r>
      <w:r>
        <w:t>a negative IMR</w:t>
      </w:r>
      <w:r>
        <w:rPr>
          <w:spacing w:val="-3"/>
        </w:rPr>
        <w:t xml:space="preserve"> </w:t>
      </w:r>
      <w:r>
        <w:t>balance</w:t>
      </w:r>
      <w:r>
        <w:rPr>
          <w:spacing w:val="-2"/>
        </w:rPr>
        <w:t xml:space="preserve"> </w:t>
      </w:r>
      <w:r>
        <w:t>in asset</w:t>
      </w:r>
      <w:r>
        <w:rPr>
          <w:spacing w:val="-1"/>
        </w:rPr>
        <w:t xml:space="preserve"> </w:t>
      </w:r>
      <w:r>
        <w:t>adequacy testing,</w:t>
      </w:r>
      <w:r>
        <w:rPr>
          <w:spacing w:val="-1"/>
        </w:rPr>
        <w:t xml:space="preserve"> </w:t>
      </w:r>
      <w:r>
        <w:t>the disallowance of a negative IMR can result in double counting of losses (i.e., through the disallowance on the balance sheet and the potential AAT-related reserve deficiency).</w:t>
      </w:r>
      <w:r>
        <w:rPr>
          <w:spacing w:val="40"/>
        </w:rPr>
        <w:t xml:space="preserve"> </w:t>
      </w:r>
      <w:r>
        <w:t>The Actuarial Opinion that covers</w:t>
      </w:r>
      <w:r>
        <w:rPr>
          <w:spacing w:val="-14"/>
        </w:rPr>
        <w:t xml:space="preserve"> </w:t>
      </w:r>
      <w:r>
        <w:t>asset</w:t>
      </w:r>
      <w:r>
        <w:rPr>
          <w:spacing w:val="-12"/>
        </w:rPr>
        <w:t xml:space="preserve"> </w:t>
      </w:r>
      <w:r>
        <w:t>adequacy</w:t>
      </w:r>
      <w:r>
        <w:rPr>
          <w:spacing w:val="-12"/>
        </w:rPr>
        <w:t xml:space="preserve"> </w:t>
      </w:r>
      <w:r>
        <w:t>analysis</w:t>
      </w:r>
      <w:r>
        <w:rPr>
          <w:spacing w:val="-12"/>
        </w:rPr>
        <w:t xml:space="preserve"> </w:t>
      </w:r>
      <w:r>
        <w:t>requires</w:t>
      </w:r>
      <w:r>
        <w:rPr>
          <w:spacing w:val="-12"/>
        </w:rPr>
        <w:t xml:space="preserve"> </w:t>
      </w:r>
      <w:r>
        <w:t>the</w:t>
      </w:r>
      <w:r>
        <w:rPr>
          <w:spacing w:val="-10"/>
        </w:rPr>
        <w:t xml:space="preserve"> </w:t>
      </w:r>
      <w:r>
        <w:t>appropriate</w:t>
      </w:r>
      <w:r>
        <w:rPr>
          <w:spacing w:val="-11"/>
        </w:rPr>
        <w:t xml:space="preserve"> </w:t>
      </w:r>
      <w:r>
        <w:t>assessment</w:t>
      </w:r>
      <w:r>
        <w:rPr>
          <w:spacing w:val="-11"/>
        </w:rPr>
        <w:t xml:space="preserve"> </w:t>
      </w:r>
      <w:r>
        <w:t>of</w:t>
      </w:r>
      <w:r>
        <w:rPr>
          <w:spacing w:val="-13"/>
        </w:rPr>
        <w:t xml:space="preserve"> </w:t>
      </w:r>
      <w:r>
        <w:t>negative</w:t>
      </w:r>
      <w:r>
        <w:rPr>
          <w:spacing w:val="-7"/>
        </w:rPr>
        <w:t xml:space="preserve"> </w:t>
      </w:r>
      <w:r>
        <w:t>IMR</w:t>
      </w:r>
      <w:r>
        <w:rPr>
          <w:spacing w:val="-11"/>
        </w:rPr>
        <w:t xml:space="preserve"> </w:t>
      </w:r>
      <w:r>
        <w:t>in</w:t>
      </w:r>
      <w:r>
        <w:rPr>
          <w:spacing w:val="-12"/>
        </w:rPr>
        <w:t xml:space="preserve"> </w:t>
      </w:r>
      <w:r>
        <w:t>its</w:t>
      </w:r>
      <w:r>
        <w:rPr>
          <w:spacing w:val="-11"/>
        </w:rPr>
        <w:t xml:space="preserve"> </w:t>
      </w:r>
      <w:r>
        <w:rPr>
          <w:spacing w:val="-2"/>
        </w:rPr>
        <w:t>analysis.</w:t>
      </w:r>
    </w:p>
    <w:p w14:paraId="4F585CE7" w14:textId="77777777" w:rsidR="00680063" w:rsidRDefault="00680063">
      <w:pPr>
        <w:pStyle w:val="BodyText"/>
      </w:pPr>
    </w:p>
    <w:p w14:paraId="0BF0E21D" w14:textId="77777777" w:rsidR="00680063" w:rsidRDefault="00000000">
      <w:pPr>
        <w:pStyle w:val="BodyText"/>
        <w:spacing w:before="1"/>
        <w:ind w:left="479" w:right="1197" w:firstLine="3"/>
        <w:jc w:val="both"/>
      </w:pPr>
      <w:r>
        <w:t>If a negative IMR balance is used in the asset adequacy analysis, its allowance is appropriate. Likewise,</w:t>
      </w:r>
      <w:r>
        <w:rPr>
          <w:spacing w:val="-15"/>
        </w:rPr>
        <w:t xml:space="preserve"> </w:t>
      </w:r>
      <w:r>
        <w:rPr>
          <w:noProof/>
          <w:position w:val="-4"/>
        </w:rPr>
        <w:drawing>
          <wp:inline distT="0" distB="0" distL="0" distR="0" wp14:anchorId="0AE064F3" wp14:editId="5D8D6204">
            <wp:extent cx="5301996" cy="138684"/>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3" cstate="print"/>
                    <a:stretch>
                      <a:fillRect/>
                    </a:stretch>
                  </pic:blipFill>
                  <pic:spPr>
                    <a:xfrm>
                      <a:off x="0" y="0"/>
                      <a:ext cx="5301996" cy="138684"/>
                    </a:xfrm>
                    <a:prstGeom prst="rect">
                      <a:avLst/>
                    </a:prstGeom>
                  </pic:spPr>
                </pic:pic>
              </a:graphicData>
            </a:graphic>
          </wp:inline>
        </w:drawing>
      </w:r>
      <w:r>
        <w:rPr>
          <w:position w:val="-4"/>
        </w:rPr>
        <w:t xml:space="preserve"> </w:t>
      </w:r>
      <w:r>
        <w:t>analysis,</w:t>
      </w:r>
      <w:r>
        <w:rPr>
          <w:spacing w:val="-4"/>
        </w:rPr>
        <w:t xml:space="preserve"> </w:t>
      </w:r>
      <w:r>
        <w:t>only</w:t>
      </w:r>
      <w:r>
        <w:rPr>
          <w:spacing w:val="-4"/>
        </w:rPr>
        <w:t xml:space="preserve"> </w:t>
      </w:r>
      <w:r>
        <w:t>the</w:t>
      </w:r>
      <w:r>
        <w:rPr>
          <w:spacing w:val="-2"/>
        </w:rPr>
        <w:t xml:space="preserve"> </w:t>
      </w:r>
      <w:r>
        <w:t>allowance</w:t>
      </w:r>
      <w:r>
        <w:rPr>
          <w:spacing w:val="-4"/>
        </w:rPr>
        <w:t xml:space="preserve"> </w:t>
      </w:r>
      <w:r>
        <w:t>for</w:t>
      </w:r>
      <w:r>
        <w:rPr>
          <w:spacing w:val="-6"/>
        </w:rPr>
        <w:t xml:space="preserve"> </w:t>
      </w:r>
      <w:r>
        <w:t>that</w:t>
      </w:r>
      <w:r>
        <w:rPr>
          <w:spacing w:val="-3"/>
        </w:rPr>
        <w:t xml:space="preserve"> </w:t>
      </w:r>
      <w:r>
        <w:t>portion</w:t>
      </w:r>
      <w:r>
        <w:rPr>
          <w:spacing w:val="-1"/>
        </w:rPr>
        <w:t xml:space="preserve"> </w:t>
      </w:r>
      <w:r>
        <w:t>of</w:t>
      </w:r>
      <w:r>
        <w:rPr>
          <w:spacing w:val="-4"/>
        </w:rPr>
        <w:t xml:space="preserve"> </w:t>
      </w:r>
      <w:r>
        <w:t>the</w:t>
      </w:r>
      <w:r>
        <w:rPr>
          <w:spacing w:val="-4"/>
        </w:rPr>
        <w:t xml:space="preserve"> </w:t>
      </w:r>
      <w:r>
        <w:t>negative</w:t>
      </w:r>
      <w:r>
        <w:rPr>
          <w:spacing w:val="-2"/>
        </w:rPr>
        <w:t xml:space="preserve"> </w:t>
      </w:r>
      <w:r>
        <w:t>IMR balance reflected</w:t>
      </w:r>
      <w:r>
        <w:rPr>
          <w:spacing w:val="-1"/>
        </w:rPr>
        <w:t xml:space="preserve"> </w:t>
      </w:r>
      <w:r>
        <w:t>is</w:t>
      </w:r>
      <w:r>
        <w:rPr>
          <w:spacing w:val="-1"/>
        </w:rPr>
        <w:t xml:space="preserve"> </w:t>
      </w:r>
      <w:r>
        <w:t>appropriate. If a negative IMR balance is disallowed, it would be inappropriate to include in asset adequacy analysis.</w:t>
      </w:r>
      <w:r>
        <w:rPr>
          <w:spacing w:val="33"/>
        </w:rPr>
        <w:t xml:space="preserve"> </w:t>
      </w:r>
      <w:r>
        <w:t>It</w:t>
      </w:r>
      <w:r>
        <w:rPr>
          <w:spacing w:val="-15"/>
        </w:rPr>
        <w:t xml:space="preserve"> </w:t>
      </w:r>
      <w:r>
        <w:t>is</w:t>
      </w:r>
      <w:r>
        <w:rPr>
          <w:spacing w:val="-15"/>
        </w:rPr>
        <w:t xml:space="preserve"> </w:t>
      </w:r>
      <w:r>
        <w:t>imperative</w:t>
      </w:r>
      <w:r>
        <w:rPr>
          <w:spacing w:val="-14"/>
        </w:rPr>
        <w:t xml:space="preserve"> </w:t>
      </w:r>
      <w:r>
        <w:t>there</w:t>
      </w:r>
      <w:r>
        <w:rPr>
          <w:spacing w:val="-15"/>
        </w:rPr>
        <w:t xml:space="preserve"> </w:t>
      </w:r>
      <w:r>
        <w:t>is</w:t>
      </w:r>
      <w:r>
        <w:rPr>
          <w:spacing w:val="-15"/>
        </w:rPr>
        <w:t xml:space="preserve"> </w:t>
      </w:r>
      <w:r>
        <w:t>symmetry</w:t>
      </w:r>
      <w:r>
        <w:rPr>
          <w:spacing w:val="-15"/>
        </w:rPr>
        <w:t xml:space="preserve"> </w:t>
      </w:r>
      <w:r>
        <w:t>between</w:t>
      </w:r>
      <w:r>
        <w:rPr>
          <w:spacing w:val="-15"/>
        </w:rPr>
        <w:t xml:space="preserve"> </w:t>
      </w:r>
      <w:r>
        <w:t>both</w:t>
      </w:r>
      <w:r>
        <w:rPr>
          <w:spacing w:val="-15"/>
        </w:rPr>
        <w:t xml:space="preserve"> </w:t>
      </w:r>
      <w:r>
        <w:t>reserving</w:t>
      </w:r>
      <w:r>
        <w:rPr>
          <w:spacing w:val="-15"/>
        </w:rPr>
        <w:t xml:space="preserve"> </w:t>
      </w:r>
      <w:r>
        <w:t>and</w:t>
      </w:r>
      <w:r>
        <w:rPr>
          <w:spacing w:val="-15"/>
        </w:rPr>
        <w:t xml:space="preserve"> </w:t>
      </w:r>
      <w:r>
        <w:t>accounting</w:t>
      </w:r>
      <w:r>
        <w:rPr>
          <w:spacing w:val="-15"/>
        </w:rPr>
        <w:t xml:space="preserve"> </w:t>
      </w:r>
      <w:r>
        <w:t>considerations, and there is already precedent in the asset adequacy analyses for inclusion of IMR.</w:t>
      </w:r>
    </w:p>
    <w:p w14:paraId="331F1DFF" w14:textId="77777777" w:rsidR="00680063" w:rsidRDefault="00680063">
      <w:pPr>
        <w:pStyle w:val="BodyText"/>
        <w:spacing w:before="11"/>
        <w:rPr>
          <w:sz w:val="23"/>
        </w:rPr>
      </w:pPr>
    </w:p>
    <w:p w14:paraId="4BCE8099" w14:textId="77777777" w:rsidR="00680063" w:rsidRDefault="00000000">
      <w:pPr>
        <w:pStyle w:val="BodyText"/>
        <w:ind w:left="479" w:right="1199"/>
        <w:jc w:val="both"/>
      </w:pPr>
      <w:r>
        <w:t xml:space="preserve">Below are the current references to IMR in the valuation manual and risk-based capital </w:t>
      </w:r>
      <w:r>
        <w:rPr>
          <w:spacing w:val="-2"/>
        </w:rPr>
        <w:t>calculations.</w:t>
      </w:r>
    </w:p>
    <w:p w14:paraId="4C2859EE" w14:textId="77777777" w:rsidR="00680063" w:rsidRDefault="00680063">
      <w:pPr>
        <w:pStyle w:val="BodyText"/>
        <w:spacing w:before="10"/>
        <w:rPr>
          <w:sz w:val="16"/>
        </w:rPr>
      </w:pPr>
    </w:p>
    <w:tbl>
      <w:tblPr>
        <w:tblW w:w="0" w:type="auto"/>
        <w:tblInd w:w="4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2"/>
        <w:gridCol w:w="2256"/>
        <w:gridCol w:w="5674"/>
      </w:tblGrid>
      <w:tr w:rsidR="00680063" w14:paraId="2AA2DE03" w14:textId="77777777">
        <w:trPr>
          <w:trHeight w:val="270"/>
        </w:trPr>
        <w:tc>
          <w:tcPr>
            <w:tcW w:w="2242" w:type="dxa"/>
          </w:tcPr>
          <w:p w14:paraId="430ECBF6" w14:textId="77777777" w:rsidR="00680063" w:rsidRDefault="00000000">
            <w:pPr>
              <w:pStyle w:val="TableParagraph"/>
              <w:spacing w:line="250" w:lineRule="exact"/>
              <w:ind w:left="102"/>
              <w:rPr>
                <w:sz w:val="24"/>
              </w:rPr>
            </w:pPr>
            <w:r>
              <w:rPr>
                <w:spacing w:val="-2"/>
                <w:sz w:val="24"/>
              </w:rPr>
              <w:t>Regulation</w:t>
            </w:r>
          </w:p>
        </w:tc>
        <w:tc>
          <w:tcPr>
            <w:tcW w:w="2256" w:type="dxa"/>
          </w:tcPr>
          <w:p w14:paraId="29B387AB" w14:textId="77777777" w:rsidR="00680063" w:rsidRDefault="00000000">
            <w:pPr>
              <w:pStyle w:val="TableParagraph"/>
              <w:spacing w:line="250" w:lineRule="exact"/>
              <w:ind w:left="101"/>
              <w:rPr>
                <w:sz w:val="24"/>
              </w:rPr>
            </w:pPr>
            <w:r>
              <w:rPr>
                <w:spacing w:val="-5"/>
                <w:sz w:val="24"/>
              </w:rPr>
              <w:t>Use</w:t>
            </w:r>
          </w:p>
        </w:tc>
        <w:tc>
          <w:tcPr>
            <w:tcW w:w="5674" w:type="dxa"/>
          </w:tcPr>
          <w:p w14:paraId="676862CA" w14:textId="77777777" w:rsidR="00680063" w:rsidRDefault="00000000">
            <w:pPr>
              <w:pStyle w:val="TableParagraph"/>
              <w:spacing w:line="250" w:lineRule="exact"/>
              <w:ind w:left="99"/>
              <w:rPr>
                <w:sz w:val="24"/>
              </w:rPr>
            </w:pPr>
            <w:r>
              <w:rPr>
                <w:sz w:val="24"/>
              </w:rPr>
              <w:t>IMR</w:t>
            </w:r>
            <w:r>
              <w:rPr>
                <w:spacing w:val="-4"/>
                <w:sz w:val="24"/>
              </w:rPr>
              <w:t xml:space="preserve"> </w:t>
            </w:r>
            <w:r>
              <w:rPr>
                <w:spacing w:val="-2"/>
                <w:sz w:val="24"/>
              </w:rPr>
              <w:t>references</w:t>
            </w:r>
          </w:p>
        </w:tc>
      </w:tr>
      <w:tr w:rsidR="00680063" w14:paraId="218F731C" w14:textId="77777777">
        <w:trPr>
          <w:trHeight w:val="829"/>
        </w:trPr>
        <w:tc>
          <w:tcPr>
            <w:tcW w:w="2242" w:type="dxa"/>
          </w:tcPr>
          <w:p w14:paraId="452BF1E1" w14:textId="77777777" w:rsidR="00680063" w:rsidRDefault="00000000">
            <w:pPr>
              <w:pStyle w:val="TableParagraph"/>
              <w:spacing w:line="242" w:lineRule="auto"/>
              <w:ind w:left="102" w:right="165"/>
              <w:rPr>
                <w:sz w:val="24"/>
              </w:rPr>
            </w:pPr>
            <w:r>
              <w:rPr>
                <w:sz w:val="24"/>
              </w:rPr>
              <w:t>Actuarial</w:t>
            </w:r>
            <w:r>
              <w:rPr>
                <w:spacing w:val="-14"/>
                <w:sz w:val="24"/>
              </w:rPr>
              <w:t xml:space="preserve"> </w:t>
            </w:r>
            <w:r>
              <w:rPr>
                <w:sz w:val="24"/>
              </w:rPr>
              <w:t>Opinion and</w:t>
            </w:r>
            <w:r>
              <w:rPr>
                <w:spacing w:val="-2"/>
                <w:sz w:val="24"/>
              </w:rPr>
              <w:t xml:space="preserve"> Memorandum</w:t>
            </w:r>
          </w:p>
          <w:p w14:paraId="41EB27F2" w14:textId="77777777" w:rsidR="00680063" w:rsidRDefault="00000000">
            <w:pPr>
              <w:pStyle w:val="TableParagraph"/>
              <w:spacing w:line="255" w:lineRule="exact"/>
              <w:ind w:left="102"/>
              <w:rPr>
                <w:sz w:val="24"/>
              </w:rPr>
            </w:pPr>
            <w:r>
              <w:rPr>
                <w:sz w:val="24"/>
              </w:rPr>
              <w:t>Regulation</w:t>
            </w:r>
            <w:r>
              <w:rPr>
                <w:spacing w:val="-6"/>
                <w:sz w:val="24"/>
              </w:rPr>
              <w:t xml:space="preserve"> </w:t>
            </w:r>
            <w:r>
              <w:rPr>
                <w:sz w:val="24"/>
              </w:rPr>
              <w:t>(VM-</w:t>
            </w:r>
            <w:r>
              <w:rPr>
                <w:spacing w:val="-5"/>
                <w:sz w:val="24"/>
              </w:rPr>
              <w:t>30)</w:t>
            </w:r>
          </w:p>
        </w:tc>
        <w:tc>
          <w:tcPr>
            <w:tcW w:w="2256" w:type="dxa"/>
          </w:tcPr>
          <w:p w14:paraId="75683545" w14:textId="77777777" w:rsidR="00680063" w:rsidRDefault="00000000">
            <w:pPr>
              <w:pStyle w:val="TableParagraph"/>
              <w:spacing w:line="242" w:lineRule="auto"/>
              <w:ind w:left="100"/>
              <w:rPr>
                <w:sz w:val="24"/>
              </w:rPr>
            </w:pPr>
            <w:r>
              <w:rPr>
                <w:sz w:val="24"/>
              </w:rPr>
              <w:t>Asset adequacy analysis</w:t>
            </w:r>
            <w:r>
              <w:rPr>
                <w:spacing w:val="-15"/>
                <w:sz w:val="24"/>
              </w:rPr>
              <w:t xml:space="preserve"> </w:t>
            </w:r>
            <w:r>
              <w:rPr>
                <w:sz w:val="24"/>
              </w:rPr>
              <w:t>for</w:t>
            </w:r>
            <w:r>
              <w:rPr>
                <w:spacing w:val="-15"/>
                <w:sz w:val="24"/>
              </w:rPr>
              <w:t xml:space="preserve"> </w:t>
            </w:r>
            <w:r>
              <w:rPr>
                <w:sz w:val="24"/>
              </w:rPr>
              <w:t>annual</w:t>
            </w:r>
          </w:p>
          <w:p w14:paraId="39D08769" w14:textId="77777777" w:rsidR="00680063" w:rsidRDefault="00000000">
            <w:pPr>
              <w:pStyle w:val="TableParagraph"/>
              <w:spacing w:line="255" w:lineRule="exact"/>
              <w:ind w:left="100"/>
              <w:rPr>
                <w:sz w:val="24"/>
              </w:rPr>
            </w:pPr>
            <w:r>
              <w:rPr>
                <w:sz w:val="24"/>
              </w:rPr>
              <w:t>reserve</w:t>
            </w:r>
            <w:r>
              <w:rPr>
                <w:spacing w:val="-3"/>
                <w:sz w:val="24"/>
              </w:rPr>
              <w:t xml:space="preserve"> </w:t>
            </w:r>
            <w:r>
              <w:rPr>
                <w:spacing w:val="-2"/>
                <w:sz w:val="24"/>
              </w:rPr>
              <w:t>opinion</w:t>
            </w:r>
          </w:p>
        </w:tc>
        <w:tc>
          <w:tcPr>
            <w:tcW w:w="5674" w:type="dxa"/>
          </w:tcPr>
          <w:p w14:paraId="0FE79DFD" w14:textId="77777777" w:rsidR="00680063" w:rsidRDefault="00000000">
            <w:pPr>
              <w:pStyle w:val="TableParagraph"/>
              <w:spacing w:line="242" w:lineRule="auto"/>
              <w:ind w:left="99"/>
              <w:rPr>
                <w:sz w:val="24"/>
              </w:rPr>
            </w:pPr>
            <w:r>
              <w:rPr>
                <w:sz w:val="24"/>
              </w:rPr>
              <w:t>An</w:t>
            </w:r>
            <w:r>
              <w:rPr>
                <w:spacing w:val="-6"/>
                <w:sz w:val="24"/>
              </w:rPr>
              <w:t xml:space="preserve"> </w:t>
            </w:r>
            <w:r>
              <w:rPr>
                <w:sz w:val="24"/>
              </w:rPr>
              <w:t>appropriate</w:t>
            </w:r>
            <w:r>
              <w:rPr>
                <w:spacing w:val="-6"/>
                <w:sz w:val="24"/>
              </w:rPr>
              <w:t xml:space="preserve"> </w:t>
            </w:r>
            <w:r>
              <w:rPr>
                <w:sz w:val="24"/>
              </w:rPr>
              <w:t>allocation</w:t>
            </w:r>
            <w:r>
              <w:rPr>
                <w:spacing w:val="-3"/>
                <w:sz w:val="24"/>
              </w:rPr>
              <w:t xml:space="preserve"> </w:t>
            </w:r>
            <w:r>
              <w:rPr>
                <w:sz w:val="24"/>
              </w:rPr>
              <w:t>of</w:t>
            </w:r>
            <w:r>
              <w:rPr>
                <w:spacing w:val="-6"/>
                <w:sz w:val="24"/>
              </w:rPr>
              <w:t xml:space="preserve"> </w:t>
            </w:r>
            <w:r>
              <w:rPr>
                <w:sz w:val="24"/>
              </w:rPr>
              <w:t>assets</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z w:val="24"/>
              </w:rPr>
              <w:t>amount</w:t>
            </w:r>
            <w:r>
              <w:rPr>
                <w:spacing w:val="-5"/>
                <w:sz w:val="24"/>
              </w:rPr>
              <w:t xml:space="preserve"> </w:t>
            </w:r>
            <w:r>
              <w:rPr>
                <w:sz w:val="24"/>
              </w:rPr>
              <w:t>of</w:t>
            </w:r>
            <w:r>
              <w:rPr>
                <w:spacing w:val="-4"/>
                <w:sz w:val="24"/>
              </w:rPr>
              <w:t xml:space="preserve"> </w:t>
            </w:r>
            <w:r>
              <w:rPr>
                <w:sz w:val="24"/>
              </w:rPr>
              <w:t>the IMR,</w:t>
            </w:r>
            <w:r>
              <w:rPr>
                <w:spacing w:val="-5"/>
                <w:sz w:val="24"/>
              </w:rPr>
              <w:t xml:space="preserve"> </w:t>
            </w:r>
            <w:r>
              <w:rPr>
                <w:sz w:val="24"/>
              </w:rPr>
              <w:t>whether</w:t>
            </w:r>
            <w:r>
              <w:rPr>
                <w:spacing w:val="-2"/>
                <w:sz w:val="24"/>
              </w:rPr>
              <w:t xml:space="preserve"> </w:t>
            </w:r>
            <w:r>
              <w:rPr>
                <w:sz w:val="24"/>
              </w:rPr>
              <w:t>positive</w:t>
            </w:r>
            <w:r>
              <w:rPr>
                <w:spacing w:val="-2"/>
                <w:sz w:val="24"/>
              </w:rPr>
              <w:t xml:space="preserve"> </w:t>
            </w:r>
            <w:r>
              <w:rPr>
                <w:sz w:val="24"/>
              </w:rPr>
              <w:t>or negative,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pacing w:val="-5"/>
                <w:sz w:val="24"/>
              </w:rPr>
              <w:t>any</w:t>
            </w:r>
          </w:p>
          <w:p w14:paraId="43A4BA64" w14:textId="77777777" w:rsidR="00680063" w:rsidRDefault="00000000">
            <w:pPr>
              <w:pStyle w:val="TableParagraph"/>
              <w:spacing w:line="255" w:lineRule="exact"/>
              <w:ind w:left="99"/>
              <w:rPr>
                <w:sz w:val="24"/>
              </w:rPr>
            </w:pPr>
            <w:r>
              <w:rPr>
                <w:sz w:val="24"/>
              </w:rPr>
              <w:t>asset</w:t>
            </w:r>
            <w:r>
              <w:rPr>
                <w:spacing w:val="-3"/>
                <w:sz w:val="24"/>
              </w:rPr>
              <w:t xml:space="preserve"> </w:t>
            </w:r>
            <w:r>
              <w:rPr>
                <w:sz w:val="24"/>
              </w:rPr>
              <w:t>adequacy</w:t>
            </w:r>
            <w:r>
              <w:rPr>
                <w:spacing w:val="-2"/>
                <w:sz w:val="24"/>
              </w:rPr>
              <w:t xml:space="preserve"> analysis.</w:t>
            </w:r>
          </w:p>
        </w:tc>
      </w:tr>
      <w:tr w:rsidR="00680063" w14:paraId="422B3828" w14:textId="77777777">
        <w:trPr>
          <w:trHeight w:val="1669"/>
        </w:trPr>
        <w:tc>
          <w:tcPr>
            <w:tcW w:w="2242" w:type="dxa"/>
          </w:tcPr>
          <w:p w14:paraId="173FB86A" w14:textId="77777777" w:rsidR="00680063" w:rsidRDefault="00000000">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029279AD" w14:textId="77777777" w:rsidR="00680063" w:rsidRDefault="00000000">
            <w:pPr>
              <w:pStyle w:val="TableParagraph"/>
              <w:spacing w:line="244" w:lineRule="auto"/>
              <w:ind w:left="100" w:right="115"/>
              <w:rPr>
                <w:sz w:val="24"/>
              </w:rPr>
            </w:pPr>
            <w:r>
              <w:rPr>
                <w:sz w:val="24"/>
              </w:rPr>
              <w:t>Calculation of deterministic</w:t>
            </w:r>
            <w:r>
              <w:rPr>
                <w:spacing w:val="-15"/>
                <w:sz w:val="24"/>
              </w:rPr>
              <w:t xml:space="preserve"> </w:t>
            </w:r>
            <w:r>
              <w:rPr>
                <w:sz w:val="24"/>
              </w:rPr>
              <w:t>reserve</w:t>
            </w:r>
          </w:p>
        </w:tc>
        <w:tc>
          <w:tcPr>
            <w:tcW w:w="5674" w:type="dxa"/>
          </w:tcPr>
          <w:p w14:paraId="48529A0B" w14:textId="77777777" w:rsidR="00680063" w:rsidRDefault="00000000">
            <w:pPr>
              <w:pStyle w:val="TableParagraph"/>
              <w:spacing w:line="242" w:lineRule="auto"/>
              <w:ind w:left="99" w:right="153"/>
              <w:jc w:val="both"/>
              <w:rPr>
                <w:sz w:val="24"/>
              </w:rPr>
            </w:pPr>
            <w:r>
              <w:rPr>
                <w:sz w:val="24"/>
              </w:rPr>
              <w:t>Calculate</w:t>
            </w:r>
            <w:r>
              <w:rPr>
                <w:spacing w:val="-6"/>
                <w:sz w:val="24"/>
              </w:rPr>
              <w:t xml:space="preserve"> </w:t>
            </w:r>
            <w:r>
              <w:rPr>
                <w:sz w:val="24"/>
              </w:rPr>
              <w:t>the</w:t>
            </w:r>
            <w:r>
              <w:rPr>
                <w:spacing w:val="-6"/>
                <w:sz w:val="24"/>
              </w:rPr>
              <w:t xml:space="preserve"> </w:t>
            </w:r>
            <w:r>
              <w:rPr>
                <w:sz w:val="24"/>
              </w:rPr>
              <w:t>deterministic</w:t>
            </w:r>
            <w:r>
              <w:rPr>
                <w:spacing w:val="-6"/>
                <w:sz w:val="24"/>
              </w:rPr>
              <w:t xml:space="preserve"> </w:t>
            </w:r>
            <w:r>
              <w:rPr>
                <w:sz w:val="24"/>
              </w:rPr>
              <w:t>reserve</w:t>
            </w:r>
            <w:r>
              <w:rPr>
                <w:spacing w:val="-6"/>
                <w:sz w:val="24"/>
              </w:rPr>
              <w:t xml:space="preserve"> </w:t>
            </w:r>
            <w:r>
              <w:rPr>
                <w:sz w:val="24"/>
              </w:rPr>
              <w:t>equal</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actuarial present</w:t>
            </w:r>
            <w:r>
              <w:rPr>
                <w:spacing w:val="-6"/>
                <w:sz w:val="24"/>
              </w:rPr>
              <w:t xml:space="preserve"> </w:t>
            </w:r>
            <w:r>
              <w:rPr>
                <w:sz w:val="24"/>
              </w:rPr>
              <w:t>value</w:t>
            </w:r>
            <w:r>
              <w:rPr>
                <w:spacing w:val="-7"/>
                <w:sz w:val="24"/>
              </w:rPr>
              <w:t xml:space="preserve"> </w:t>
            </w:r>
            <w:r>
              <w:rPr>
                <w:sz w:val="24"/>
              </w:rPr>
              <w:t>of</w:t>
            </w:r>
            <w:r>
              <w:rPr>
                <w:spacing w:val="-7"/>
                <w:sz w:val="24"/>
              </w:rPr>
              <w:t xml:space="preserve"> </w:t>
            </w:r>
            <w:r>
              <w:rPr>
                <w:sz w:val="24"/>
              </w:rPr>
              <w:t>benefits,</w:t>
            </w:r>
            <w:r>
              <w:rPr>
                <w:spacing w:val="-7"/>
                <w:sz w:val="24"/>
              </w:rPr>
              <w:t xml:space="preserve"> </w:t>
            </w:r>
            <w:r>
              <w:rPr>
                <w:sz w:val="24"/>
              </w:rPr>
              <w:t>expenses,</w:t>
            </w:r>
            <w:r>
              <w:rPr>
                <w:spacing w:val="-7"/>
                <w:sz w:val="24"/>
              </w:rPr>
              <w:t xml:space="preserve"> </w:t>
            </w:r>
            <w:r>
              <w:rPr>
                <w:sz w:val="24"/>
              </w:rPr>
              <w:t>and</w:t>
            </w:r>
            <w:r>
              <w:rPr>
                <w:spacing w:val="-4"/>
                <w:sz w:val="24"/>
              </w:rPr>
              <w:t xml:space="preserve"> </w:t>
            </w:r>
            <w:r>
              <w:rPr>
                <w:sz w:val="24"/>
              </w:rPr>
              <w:t>related</w:t>
            </w:r>
            <w:r>
              <w:rPr>
                <w:spacing w:val="-4"/>
                <w:sz w:val="24"/>
              </w:rPr>
              <w:t xml:space="preserve"> </w:t>
            </w:r>
            <w:r>
              <w:rPr>
                <w:sz w:val="24"/>
              </w:rPr>
              <w:t>amounts less the actuarial present value of premiums and related amounts, less the positive or negative pre-tax IMR</w:t>
            </w:r>
          </w:p>
          <w:p w14:paraId="23EC7AAE" w14:textId="77777777" w:rsidR="00680063" w:rsidRDefault="00000000">
            <w:pPr>
              <w:pStyle w:val="TableParagraph"/>
              <w:spacing w:line="280" w:lineRule="atLeast"/>
              <w:ind w:left="99" w:right="402"/>
              <w:jc w:val="both"/>
              <w:rPr>
                <w:sz w:val="24"/>
              </w:rPr>
            </w:pPr>
            <w:r>
              <w:rPr>
                <w:sz w:val="24"/>
              </w:rPr>
              <w:t>balance</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valuation</w:t>
            </w:r>
            <w:r>
              <w:rPr>
                <w:spacing w:val="-5"/>
                <w:sz w:val="24"/>
              </w:rPr>
              <w:t xml:space="preserve"> </w:t>
            </w:r>
            <w:r>
              <w:rPr>
                <w:sz w:val="24"/>
              </w:rPr>
              <w:t>date</w:t>
            </w:r>
            <w:r>
              <w:rPr>
                <w:spacing w:val="-5"/>
                <w:sz w:val="24"/>
              </w:rPr>
              <w:t xml:space="preserve"> </w:t>
            </w:r>
            <w:r>
              <w:rPr>
                <w:sz w:val="24"/>
              </w:rPr>
              <w:t>allocated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group</w:t>
            </w:r>
            <w:r>
              <w:rPr>
                <w:spacing w:val="-2"/>
                <w:sz w:val="24"/>
              </w:rPr>
              <w:t xml:space="preserve"> </w:t>
            </w:r>
            <w:r>
              <w:rPr>
                <w:sz w:val="24"/>
              </w:rPr>
              <w:t>of one or more policies being modeled</w:t>
            </w:r>
          </w:p>
        </w:tc>
      </w:tr>
      <w:tr w:rsidR="00680063" w14:paraId="04C8D4A7" w14:textId="77777777">
        <w:trPr>
          <w:trHeight w:val="1161"/>
        </w:trPr>
        <w:tc>
          <w:tcPr>
            <w:tcW w:w="2242" w:type="dxa"/>
          </w:tcPr>
          <w:p w14:paraId="0F16334C" w14:textId="77777777" w:rsidR="00680063" w:rsidRDefault="00000000">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61BA9923" w14:textId="77777777" w:rsidR="00680063" w:rsidRDefault="00000000">
            <w:pPr>
              <w:pStyle w:val="TableParagraph"/>
              <w:spacing w:line="244" w:lineRule="auto"/>
              <w:ind w:left="100" w:right="421"/>
              <w:rPr>
                <w:sz w:val="24"/>
              </w:rPr>
            </w:pPr>
            <w:r>
              <w:rPr>
                <w:sz w:val="24"/>
              </w:rPr>
              <w:t>Calculation of stochastic</w:t>
            </w:r>
            <w:r>
              <w:rPr>
                <w:spacing w:val="-15"/>
                <w:sz w:val="24"/>
              </w:rPr>
              <w:t xml:space="preserve"> </w:t>
            </w:r>
            <w:r>
              <w:rPr>
                <w:sz w:val="24"/>
              </w:rPr>
              <w:t>reserve</w:t>
            </w:r>
          </w:p>
        </w:tc>
        <w:tc>
          <w:tcPr>
            <w:tcW w:w="5674" w:type="dxa"/>
          </w:tcPr>
          <w:p w14:paraId="4E91CC33" w14:textId="77777777" w:rsidR="00680063" w:rsidRDefault="00000000">
            <w:pPr>
              <w:pStyle w:val="TableParagraph"/>
              <w:spacing w:line="268" w:lineRule="exact"/>
              <w:ind w:left="99"/>
              <w:rPr>
                <w:sz w:val="24"/>
              </w:rPr>
            </w:pPr>
            <w:r>
              <w:rPr>
                <w:sz w:val="24"/>
              </w:rPr>
              <w:t>Add</w:t>
            </w:r>
            <w:r>
              <w:rPr>
                <w:spacing w:val="-5"/>
                <w:sz w:val="24"/>
              </w:rPr>
              <w:t xml:space="preserve"> </w:t>
            </w:r>
            <w:r>
              <w:rPr>
                <w:sz w:val="24"/>
              </w:rPr>
              <w:t>the</w:t>
            </w:r>
            <w:r>
              <w:rPr>
                <w:spacing w:val="-2"/>
                <w:sz w:val="24"/>
              </w:rPr>
              <w:t xml:space="preserve"> </w:t>
            </w:r>
            <w:r>
              <w:rPr>
                <w:sz w:val="24"/>
              </w:rPr>
              <w:t>CTE</w:t>
            </w:r>
            <w:r>
              <w:rPr>
                <w:spacing w:val="-2"/>
                <w:sz w:val="24"/>
              </w:rPr>
              <w:t xml:space="preserve"> </w:t>
            </w:r>
            <w:r>
              <w:rPr>
                <w:sz w:val="24"/>
              </w:rPr>
              <w:t>amount</w:t>
            </w:r>
            <w:r>
              <w:rPr>
                <w:spacing w:val="-1"/>
                <w:sz w:val="24"/>
              </w:rPr>
              <w:t xml:space="preserve"> </w:t>
            </w:r>
            <w:r>
              <w:rPr>
                <w:sz w:val="24"/>
              </w:rPr>
              <w:t>(D)</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additional</w:t>
            </w:r>
            <w:r>
              <w:rPr>
                <w:spacing w:val="-3"/>
                <w:sz w:val="24"/>
              </w:rPr>
              <w:t xml:space="preserve"> </w:t>
            </w:r>
            <w:r>
              <w:rPr>
                <w:spacing w:val="-2"/>
                <w:sz w:val="24"/>
              </w:rPr>
              <w:t>amount</w:t>
            </w:r>
          </w:p>
          <w:p w14:paraId="4A539D5D" w14:textId="77777777" w:rsidR="00680063" w:rsidRDefault="00000000">
            <w:pPr>
              <w:pStyle w:val="TableParagraph"/>
              <w:spacing w:line="296" w:lineRule="exact"/>
              <w:ind w:left="99"/>
              <w:rPr>
                <w:sz w:val="24"/>
              </w:rPr>
            </w:pPr>
            <w:r>
              <w:rPr>
                <w:sz w:val="24"/>
              </w:rPr>
              <w:t>(E)</w:t>
            </w:r>
            <w:r>
              <w:rPr>
                <w:spacing w:val="-6"/>
                <w:sz w:val="24"/>
              </w:rPr>
              <w:t xml:space="preserve"> </w:t>
            </w:r>
            <w:r>
              <w:rPr>
                <w:sz w:val="24"/>
              </w:rPr>
              <w:t>less</w:t>
            </w:r>
            <w:r>
              <w:rPr>
                <w:spacing w:val="-5"/>
                <w:sz w:val="24"/>
              </w:rPr>
              <w:t xml:space="preserve"> </w:t>
            </w:r>
            <w:r>
              <w:rPr>
                <w:sz w:val="24"/>
              </w:rPr>
              <w:t>the</w:t>
            </w:r>
            <w:r>
              <w:rPr>
                <w:spacing w:val="-6"/>
                <w:sz w:val="24"/>
              </w:rPr>
              <w:t xml:space="preserve"> </w:t>
            </w:r>
            <w:r>
              <w:rPr>
                <w:sz w:val="24"/>
              </w:rPr>
              <w:t>positive</w:t>
            </w:r>
            <w:r>
              <w:rPr>
                <w:spacing w:val="-6"/>
                <w:sz w:val="24"/>
              </w:rPr>
              <w:t xml:space="preserve"> </w:t>
            </w:r>
            <w:r>
              <w:rPr>
                <w:sz w:val="24"/>
              </w:rPr>
              <w:t>or</w:t>
            </w:r>
            <w:r>
              <w:rPr>
                <w:spacing w:val="-6"/>
                <w:sz w:val="24"/>
              </w:rPr>
              <w:t xml:space="preserve"> </w:t>
            </w:r>
            <w:r>
              <w:rPr>
                <w:sz w:val="24"/>
              </w:rPr>
              <w:t>negative</w:t>
            </w:r>
            <w:r>
              <w:rPr>
                <w:spacing w:val="-6"/>
                <w:sz w:val="24"/>
              </w:rPr>
              <w:t xml:space="preserve"> </w:t>
            </w:r>
            <w:r>
              <w:rPr>
                <w:sz w:val="24"/>
              </w:rPr>
              <w:t>pre-tax</w:t>
            </w:r>
            <w:r>
              <w:rPr>
                <w:spacing w:val="-3"/>
                <w:sz w:val="24"/>
              </w:rPr>
              <w:t xml:space="preserve"> </w:t>
            </w:r>
            <w:r>
              <w:rPr>
                <w:sz w:val="24"/>
              </w:rPr>
              <w:t>IMR</w:t>
            </w:r>
            <w:r>
              <w:rPr>
                <w:spacing w:val="-5"/>
                <w:sz w:val="24"/>
              </w:rPr>
              <w:t xml:space="preserve"> </w:t>
            </w:r>
            <w:r>
              <w:rPr>
                <w:sz w:val="24"/>
              </w:rPr>
              <w:t xml:space="preserve">balance allocated to the group of one or more policies being </w:t>
            </w:r>
            <w:r>
              <w:rPr>
                <w:spacing w:val="-2"/>
                <w:sz w:val="24"/>
              </w:rPr>
              <w:t>modeled</w:t>
            </w:r>
          </w:p>
        </w:tc>
      </w:tr>
      <w:tr w:rsidR="00680063" w14:paraId="36E1DE0B" w14:textId="77777777">
        <w:trPr>
          <w:trHeight w:val="831"/>
        </w:trPr>
        <w:tc>
          <w:tcPr>
            <w:tcW w:w="2242" w:type="dxa"/>
          </w:tcPr>
          <w:p w14:paraId="2792B24F" w14:textId="77777777" w:rsidR="00680063" w:rsidRDefault="00000000">
            <w:pPr>
              <w:pStyle w:val="TableParagraph"/>
              <w:spacing w:line="244" w:lineRule="auto"/>
              <w:ind w:left="102" w:right="356"/>
              <w:rPr>
                <w:sz w:val="24"/>
              </w:rPr>
            </w:pPr>
            <w:r>
              <w:rPr>
                <w:sz w:val="24"/>
              </w:rPr>
              <w:t>Variable</w:t>
            </w:r>
            <w:r>
              <w:rPr>
                <w:spacing w:val="-15"/>
                <w:sz w:val="24"/>
              </w:rPr>
              <w:t xml:space="preserve"> </w:t>
            </w:r>
            <w:r>
              <w:rPr>
                <w:sz w:val="24"/>
              </w:rPr>
              <w:t xml:space="preserve">annuities </w:t>
            </w:r>
            <w:r>
              <w:rPr>
                <w:spacing w:val="-2"/>
                <w:sz w:val="24"/>
              </w:rPr>
              <w:t>principle-based</w:t>
            </w:r>
          </w:p>
          <w:p w14:paraId="41CF378C" w14:textId="77777777" w:rsidR="00680063" w:rsidRDefault="00000000">
            <w:pPr>
              <w:pStyle w:val="TableParagraph"/>
              <w:spacing w:line="251" w:lineRule="exact"/>
              <w:ind w:left="102"/>
              <w:rPr>
                <w:sz w:val="24"/>
              </w:rPr>
            </w:pPr>
            <w:r>
              <w:rPr>
                <w:sz w:val="24"/>
              </w:rPr>
              <w:t>reserves</w:t>
            </w:r>
            <w:r>
              <w:rPr>
                <w:spacing w:val="-6"/>
                <w:sz w:val="24"/>
              </w:rPr>
              <w:t xml:space="preserve"> </w:t>
            </w:r>
            <w:r>
              <w:rPr>
                <w:sz w:val="24"/>
              </w:rPr>
              <w:t>(VM-</w:t>
            </w:r>
            <w:r>
              <w:rPr>
                <w:spacing w:val="-5"/>
                <w:sz w:val="24"/>
              </w:rPr>
              <w:t>21)</w:t>
            </w:r>
          </w:p>
        </w:tc>
        <w:tc>
          <w:tcPr>
            <w:tcW w:w="2256" w:type="dxa"/>
          </w:tcPr>
          <w:p w14:paraId="4592CE33" w14:textId="77777777" w:rsidR="00680063" w:rsidRDefault="00000000">
            <w:pPr>
              <w:pStyle w:val="TableParagraph"/>
              <w:spacing w:line="244" w:lineRule="auto"/>
              <w:ind w:left="100" w:right="421"/>
              <w:rPr>
                <w:sz w:val="24"/>
              </w:rPr>
            </w:pPr>
            <w:r>
              <w:rPr>
                <w:sz w:val="24"/>
              </w:rPr>
              <w:t>Reserving for variable</w:t>
            </w:r>
            <w:r>
              <w:rPr>
                <w:spacing w:val="-15"/>
                <w:sz w:val="24"/>
              </w:rPr>
              <w:t xml:space="preserve"> </w:t>
            </w:r>
            <w:r>
              <w:rPr>
                <w:sz w:val="24"/>
              </w:rPr>
              <w:t>annuities</w:t>
            </w:r>
          </w:p>
        </w:tc>
        <w:tc>
          <w:tcPr>
            <w:tcW w:w="5674" w:type="dxa"/>
          </w:tcPr>
          <w:p w14:paraId="2BFD5A4A" w14:textId="77777777" w:rsidR="00680063" w:rsidRDefault="00000000">
            <w:pPr>
              <w:pStyle w:val="TableParagraph"/>
              <w:spacing w:line="273" w:lineRule="exact"/>
              <w:ind w:left="99"/>
              <w:rPr>
                <w:sz w:val="24"/>
              </w:rPr>
            </w:pPr>
            <w:r>
              <w:rPr>
                <w:sz w:val="24"/>
              </w:rPr>
              <w:t>The</w:t>
            </w:r>
            <w:r>
              <w:rPr>
                <w:spacing w:val="-1"/>
                <w:sz w:val="24"/>
              </w:rPr>
              <w:t xml:space="preserve"> </w:t>
            </w:r>
            <w:r>
              <w:rPr>
                <w:sz w:val="24"/>
              </w:rPr>
              <w:t>IMR</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handled</w:t>
            </w:r>
            <w:r>
              <w:rPr>
                <w:spacing w:val="-3"/>
                <w:sz w:val="24"/>
              </w:rPr>
              <w:t xml:space="preserve"> </w:t>
            </w:r>
            <w:r>
              <w:rPr>
                <w:sz w:val="24"/>
              </w:rPr>
              <w:t>consistently</w:t>
            </w:r>
            <w:r>
              <w:rPr>
                <w:spacing w:val="-3"/>
                <w:sz w:val="24"/>
              </w:rPr>
              <w:t xml:space="preserve"> </w:t>
            </w:r>
            <w:r>
              <w:rPr>
                <w:sz w:val="24"/>
              </w:rPr>
              <w:t>with</w:t>
            </w:r>
            <w:r>
              <w:rPr>
                <w:spacing w:val="-2"/>
                <w:sz w:val="24"/>
              </w:rPr>
              <w:t xml:space="preserve"> </w:t>
            </w:r>
            <w:r>
              <w:rPr>
                <w:spacing w:val="-5"/>
                <w:sz w:val="24"/>
              </w:rPr>
              <w:t>the</w:t>
            </w:r>
          </w:p>
          <w:p w14:paraId="317D819B" w14:textId="77777777" w:rsidR="00680063" w:rsidRDefault="00000000">
            <w:pPr>
              <w:pStyle w:val="TableParagraph"/>
              <w:spacing w:line="280" w:lineRule="atLeast"/>
              <w:ind w:left="103" w:hanging="2"/>
              <w:rPr>
                <w:sz w:val="24"/>
              </w:rPr>
            </w:pPr>
            <w:r>
              <w:rPr>
                <w:noProof/>
                <w:position w:val="-4"/>
              </w:rPr>
              <w:drawing>
                <wp:inline distT="0" distB="0" distL="0" distR="0" wp14:anchorId="13F625F2" wp14:editId="651A7D5E">
                  <wp:extent cx="1970531" cy="138683"/>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4" cstate="print"/>
                          <a:stretch>
                            <a:fillRect/>
                          </a:stretch>
                        </pic:blipFill>
                        <pic:spPr>
                          <a:xfrm>
                            <a:off x="0" y="0"/>
                            <a:ext cx="1970531" cy="138683"/>
                          </a:xfrm>
                          <a:prstGeom prst="rect">
                            <a:avLst/>
                          </a:prstGeom>
                        </pic:spPr>
                      </pic:pic>
                    </a:graphicData>
                  </a:graphic>
                </wp:inline>
              </w:drawing>
            </w:r>
            <w:r>
              <w:rPr>
                <w:sz w:val="24"/>
              </w:rPr>
              <w:t>-flow</w:t>
            </w:r>
            <w:r>
              <w:rPr>
                <w:spacing w:val="-12"/>
                <w:sz w:val="24"/>
              </w:rPr>
              <w:t xml:space="preserve"> </w:t>
            </w:r>
            <w:r>
              <w:rPr>
                <w:sz w:val="24"/>
              </w:rPr>
              <w:t>testing,</w:t>
            </w:r>
            <w:r>
              <w:rPr>
                <w:spacing w:val="-12"/>
                <w:sz w:val="24"/>
              </w:rPr>
              <w:t xml:space="preserve"> </w:t>
            </w:r>
            <w:r>
              <w:rPr>
                <w:sz w:val="24"/>
              </w:rPr>
              <w:t>and</w:t>
            </w:r>
            <w:r>
              <w:rPr>
                <w:spacing w:val="-9"/>
                <w:sz w:val="24"/>
              </w:rPr>
              <w:t xml:space="preserve"> </w:t>
            </w:r>
            <w:r>
              <w:rPr>
                <w:sz w:val="24"/>
              </w:rPr>
              <w:t>the amounts should be adjusted to a pre-tax basis.</w:t>
            </w:r>
          </w:p>
        </w:tc>
      </w:tr>
      <w:tr w:rsidR="00680063" w14:paraId="0997780C" w14:textId="77777777">
        <w:trPr>
          <w:trHeight w:val="827"/>
        </w:trPr>
        <w:tc>
          <w:tcPr>
            <w:tcW w:w="2242" w:type="dxa"/>
          </w:tcPr>
          <w:p w14:paraId="12101175" w14:textId="77777777" w:rsidR="00680063" w:rsidRDefault="00000000">
            <w:pPr>
              <w:pStyle w:val="TableParagraph"/>
              <w:spacing w:line="242" w:lineRule="auto"/>
              <w:ind w:left="102"/>
              <w:rPr>
                <w:sz w:val="24"/>
              </w:rPr>
            </w:pPr>
            <w:r>
              <w:rPr>
                <w:sz w:val="24"/>
              </w:rPr>
              <w:t>C3</w:t>
            </w:r>
            <w:r>
              <w:rPr>
                <w:spacing w:val="-13"/>
                <w:sz w:val="24"/>
              </w:rPr>
              <w:t xml:space="preserve"> </w:t>
            </w:r>
            <w:r>
              <w:rPr>
                <w:sz w:val="24"/>
              </w:rPr>
              <w:t>Phase</w:t>
            </w:r>
            <w:r>
              <w:rPr>
                <w:spacing w:val="-13"/>
                <w:sz w:val="24"/>
              </w:rPr>
              <w:t xml:space="preserve"> </w:t>
            </w:r>
            <w:r>
              <w:rPr>
                <w:sz w:val="24"/>
              </w:rPr>
              <w:t>1</w:t>
            </w:r>
            <w:r>
              <w:rPr>
                <w:spacing w:val="-13"/>
                <w:sz w:val="24"/>
              </w:rPr>
              <w:t xml:space="preserve"> </w:t>
            </w:r>
            <w:r>
              <w:rPr>
                <w:sz w:val="24"/>
              </w:rPr>
              <w:t>(Interest rate risk capital)</w:t>
            </w:r>
          </w:p>
        </w:tc>
        <w:tc>
          <w:tcPr>
            <w:tcW w:w="2256" w:type="dxa"/>
          </w:tcPr>
          <w:p w14:paraId="0D7A7798" w14:textId="77777777" w:rsidR="00680063" w:rsidRDefault="00000000">
            <w:pPr>
              <w:pStyle w:val="TableParagraph"/>
              <w:spacing w:line="242" w:lineRule="auto"/>
              <w:ind w:left="100"/>
              <w:rPr>
                <w:sz w:val="24"/>
              </w:rPr>
            </w:pPr>
            <w:r>
              <w:rPr>
                <w:sz w:val="24"/>
              </w:rPr>
              <w:t>RBC for fixed annuities</w:t>
            </w:r>
            <w:r>
              <w:rPr>
                <w:spacing w:val="-15"/>
                <w:sz w:val="24"/>
              </w:rPr>
              <w:t xml:space="preserve"> </w:t>
            </w:r>
            <w:r>
              <w:rPr>
                <w:sz w:val="24"/>
              </w:rPr>
              <w:t>and</w:t>
            </w:r>
            <w:r>
              <w:rPr>
                <w:spacing w:val="-15"/>
                <w:sz w:val="24"/>
              </w:rPr>
              <w:t xml:space="preserve"> </w:t>
            </w:r>
            <w:r>
              <w:rPr>
                <w:sz w:val="24"/>
              </w:rPr>
              <w:t>single</w:t>
            </w:r>
          </w:p>
          <w:p w14:paraId="2E4ABDA3" w14:textId="77777777" w:rsidR="00680063" w:rsidRDefault="00000000">
            <w:pPr>
              <w:pStyle w:val="TableParagraph"/>
              <w:spacing w:line="253" w:lineRule="exact"/>
              <w:ind w:left="100"/>
              <w:rPr>
                <w:sz w:val="24"/>
              </w:rPr>
            </w:pPr>
            <w:r>
              <w:rPr>
                <w:sz w:val="24"/>
              </w:rPr>
              <w:t>premium</w:t>
            </w:r>
            <w:r>
              <w:rPr>
                <w:spacing w:val="-2"/>
                <w:sz w:val="24"/>
              </w:rPr>
              <w:t xml:space="preserve"> </w:t>
            </w:r>
            <w:r>
              <w:rPr>
                <w:spacing w:val="-4"/>
                <w:sz w:val="24"/>
              </w:rPr>
              <w:t>life</w:t>
            </w:r>
          </w:p>
        </w:tc>
        <w:tc>
          <w:tcPr>
            <w:tcW w:w="5674" w:type="dxa"/>
          </w:tcPr>
          <w:p w14:paraId="0459F1A2" w14:textId="77777777" w:rsidR="00680063" w:rsidRDefault="00000000">
            <w:pPr>
              <w:pStyle w:val="TableParagraph"/>
              <w:spacing w:line="272" w:lineRule="exact"/>
              <w:ind w:left="99"/>
              <w:rPr>
                <w:sz w:val="24"/>
              </w:rPr>
            </w:pPr>
            <w:r>
              <w:rPr>
                <w:sz w:val="24"/>
              </w:rPr>
              <w:t>IMR</w:t>
            </w:r>
            <w:r>
              <w:rPr>
                <w:spacing w:val="-1"/>
                <w:sz w:val="24"/>
              </w:rPr>
              <w:t xml:space="preserve"> </w:t>
            </w:r>
            <w:r>
              <w:rPr>
                <w:sz w:val="24"/>
              </w:rPr>
              <w:t>assets should</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for</w:t>
            </w:r>
            <w:r>
              <w:rPr>
                <w:spacing w:val="-1"/>
                <w:sz w:val="24"/>
              </w:rPr>
              <w:t xml:space="preserve"> </w:t>
            </w:r>
            <w:r>
              <w:rPr>
                <w:sz w:val="24"/>
              </w:rPr>
              <w:t>C3</w:t>
            </w:r>
            <w:r>
              <w:rPr>
                <w:spacing w:val="-1"/>
                <w:sz w:val="24"/>
              </w:rPr>
              <w:t xml:space="preserve"> </w:t>
            </w:r>
            <w:r>
              <w:rPr>
                <w:spacing w:val="-2"/>
                <w:sz w:val="24"/>
              </w:rPr>
              <w:t>modeling.</w:t>
            </w:r>
          </w:p>
        </w:tc>
      </w:tr>
    </w:tbl>
    <w:p w14:paraId="12E50D93" w14:textId="77777777" w:rsidR="00680063" w:rsidRDefault="00680063">
      <w:pPr>
        <w:pStyle w:val="BodyText"/>
        <w:spacing w:before="10"/>
        <w:rPr>
          <w:sz w:val="36"/>
        </w:rPr>
      </w:pPr>
    </w:p>
    <w:p w14:paraId="78467021" w14:textId="77777777" w:rsidR="00680063" w:rsidRDefault="00000000">
      <w:pPr>
        <w:pStyle w:val="Heading2"/>
      </w:pPr>
      <w:r>
        <w:rPr>
          <w:u w:val="single"/>
        </w:rPr>
        <w:t>Additional</w:t>
      </w:r>
      <w:r>
        <w:rPr>
          <w:spacing w:val="-3"/>
          <w:u w:val="single"/>
        </w:rPr>
        <w:t xml:space="preserve"> </w:t>
      </w:r>
      <w:r>
        <w:rPr>
          <w:u w:val="single"/>
        </w:rPr>
        <w:t>IMR</w:t>
      </w:r>
      <w:r>
        <w:rPr>
          <w:spacing w:val="-2"/>
          <w:u w:val="single"/>
        </w:rPr>
        <w:t xml:space="preserve"> Safeguards</w:t>
      </w:r>
    </w:p>
    <w:p w14:paraId="414896E0" w14:textId="77777777" w:rsidR="00680063" w:rsidRDefault="00680063">
      <w:pPr>
        <w:pStyle w:val="BodyText"/>
        <w:spacing w:before="7"/>
        <w:rPr>
          <w:b/>
          <w:sz w:val="16"/>
        </w:rPr>
      </w:pPr>
    </w:p>
    <w:p w14:paraId="18D0F701" w14:textId="77777777" w:rsidR="00680063" w:rsidRDefault="00000000">
      <w:pPr>
        <w:pStyle w:val="BodyText"/>
        <w:spacing w:before="90"/>
        <w:ind w:left="479" w:right="1075"/>
      </w:pPr>
      <w:r>
        <w:t>The</w:t>
      </w:r>
      <w:r>
        <w:rPr>
          <w:spacing w:val="-8"/>
        </w:rPr>
        <w:t xml:space="preserve"> </w:t>
      </w:r>
      <w:r>
        <w:t>IMR</w:t>
      </w:r>
      <w:r>
        <w:rPr>
          <w:spacing w:val="-8"/>
        </w:rPr>
        <w:t xml:space="preserve"> </w:t>
      </w:r>
      <w:r>
        <w:t>instructions</w:t>
      </w:r>
      <w:r>
        <w:rPr>
          <w:spacing w:val="-8"/>
        </w:rPr>
        <w:t xml:space="preserve"> </w:t>
      </w:r>
      <w:r>
        <w:t>do</w:t>
      </w:r>
      <w:r>
        <w:rPr>
          <w:spacing w:val="-11"/>
        </w:rPr>
        <w:t xml:space="preserve"> </w:t>
      </w:r>
      <w:r>
        <w:t>provide</w:t>
      </w:r>
      <w:r>
        <w:rPr>
          <w:spacing w:val="-9"/>
        </w:rPr>
        <w:t xml:space="preserve"> </w:t>
      </w:r>
      <w:r>
        <w:t>additional</w:t>
      </w:r>
      <w:r>
        <w:rPr>
          <w:spacing w:val="-8"/>
        </w:rPr>
        <w:t xml:space="preserve"> </w:t>
      </w:r>
      <w:r>
        <w:t>safeguards</w:t>
      </w:r>
      <w:r>
        <w:rPr>
          <w:spacing w:val="-8"/>
        </w:rPr>
        <w:t xml:space="preserve"> </w:t>
      </w:r>
      <w:r>
        <w:t>in</w:t>
      </w:r>
      <w:r>
        <w:rPr>
          <w:spacing w:val="-7"/>
        </w:rPr>
        <w:t xml:space="preserve"> </w:t>
      </w:r>
      <w:r>
        <w:t>situations</w:t>
      </w:r>
      <w:r>
        <w:rPr>
          <w:spacing w:val="-8"/>
        </w:rPr>
        <w:t xml:space="preserve"> </w:t>
      </w:r>
      <w:r>
        <w:t>where</w:t>
      </w:r>
      <w:r>
        <w:rPr>
          <w:spacing w:val="-12"/>
        </w:rPr>
        <w:t xml:space="preserve"> </w:t>
      </w:r>
      <w:r>
        <w:t>it</w:t>
      </w:r>
      <w:r>
        <w:rPr>
          <w:spacing w:val="-8"/>
        </w:rPr>
        <w:t xml:space="preserve"> </w:t>
      </w:r>
      <w:r>
        <w:t>would</w:t>
      </w:r>
      <w:r>
        <w:rPr>
          <w:spacing w:val="-8"/>
        </w:rPr>
        <w:t xml:space="preserve"> </w:t>
      </w:r>
      <w:r>
        <w:t>be</w:t>
      </w:r>
      <w:r>
        <w:rPr>
          <w:spacing w:val="-9"/>
        </w:rPr>
        <w:t xml:space="preserve"> </w:t>
      </w:r>
      <w:r>
        <w:t>appropriate to</w:t>
      </w:r>
      <w:r>
        <w:rPr>
          <w:spacing w:val="-5"/>
        </w:rPr>
        <w:t xml:space="preserve"> </w:t>
      </w:r>
      <w:r>
        <w:t>recognize</w:t>
      </w:r>
      <w:r>
        <w:rPr>
          <w:spacing w:val="-6"/>
        </w:rPr>
        <w:t xml:space="preserve"> </w:t>
      </w:r>
      <w:r>
        <w:t>interest-rate</w:t>
      </w:r>
      <w:r>
        <w:rPr>
          <w:spacing w:val="-2"/>
        </w:rPr>
        <w:t xml:space="preserve"> </w:t>
      </w:r>
      <w:r>
        <w:t>related</w:t>
      </w:r>
      <w:r>
        <w:rPr>
          <w:spacing w:val="-5"/>
        </w:rPr>
        <w:t xml:space="preserve"> </w:t>
      </w:r>
      <w:r>
        <w:t>gains</w:t>
      </w:r>
      <w:r>
        <w:rPr>
          <w:spacing w:val="-4"/>
        </w:rPr>
        <w:t xml:space="preserve"> </w:t>
      </w:r>
      <w:r>
        <w:t>and</w:t>
      </w:r>
      <w:r>
        <w:rPr>
          <w:spacing w:val="-5"/>
        </w:rPr>
        <w:t xml:space="preserve"> </w:t>
      </w:r>
      <w:r>
        <w:t>losses</w:t>
      </w:r>
      <w:r>
        <w:rPr>
          <w:spacing w:val="-5"/>
        </w:rPr>
        <w:t xml:space="preserve"> </w:t>
      </w:r>
      <w:r>
        <w:t>immediately</w:t>
      </w:r>
      <w:r>
        <w:rPr>
          <w:spacing w:val="-4"/>
        </w:rPr>
        <w:t xml:space="preserve"> </w:t>
      </w:r>
      <w:r>
        <w:t>rather</w:t>
      </w:r>
      <w:r>
        <w:rPr>
          <w:spacing w:val="-6"/>
        </w:rPr>
        <w:t xml:space="preserve"> </w:t>
      </w:r>
      <w:r>
        <w:t>than</w:t>
      </w:r>
      <w:r>
        <w:rPr>
          <w:spacing w:val="-4"/>
        </w:rPr>
        <w:t xml:space="preserve"> </w:t>
      </w:r>
      <w:r>
        <w:t>be</w:t>
      </w:r>
      <w:r>
        <w:rPr>
          <w:spacing w:val="-6"/>
        </w:rPr>
        <w:t xml:space="preserve"> </w:t>
      </w:r>
      <w:r>
        <w:t>included</w:t>
      </w:r>
      <w:r>
        <w:rPr>
          <w:spacing w:val="-4"/>
        </w:rPr>
        <w:t xml:space="preserve"> </w:t>
      </w:r>
      <w:r>
        <w:t>in</w:t>
      </w:r>
      <w:r>
        <w:rPr>
          <w:spacing w:val="-5"/>
        </w:rPr>
        <w:t xml:space="preserve"> </w:t>
      </w:r>
      <w:r>
        <w:t>the</w:t>
      </w:r>
      <w:r>
        <w:rPr>
          <w:spacing w:val="-5"/>
        </w:rPr>
        <w:t xml:space="preserve"> </w:t>
      </w:r>
      <w:r>
        <w:rPr>
          <w:spacing w:val="-4"/>
        </w:rPr>
        <w:t>IMR.</w:t>
      </w:r>
    </w:p>
    <w:p w14:paraId="23A09CDC" w14:textId="77777777" w:rsidR="00680063" w:rsidRDefault="00680063">
      <w:pPr>
        <w:sectPr w:rsidR="00680063">
          <w:pgSz w:w="12240" w:h="15840"/>
          <w:pgMar w:top="640" w:right="240" w:bottom="280" w:left="960" w:header="720" w:footer="720" w:gutter="0"/>
          <w:cols w:space="720"/>
        </w:sectPr>
      </w:pPr>
    </w:p>
    <w:p w14:paraId="63AE5FF0" w14:textId="77777777" w:rsidR="00680063" w:rsidRDefault="00000000">
      <w:pPr>
        <w:pStyle w:val="BodyText"/>
        <w:spacing w:before="79"/>
        <w:ind w:left="479" w:right="790"/>
      </w:pPr>
      <w:r>
        <w:lastRenderedPageBreak/>
        <w:t>They</w:t>
      </w:r>
      <w:r>
        <w:rPr>
          <w:spacing w:val="-6"/>
        </w:rPr>
        <w:t xml:space="preserve"> </w:t>
      </w:r>
      <w:r>
        <w:t>were</w:t>
      </w:r>
      <w:r>
        <w:rPr>
          <w:spacing w:val="-7"/>
        </w:rPr>
        <w:t xml:space="preserve"> </w:t>
      </w:r>
      <w:r>
        <w:t>established</w:t>
      </w:r>
      <w:r>
        <w:rPr>
          <w:spacing w:val="-6"/>
        </w:rPr>
        <w:t xml:space="preserve"> </w:t>
      </w:r>
      <w:r>
        <w:t>to</w:t>
      </w:r>
      <w:r>
        <w:rPr>
          <w:spacing w:val="-6"/>
        </w:rPr>
        <w:t xml:space="preserve"> </w:t>
      </w:r>
      <w:r>
        <w:t>prevent</w:t>
      </w:r>
      <w:r>
        <w:rPr>
          <w:spacing w:val="-5"/>
        </w:rPr>
        <w:t xml:space="preserve"> </w:t>
      </w:r>
      <w:r>
        <w:t>situations</w:t>
      </w:r>
      <w:r>
        <w:rPr>
          <w:spacing w:val="-6"/>
        </w:rPr>
        <w:t xml:space="preserve"> </w:t>
      </w:r>
      <w:r>
        <w:t>where</w:t>
      </w:r>
      <w:r>
        <w:rPr>
          <w:spacing w:val="-4"/>
        </w:rPr>
        <w:t xml:space="preserve"> </w:t>
      </w:r>
      <w:r>
        <w:t>the</w:t>
      </w:r>
      <w:r>
        <w:rPr>
          <w:spacing w:val="-4"/>
        </w:rPr>
        <w:t xml:space="preserve"> </w:t>
      </w:r>
      <w:r>
        <w:t>liability</w:t>
      </w:r>
      <w:r>
        <w:rPr>
          <w:spacing w:val="-6"/>
        </w:rPr>
        <w:t xml:space="preserve"> </w:t>
      </w:r>
      <w:r>
        <w:t>the</w:t>
      </w:r>
      <w:r>
        <w:rPr>
          <w:spacing w:val="-7"/>
        </w:rPr>
        <w:t xml:space="preserve"> </w:t>
      </w:r>
      <w:r>
        <w:t>IMR</w:t>
      </w:r>
      <w:r>
        <w:rPr>
          <w:spacing w:val="-5"/>
        </w:rPr>
        <w:t xml:space="preserve"> </w:t>
      </w:r>
      <w:r>
        <w:t>supports,</w:t>
      </w:r>
      <w:r>
        <w:rPr>
          <w:spacing w:val="-6"/>
        </w:rPr>
        <w:t xml:space="preserve"> </w:t>
      </w:r>
      <w:r>
        <w:t>no</w:t>
      </w:r>
      <w:r>
        <w:rPr>
          <w:spacing w:val="-6"/>
        </w:rPr>
        <w:t xml:space="preserve"> </w:t>
      </w:r>
      <w:r>
        <w:t>longer</w:t>
      </w:r>
      <w:r>
        <w:rPr>
          <w:spacing w:val="-7"/>
        </w:rPr>
        <w:t xml:space="preserve"> </w:t>
      </w:r>
      <w:r>
        <w:t>exists. Examples noted in the annual statement instructions include:</w:t>
      </w:r>
    </w:p>
    <w:p w14:paraId="33A366FC" w14:textId="77777777" w:rsidR="00680063" w:rsidRDefault="00680063">
      <w:pPr>
        <w:pStyle w:val="BodyText"/>
        <w:spacing w:before="7"/>
        <w:rPr>
          <w:sz w:val="17"/>
        </w:rPr>
      </w:pPr>
    </w:p>
    <w:p w14:paraId="1EB2A17F" w14:textId="77777777" w:rsidR="00680063" w:rsidRDefault="00000000">
      <w:pPr>
        <w:pStyle w:val="BodyText"/>
        <w:spacing w:before="90"/>
        <w:ind w:left="1245" w:right="790"/>
      </w:pPr>
      <w:r>
        <w:pict w14:anchorId="444871CA">
          <v:shape id="docshape10" o:spid="_x0000_s1057" style="position:absolute;left:0;text-align:left;margin-left:92.9pt;margin-top:10.2pt;width:4.35pt;height:4.35pt;z-index:15739392;mso-position-horizontal-relative:page" coordorigin="1858,204" coordsize="87,87" path="m1913,290r-24,l1879,285r-9,-7l1862,268r-4,-9l1858,235r4,-10l1870,216r9,-8l1889,204r24,l1922,208r10,8l1939,225r5,10l1944,259r-5,9l1932,278r-10,7l1913,290xe" fillcolor="black" stroked="f">
            <v:path arrowok="t"/>
            <w10:wrap anchorx="page"/>
          </v:shape>
        </w:pict>
      </w:r>
      <w:r>
        <w:t>Major</w:t>
      </w:r>
      <w:r>
        <w:rPr>
          <w:spacing w:val="-7"/>
        </w:rPr>
        <w:t xml:space="preserve"> </w:t>
      </w:r>
      <w:r>
        <w:t>book-value</w:t>
      </w:r>
      <w:r>
        <w:rPr>
          <w:spacing w:val="-7"/>
        </w:rPr>
        <w:t xml:space="preserve"> </w:t>
      </w:r>
      <w:r>
        <w:t>withdrawals</w:t>
      </w:r>
      <w:r>
        <w:rPr>
          <w:spacing w:val="-6"/>
        </w:rPr>
        <w:t xml:space="preserve"> </w:t>
      </w:r>
      <w:r>
        <w:t>or</w:t>
      </w:r>
      <w:r>
        <w:rPr>
          <w:spacing w:val="-4"/>
        </w:rPr>
        <w:t xml:space="preserve"> </w:t>
      </w:r>
      <w:r>
        <w:t>increases</w:t>
      </w:r>
      <w:r>
        <w:rPr>
          <w:spacing w:val="-6"/>
        </w:rPr>
        <w:t xml:space="preserve"> </w:t>
      </w:r>
      <w:r>
        <w:t>in</w:t>
      </w:r>
      <w:r>
        <w:rPr>
          <w:spacing w:val="-3"/>
        </w:rPr>
        <w:t xml:space="preserve"> </w:t>
      </w:r>
      <w:r>
        <w:t>policy</w:t>
      </w:r>
      <w:r>
        <w:rPr>
          <w:spacing w:val="-8"/>
        </w:rPr>
        <w:t xml:space="preserve"> </w:t>
      </w:r>
      <w:r>
        <w:t>loans</w:t>
      </w:r>
      <w:r>
        <w:rPr>
          <w:spacing w:val="-6"/>
        </w:rPr>
        <w:t xml:space="preserve"> </w:t>
      </w:r>
      <w:r>
        <w:t>occurring</w:t>
      </w:r>
      <w:r>
        <w:rPr>
          <w:spacing w:val="-3"/>
        </w:rPr>
        <w:t xml:space="preserve"> </w:t>
      </w:r>
      <w:r>
        <w:t>at</w:t>
      </w:r>
      <w:r>
        <w:rPr>
          <w:spacing w:val="-5"/>
        </w:rPr>
        <w:t xml:space="preserve"> </w:t>
      </w:r>
      <w:r>
        <w:t>a</w:t>
      </w:r>
      <w:r>
        <w:rPr>
          <w:spacing w:val="-4"/>
        </w:rPr>
        <w:t xml:space="preserve"> </w:t>
      </w:r>
      <w:r>
        <w:t>time</w:t>
      </w:r>
      <w:r>
        <w:rPr>
          <w:spacing w:val="-7"/>
        </w:rPr>
        <w:t xml:space="preserve"> </w:t>
      </w:r>
      <w:r>
        <w:t>of</w:t>
      </w:r>
      <w:r>
        <w:rPr>
          <w:spacing w:val="-7"/>
        </w:rPr>
        <w:t xml:space="preserve"> </w:t>
      </w:r>
      <w:r>
        <w:t>elevated interest rates.</w:t>
      </w:r>
    </w:p>
    <w:p w14:paraId="45EA57B5" w14:textId="77777777" w:rsidR="00680063" w:rsidRDefault="00000000">
      <w:pPr>
        <w:pStyle w:val="BodyText"/>
        <w:spacing w:before="3"/>
        <w:rPr>
          <w:sz w:val="28"/>
        </w:rPr>
      </w:pPr>
      <w:r>
        <w:pict w14:anchorId="2A4228C7">
          <v:shape id="docshape11" o:spid="_x0000_s1056" style="position:absolute;margin-left:92.9pt;margin-top:20.35pt;width:4.35pt;height:4.35pt;z-index:-15720448;mso-wrap-distance-left:0;mso-wrap-distance-right:0;mso-position-horizontal-relative:page" coordorigin="1858,407" coordsize="87,87" path="m1913,493r-24,l1879,489r-9,-8l1862,472r-4,-10l1858,438r4,-9l1870,419r9,-7l1889,407r24,l1922,412r10,7l1939,429r5,9l1944,462r-5,10l1932,481r-10,8l1913,493xe" fillcolor="black" stroked="f">
            <v:path arrowok="t"/>
            <w10:wrap type="topAndBottom" anchorx="page"/>
          </v:shape>
        </w:pict>
      </w:r>
      <w:r>
        <w:pict w14:anchorId="47231E54">
          <v:group id="docshapegroup12" o:spid="_x0000_s1053" style="position:absolute;margin-left:110.5pt;margin-top:17.45pt;width:428.55pt;height:10.95pt;z-index:-15719936;mso-wrap-distance-left:0;mso-wrap-distance-right:0;mso-position-horizontal-relative:page" coordorigin="2210,349" coordsize="8571,219">
            <v:shape id="docshape13" o:spid="_x0000_s1055" type="#_x0000_t75" style="position:absolute;left:2210;top:349;width:8520;height:219">
              <v:imagedata r:id="rId25" o:title=""/>
            </v:shape>
            <v:shape id="docshape14" o:spid="_x0000_s1054" style="position:absolute;left:10754;top:493;width:27;height:27" coordorigin="10754,493" coordsize="27,27" path="m10776,520r-14,l10759,517r-2,-4l10754,510r,-7l10759,498r5,-5l10771,493r5,3l10781,501r,12l10778,517r-2,3xe" fillcolor="black" stroked="f">
              <v:path arrowok="t"/>
            </v:shape>
            <w10:wrap type="topAndBottom" anchorx="page"/>
          </v:group>
        </w:pict>
      </w:r>
    </w:p>
    <w:p w14:paraId="4A339B09" w14:textId="77777777" w:rsidR="00680063" w:rsidRDefault="00680063">
      <w:pPr>
        <w:pStyle w:val="BodyText"/>
        <w:spacing w:before="3"/>
        <w:rPr>
          <w:sz w:val="16"/>
        </w:rPr>
      </w:pPr>
    </w:p>
    <w:p w14:paraId="38CF91C5" w14:textId="77777777" w:rsidR="00680063" w:rsidRDefault="00000000">
      <w:pPr>
        <w:pStyle w:val="BodyText"/>
        <w:spacing w:before="90"/>
        <w:ind w:left="479"/>
        <w:jc w:val="both"/>
      </w:pPr>
      <w:r>
        <w:rPr>
          <w:noProof/>
        </w:rPr>
        <w:drawing>
          <wp:anchor distT="0" distB="0" distL="0" distR="0" simplePos="0" relativeHeight="18" behindDoc="0" locked="0" layoutInCell="1" allowOverlap="1" wp14:anchorId="294F53A9" wp14:editId="63493762">
            <wp:simplePos x="0" y="0"/>
            <wp:positionH relativeFrom="page">
              <wp:posOffset>918972</wp:posOffset>
            </wp:positionH>
            <wp:positionV relativeFrom="paragraph">
              <wp:posOffset>268012</wp:posOffset>
            </wp:positionV>
            <wp:extent cx="5916071" cy="138112"/>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6" cstate="print"/>
                    <a:stretch>
                      <a:fillRect/>
                    </a:stretch>
                  </pic:blipFill>
                  <pic:spPr>
                    <a:xfrm>
                      <a:off x="0" y="0"/>
                      <a:ext cx="5916071" cy="138112"/>
                    </a:xfrm>
                    <a:prstGeom prst="rect">
                      <a:avLst/>
                    </a:prstGeom>
                  </pic:spPr>
                </pic:pic>
              </a:graphicData>
            </a:graphic>
          </wp:anchor>
        </w:drawing>
      </w:r>
      <w:r>
        <w:t>As</w:t>
      </w:r>
      <w:r>
        <w:rPr>
          <w:spacing w:val="-12"/>
        </w:rPr>
        <w:t xml:space="preserve"> </w:t>
      </w:r>
      <w:r>
        <w:t>a</w:t>
      </w:r>
      <w:r>
        <w:rPr>
          <w:spacing w:val="-13"/>
        </w:rPr>
        <w:t xml:space="preserve"> </w:t>
      </w:r>
      <w:r>
        <w:t>result,</w:t>
      </w:r>
      <w:r>
        <w:rPr>
          <w:spacing w:val="-12"/>
        </w:rPr>
        <w:t xml:space="preserve"> </w:t>
      </w:r>
      <w:r>
        <w:t>the</w:t>
      </w:r>
      <w:r>
        <w:rPr>
          <w:spacing w:val="-13"/>
        </w:rPr>
        <w:t xml:space="preserve"> </w:t>
      </w:r>
      <w:r>
        <w:t>IMR</w:t>
      </w:r>
      <w:r>
        <w:rPr>
          <w:spacing w:val="-11"/>
        </w:rPr>
        <w:t xml:space="preserve"> </w:t>
      </w:r>
      <w:r>
        <w:t>instructions</w:t>
      </w:r>
      <w:r>
        <w:rPr>
          <w:spacing w:val="-12"/>
        </w:rPr>
        <w:t xml:space="preserve"> </w:t>
      </w:r>
      <w:r>
        <w:t>include</w:t>
      </w:r>
      <w:r>
        <w:rPr>
          <w:spacing w:val="-13"/>
        </w:rPr>
        <w:t xml:space="preserve"> </w:t>
      </w:r>
      <w:r>
        <w:t>an</w:t>
      </w:r>
      <w:r>
        <w:rPr>
          <w:spacing w:val="-11"/>
        </w:rPr>
        <w:t xml:space="preserve"> </w:t>
      </w:r>
      <w:r>
        <w:t>IMR</w:t>
      </w:r>
      <w:r>
        <w:rPr>
          <w:spacing w:val="-11"/>
        </w:rPr>
        <w:t xml:space="preserve"> </w:t>
      </w:r>
      <w:r>
        <w:t>Exclusion</w:t>
      </w:r>
      <w:r>
        <w:rPr>
          <w:spacing w:val="-12"/>
        </w:rPr>
        <w:t xml:space="preserve"> </w:t>
      </w:r>
      <w:r>
        <w:t>whereby</w:t>
      </w:r>
      <w:r>
        <w:rPr>
          <w:spacing w:val="-12"/>
        </w:rPr>
        <w:t xml:space="preserve"> </w:t>
      </w:r>
      <w:r>
        <w:t>all</w:t>
      </w:r>
      <w:r>
        <w:rPr>
          <w:spacing w:val="-12"/>
        </w:rPr>
        <w:t xml:space="preserve"> </w:t>
      </w:r>
      <w:r>
        <w:t>gains</w:t>
      </w:r>
      <w:r>
        <w:rPr>
          <w:spacing w:val="-12"/>
        </w:rPr>
        <w:t xml:space="preserve"> </w:t>
      </w:r>
      <w:r>
        <w:t>or</w:t>
      </w:r>
      <w:r>
        <w:rPr>
          <w:spacing w:val="-13"/>
        </w:rPr>
        <w:t xml:space="preserve"> </w:t>
      </w:r>
      <w:r>
        <w:t>losses</w:t>
      </w:r>
      <w:r>
        <w:rPr>
          <w:spacing w:val="-12"/>
        </w:rPr>
        <w:t xml:space="preserve"> </w:t>
      </w:r>
      <w:r>
        <w:t>which</w:t>
      </w:r>
      <w:r>
        <w:rPr>
          <w:spacing w:val="-11"/>
        </w:rPr>
        <w:t xml:space="preserve"> </w:t>
      </w:r>
      <w:r>
        <w:rPr>
          <w:spacing w:val="-2"/>
        </w:rPr>
        <w:t>arise</w:t>
      </w:r>
    </w:p>
    <w:p w14:paraId="0E1802D1" w14:textId="77777777" w:rsidR="00680063" w:rsidRDefault="00000000">
      <w:pPr>
        <w:pStyle w:val="BodyText"/>
        <w:spacing w:before="2"/>
        <w:ind w:left="479" w:right="1199"/>
        <w:jc w:val="both"/>
      </w:pPr>
      <w:r>
        <w:t>and reflected in net income.</w:t>
      </w:r>
      <w:r>
        <w:rPr>
          <w:spacing w:val="40"/>
        </w:rPr>
        <w:t xml:space="preserve"> </w:t>
      </w:r>
      <w:r>
        <w:t>In short, Excess Withdrawal Activity is defined as 150% of the product</w:t>
      </w:r>
      <w:r>
        <w:rPr>
          <w:spacing w:val="-5"/>
        </w:rPr>
        <w:t xml:space="preserve"> </w:t>
      </w:r>
      <w:r>
        <w:t>of</w:t>
      </w:r>
      <w:r>
        <w:rPr>
          <w:spacing w:val="-7"/>
        </w:rPr>
        <w:t xml:space="preserve"> </w:t>
      </w:r>
      <w:r>
        <w:t>the</w:t>
      </w:r>
      <w:r>
        <w:rPr>
          <w:spacing w:val="-7"/>
        </w:rPr>
        <w:t xml:space="preserve"> </w:t>
      </w:r>
      <w:r>
        <w:t>lower</w:t>
      </w:r>
      <w:r>
        <w:rPr>
          <w:spacing w:val="-7"/>
        </w:rPr>
        <w:t xml:space="preserve"> </w:t>
      </w:r>
      <w:r>
        <w:t>of</w:t>
      </w:r>
      <w:r>
        <w:rPr>
          <w:spacing w:val="-7"/>
        </w:rPr>
        <w:t xml:space="preserve"> </w:t>
      </w:r>
      <w:r>
        <w:t>the</w:t>
      </w:r>
      <w:r>
        <w:rPr>
          <w:spacing w:val="-7"/>
        </w:rPr>
        <w:t xml:space="preserve"> </w:t>
      </w:r>
      <w:r>
        <w:t>withdrawal</w:t>
      </w:r>
      <w:r>
        <w:rPr>
          <w:spacing w:val="-5"/>
        </w:rPr>
        <w:t xml:space="preserve"> </w:t>
      </w:r>
      <w:r>
        <w:t>rate</w:t>
      </w:r>
      <w:r>
        <w:rPr>
          <w:spacing w:val="-7"/>
        </w:rPr>
        <w:t xml:space="preserve"> </w:t>
      </w:r>
      <w:r>
        <w:t>in</w:t>
      </w:r>
      <w:r>
        <w:rPr>
          <w:spacing w:val="-6"/>
        </w:rPr>
        <w:t xml:space="preserve"> </w:t>
      </w:r>
      <w:r>
        <w:t>the</w:t>
      </w:r>
      <w:r>
        <w:rPr>
          <w:spacing w:val="-7"/>
        </w:rPr>
        <w:t xml:space="preserve"> </w:t>
      </w:r>
      <w:r>
        <w:t>preceding</w:t>
      </w:r>
      <w:r>
        <w:rPr>
          <w:spacing w:val="-6"/>
        </w:rPr>
        <w:t xml:space="preserve"> </w:t>
      </w:r>
      <w:r>
        <w:t>or</w:t>
      </w:r>
      <w:r>
        <w:rPr>
          <w:spacing w:val="-7"/>
        </w:rPr>
        <w:t xml:space="preserve"> </w:t>
      </w:r>
      <w:r>
        <w:t>in</w:t>
      </w:r>
      <w:r>
        <w:rPr>
          <w:spacing w:val="-6"/>
        </w:rPr>
        <w:t xml:space="preserve"> </w:t>
      </w:r>
      <w:r>
        <w:t>the</w:t>
      </w:r>
      <w:r>
        <w:rPr>
          <w:spacing w:val="-7"/>
        </w:rPr>
        <w:t xml:space="preserve"> </w:t>
      </w:r>
      <w:r>
        <w:t>next</w:t>
      </w:r>
      <w:r>
        <w:rPr>
          <w:spacing w:val="-5"/>
        </w:rPr>
        <w:t xml:space="preserve"> </w:t>
      </w:r>
      <w:r>
        <w:t>preceding</w:t>
      </w:r>
      <w:r>
        <w:rPr>
          <w:spacing w:val="-6"/>
        </w:rPr>
        <w:t xml:space="preserve"> </w:t>
      </w:r>
      <w:r>
        <w:t>year</w:t>
      </w:r>
      <w:r>
        <w:rPr>
          <w:spacing w:val="-7"/>
        </w:rPr>
        <w:t xml:space="preserve"> </w:t>
      </w:r>
      <w:r>
        <w:t>calendar year times the withdrawal reserves at the beginning of the year.</w:t>
      </w:r>
    </w:p>
    <w:p w14:paraId="4A30D402" w14:textId="77777777" w:rsidR="00680063" w:rsidRDefault="00680063">
      <w:pPr>
        <w:pStyle w:val="BodyText"/>
      </w:pPr>
    </w:p>
    <w:p w14:paraId="4E422086" w14:textId="77777777" w:rsidR="00680063" w:rsidRDefault="00000000">
      <w:pPr>
        <w:pStyle w:val="Heading2"/>
      </w:pPr>
      <w:r>
        <w:rPr>
          <w:spacing w:val="-2"/>
          <w:u w:val="single"/>
        </w:rPr>
        <w:t>Summary</w:t>
      </w:r>
    </w:p>
    <w:p w14:paraId="59E69FAD" w14:textId="77777777" w:rsidR="00680063" w:rsidRDefault="00680063">
      <w:pPr>
        <w:pStyle w:val="BodyText"/>
        <w:spacing w:before="2"/>
        <w:rPr>
          <w:b/>
          <w:sz w:val="16"/>
        </w:rPr>
      </w:pPr>
    </w:p>
    <w:p w14:paraId="7F88985E" w14:textId="77777777" w:rsidR="00680063" w:rsidRDefault="00000000">
      <w:pPr>
        <w:pStyle w:val="BodyText"/>
        <w:spacing w:before="90"/>
        <w:ind w:left="479" w:right="1195"/>
        <w:jc w:val="both"/>
      </w:pPr>
      <w:r>
        <w:t>With a rising interest rate environment, it is important that the allowance of a negative IMR be addressed to fulfill its original purpose.</w:t>
      </w:r>
      <w:r>
        <w:rPr>
          <w:spacing w:val="40"/>
        </w:rPr>
        <w:t xml:space="preserve"> </w:t>
      </w:r>
      <w:r>
        <w:t>In general, rising interest rates are favorable to the financial</w:t>
      </w:r>
      <w:r>
        <w:rPr>
          <w:spacing w:val="-8"/>
        </w:rPr>
        <w:t xml:space="preserve"> </w:t>
      </w:r>
      <w:r>
        <w:t>health</w:t>
      </w:r>
      <w:r>
        <w:rPr>
          <w:spacing w:val="-8"/>
        </w:rPr>
        <w:t xml:space="preserve"> </w:t>
      </w:r>
      <w:r>
        <w:t>of</w:t>
      </w:r>
      <w:r>
        <w:rPr>
          <w:spacing w:val="-9"/>
        </w:rPr>
        <w:t xml:space="preserve"> </w:t>
      </w:r>
      <w:r>
        <w:t>the</w:t>
      </w:r>
      <w:r>
        <w:rPr>
          <w:spacing w:val="-9"/>
        </w:rPr>
        <w:t xml:space="preserve"> </w:t>
      </w:r>
      <w:r>
        <w:t>insurance</w:t>
      </w:r>
      <w:r>
        <w:rPr>
          <w:spacing w:val="-9"/>
        </w:rPr>
        <w:t xml:space="preserve"> </w:t>
      </w:r>
      <w:r>
        <w:t>industry</w:t>
      </w:r>
      <w:r>
        <w:rPr>
          <w:spacing w:val="-8"/>
        </w:rPr>
        <w:t xml:space="preserve"> </w:t>
      </w:r>
      <w:r>
        <w:t>as</w:t>
      </w:r>
      <w:r>
        <w:rPr>
          <w:spacing w:val="-8"/>
        </w:rPr>
        <w:t xml:space="preserve"> </w:t>
      </w:r>
      <w:r>
        <w:t>well</w:t>
      </w:r>
      <w:r>
        <w:rPr>
          <w:spacing w:val="-8"/>
        </w:rPr>
        <w:t xml:space="preserve"> </w:t>
      </w:r>
      <w:r>
        <w:t>as</w:t>
      </w:r>
      <w:r>
        <w:rPr>
          <w:spacing w:val="-8"/>
        </w:rPr>
        <w:t xml:space="preserve"> </w:t>
      </w:r>
      <w:r>
        <w:t>for</w:t>
      </w:r>
      <w:r>
        <w:rPr>
          <w:spacing w:val="-9"/>
        </w:rPr>
        <w:t xml:space="preserve"> </w:t>
      </w:r>
      <w:r>
        <w:t>policyowners.</w:t>
      </w:r>
      <w:r>
        <w:rPr>
          <w:spacing w:val="-8"/>
        </w:rPr>
        <w:t xml:space="preserve"> </w:t>
      </w:r>
      <w:r>
        <w:t>Without</w:t>
      </w:r>
      <w:r>
        <w:rPr>
          <w:spacing w:val="-8"/>
        </w:rPr>
        <w:t xml:space="preserve"> </w:t>
      </w:r>
      <w:r>
        <w:t>a</w:t>
      </w:r>
      <w:r>
        <w:rPr>
          <w:spacing w:val="-9"/>
        </w:rPr>
        <w:t xml:space="preserve"> </w:t>
      </w:r>
      <w:r>
        <w:t>change,</w:t>
      </w:r>
      <w:r>
        <w:rPr>
          <w:spacing w:val="-8"/>
        </w:rPr>
        <w:t xml:space="preserve"> </w:t>
      </w:r>
      <w:r>
        <w:t>the</w:t>
      </w:r>
      <w:r>
        <w:rPr>
          <w:spacing w:val="-9"/>
        </w:rPr>
        <w:t xml:space="preserve"> </w:t>
      </w:r>
      <w:r>
        <w:t>rising interest rate environment will give the inappropriate perception of decreased financial strength through lower surplus and risk-based capital.</w:t>
      </w:r>
    </w:p>
    <w:p w14:paraId="364A5D43" w14:textId="77777777" w:rsidR="00680063" w:rsidRDefault="00680063">
      <w:pPr>
        <w:pStyle w:val="BodyText"/>
      </w:pPr>
    </w:p>
    <w:p w14:paraId="5DE8AAC8" w14:textId="77777777" w:rsidR="00680063" w:rsidRDefault="00000000">
      <w:pPr>
        <w:pStyle w:val="BodyText"/>
        <w:ind w:left="479" w:right="1198"/>
        <w:jc w:val="both"/>
      </w:pPr>
      <w:r>
        <w:t>The</w:t>
      </w:r>
      <w:r>
        <w:rPr>
          <w:spacing w:val="-4"/>
        </w:rPr>
        <w:t xml:space="preserve"> </w:t>
      </w:r>
      <w:r>
        <w:t>inability</w:t>
      </w:r>
      <w:r>
        <w:rPr>
          <w:spacing w:val="-3"/>
        </w:rPr>
        <w:t xml:space="preserve"> </w:t>
      </w:r>
      <w:r>
        <w:t>to</w:t>
      </w:r>
      <w:r>
        <w:rPr>
          <w:spacing w:val="-3"/>
        </w:rPr>
        <w:t xml:space="preserve"> </w:t>
      </w:r>
      <w:r>
        <w:t>recognize</w:t>
      </w:r>
      <w:r>
        <w:rPr>
          <w:spacing w:val="-4"/>
        </w:rPr>
        <w:t xml:space="preserve"> </w:t>
      </w:r>
      <w:r>
        <w:t>negative</w:t>
      </w:r>
      <w:r>
        <w:rPr>
          <w:spacing w:val="-2"/>
        </w:rPr>
        <w:t xml:space="preserve"> </w:t>
      </w:r>
      <w:r>
        <w:t>IMR</w:t>
      </w:r>
      <w:r>
        <w:rPr>
          <w:spacing w:val="-3"/>
        </w:rPr>
        <w:t xml:space="preserve"> </w:t>
      </w:r>
      <w:r>
        <w:t>could</w:t>
      </w:r>
      <w:r>
        <w:rPr>
          <w:spacing w:val="-3"/>
        </w:rPr>
        <w:t xml:space="preserve"> </w:t>
      </w:r>
      <w:r>
        <w:t>also</w:t>
      </w:r>
      <w:r>
        <w:rPr>
          <w:spacing w:val="-3"/>
        </w:rPr>
        <w:t xml:space="preserve"> </w:t>
      </w:r>
      <w:r>
        <w:t>impact</w:t>
      </w:r>
      <w:r>
        <w:rPr>
          <w:spacing w:val="-3"/>
        </w:rPr>
        <w:t xml:space="preserve"> </w:t>
      </w:r>
      <w:r>
        <w:t>the</w:t>
      </w:r>
      <w:r>
        <w:rPr>
          <w:spacing w:val="-4"/>
        </w:rPr>
        <w:t xml:space="preserve"> </w:t>
      </w:r>
      <w:r>
        <w:t>rating</w:t>
      </w:r>
      <w:r>
        <w:rPr>
          <w:spacing w:val="-3"/>
        </w:rPr>
        <w:t xml:space="preserve"> </w:t>
      </w:r>
      <w:r>
        <w:t>agency</w:t>
      </w:r>
      <w:r>
        <w:rPr>
          <w:spacing w:val="-3"/>
        </w:rPr>
        <w:t xml:space="preserve"> </w:t>
      </w:r>
      <w:r>
        <w:t>view</w:t>
      </w:r>
      <w:r>
        <w:rPr>
          <w:spacing w:val="-4"/>
        </w:rPr>
        <w:t xml:space="preserve"> </w:t>
      </w:r>
      <w:r>
        <w:t>of</w:t>
      </w:r>
      <w:r>
        <w:rPr>
          <w:spacing w:val="-4"/>
        </w:rPr>
        <w:t xml:space="preserve"> </w:t>
      </w:r>
      <w:r>
        <w:t>the</w:t>
      </w:r>
      <w:r>
        <w:rPr>
          <w:spacing w:val="-4"/>
        </w:rPr>
        <w:t xml:space="preserve"> </w:t>
      </w:r>
      <w:r>
        <w:t>industry, or worse, incentivize companies to avoid prudent investment transactions that are necessary to avoid mismatches between assets and liabilities.</w:t>
      </w:r>
      <w:r>
        <w:rPr>
          <w:spacing w:val="40"/>
        </w:rPr>
        <w:t xml:space="preserve"> </w:t>
      </w:r>
      <w:r>
        <w:t>Furthermore, there are adequate safeguards in place to ensure that allowing a negative IMR does not cause any unrecognized reserve or capital inadequacies or any overstatement of claims paying ability.</w:t>
      </w:r>
    </w:p>
    <w:p w14:paraId="41EC9385" w14:textId="77777777" w:rsidR="00680063" w:rsidRDefault="00680063">
      <w:pPr>
        <w:pStyle w:val="BodyText"/>
        <w:spacing w:before="3"/>
      </w:pPr>
    </w:p>
    <w:p w14:paraId="2BE43F7E" w14:textId="77777777" w:rsidR="00680063" w:rsidRDefault="00000000">
      <w:pPr>
        <w:pStyle w:val="BodyText"/>
        <w:ind w:left="479" w:right="1198"/>
        <w:jc w:val="both"/>
      </w:pPr>
      <w:r>
        <w:t>Current statutory accounting guidance creates two equally objectionable alternatives for insurers and</w:t>
      </w:r>
      <w:r>
        <w:rPr>
          <w:spacing w:val="-8"/>
        </w:rPr>
        <w:t xml:space="preserve"> </w:t>
      </w:r>
      <w:r>
        <w:t>their</w:t>
      </w:r>
      <w:r>
        <w:rPr>
          <w:spacing w:val="-9"/>
        </w:rPr>
        <w:t xml:space="preserve"> </w:t>
      </w:r>
      <w:r>
        <w:t>policyowners.</w:t>
      </w:r>
      <w:r>
        <w:rPr>
          <w:spacing w:val="40"/>
        </w:rPr>
        <w:t xml:space="preserve"> </w:t>
      </w:r>
      <w:r>
        <w:t>Following</w:t>
      </w:r>
      <w:r>
        <w:rPr>
          <w:spacing w:val="-8"/>
        </w:rPr>
        <w:t xml:space="preserve"> </w:t>
      </w:r>
      <w:r>
        <w:t>the</w:t>
      </w:r>
      <w:r>
        <w:rPr>
          <w:spacing w:val="-7"/>
        </w:rPr>
        <w:t xml:space="preserve"> </w:t>
      </w:r>
      <w:r>
        <w:t>current</w:t>
      </w:r>
      <w:r>
        <w:rPr>
          <w:spacing w:val="-8"/>
        </w:rPr>
        <w:t xml:space="preserve"> </w:t>
      </w:r>
      <w:r>
        <w:t>statutory</w:t>
      </w:r>
      <w:r>
        <w:rPr>
          <w:spacing w:val="-11"/>
        </w:rPr>
        <w:t xml:space="preserve"> </w:t>
      </w:r>
      <w:r>
        <w:t>guidance</w:t>
      </w:r>
      <w:r>
        <w:rPr>
          <w:spacing w:val="-9"/>
        </w:rPr>
        <w:t xml:space="preserve"> </w:t>
      </w:r>
      <w:r>
        <w:t>will</w:t>
      </w:r>
      <w:r>
        <w:rPr>
          <w:spacing w:val="-8"/>
        </w:rPr>
        <w:t xml:space="preserve"> </w:t>
      </w:r>
      <w:r>
        <w:t>improperly</w:t>
      </w:r>
      <w:r>
        <w:rPr>
          <w:spacing w:val="-8"/>
        </w:rPr>
        <w:t xml:space="preserve"> </w:t>
      </w:r>
      <w:r>
        <w:t>reflect</w:t>
      </w:r>
      <w:r>
        <w:rPr>
          <w:spacing w:val="-8"/>
        </w:rPr>
        <w:t xml:space="preserve"> </w:t>
      </w:r>
      <w:r>
        <w:t>financial strength</w:t>
      </w:r>
      <w:r>
        <w:rPr>
          <w:spacing w:val="-15"/>
        </w:rPr>
        <w:t xml:space="preserve"> </w:t>
      </w:r>
      <w:r>
        <w:t>through</w:t>
      </w:r>
      <w:r>
        <w:rPr>
          <w:spacing w:val="-15"/>
        </w:rPr>
        <w:t xml:space="preserve"> </w:t>
      </w:r>
      <w:r>
        <w:t>understating</w:t>
      </w:r>
      <w:r>
        <w:rPr>
          <w:spacing w:val="-15"/>
        </w:rPr>
        <w:t xml:space="preserve"> </w:t>
      </w:r>
      <w:r>
        <w:t>surplus,</w:t>
      </w:r>
      <w:r>
        <w:rPr>
          <w:spacing w:val="-15"/>
        </w:rPr>
        <w:t xml:space="preserve"> </w:t>
      </w:r>
      <w:r>
        <w:t>so</w:t>
      </w:r>
      <w:r>
        <w:rPr>
          <w:spacing w:val="-15"/>
        </w:rPr>
        <w:t xml:space="preserve"> </w:t>
      </w:r>
      <w:r>
        <w:t>additional</w:t>
      </w:r>
      <w:r>
        <w:rPr>
          <w:spacing w:val="-15"/>
        </w:rPr>
        <w:t xml:space="preserve"> </w:t>
      </w:r>
      <w:r>
        <w:t>surplus</w:t>
      </w:r>
      <w:r>
        <w:rPr>
          <w:spacing w:val="-15"/>
        </w:rPr>
        <w:t xml:space="preserve"> </w:t>
      </w:r>
      <w:r>
        <w:t>may</w:t>
      </w:r>
      <w:r>
        <w:rPr>
          <w:spacing w:val="-15"/>
        </w:rPr>
        <w:t xml:space="preserve"> </w:t>
      </w:r>
      <w:r>
        <w:t>need</w:t>
      </w:r>
      <w:r>
        <w:rPr>
          <w:spacing w:val="-15"/>
        </w:rPr>
        <w:t xml:space="preserve"> </w:t>
      </w:r>
      <w:r>
        <w:t>to</w:t>
      </w:r>
      <w:r>
        <w:rPr>
          <w:spacing w:val="-15"/>
        </w:rPr>
        <w:t xml:space="preserve"> </w:t>
      </w:r>
      <w:r>
        <w:t>be</w:t>
      </w:r>
      <w:r>
        <w:rPr>
          <w:spacing w:val="-15"/>
        </w:rPr>
        <w:t xml:space="preserve"> </w:t>
      </w:r>
      <w:r>
        <w:t>retained.</w:t>
      </w:r>
      <w:r>
        <w:rPr>
          <w:spacing w:val="3"/>
        </w:rPr>
        <w:t xml:space="preserve"> </w:t>
      </w:r>
      <w:r>
        <w:t>Alternatively, one could take steps to manage the current situation by limiting trading of fixed income investments and related hedging programs, which would</w:t>
      </w:r>
      <w:r>
        <w:rPr>
          <w:spacing w:val="-2"/>
        </w:rPr>
        <w:t xml:space="preserve"> </w:t>
      </w:r>
      <w:r>
        <w:t>diminish significant economic</w:t>
      </w:r>
      <w:r>
        <w:rPr>
          <w:spacing w:val="-1"/>
        </w:rPr>
        <w:t xml:space="preserve"> </w:t>
      </w:r>
      <w:r>
        <w:t>value</w:t>
      </w:r>
      <w:r>
        <w:rPr>
          <w:spacing w:val="-1"/>
        </w:rPr>
        <w:t xml:space="preserve"> </w:t>
      </w:r>
      <w:r>
        <w:t>for policyowners, as well as create a mismatch between assets and liabilities.</w:t>
      </w:r>
    </w:p>
    <w:p w14:paraId="6E648702" w14:textId="77777777" w:rsidR="00680063" w:rsidRDefault="00680063">
      <w:pPr>
        <w:pStyle w:val="BodyText"/>
      </w:pPr>
    </w:p>
    <w:p w14:paraId="219C4772" w14:textId="77777777" w:rsidR="00680063" w:rsidRDefault="00000000">
      <w:pPr>
        <w:pStyle w:val="BodyText"/>
        <w:ind w:left="479"/>
        <w:jc w:val="both"/>
      </w:pPr>
      <w:r>
        <w:pict w14:anchorId="0ADEA543">
          <v:group id="docshapegroup15" o:spid="_x0000_s1050" style="position:absolute;left:0;text-align:left;margin-left:1in;margin-top:16.6pt;width:293.3pt;height:10.95pt;z-index:-15718912;mso-wrap-distance-left:0;mso-wrap-distance-right:0;mso-position-horizontal-relative:page" coordorigin="1440,332" coordsize="5866,219">
            <v:shape id="docshape16" o:spid="_x0000_s1052" type="#_x0000_t75" style="position:absolute;left:1440;top:332;width:5816;height:219">
              <v:imagedata r:id="rId27" o:title=""/>
            </v:shape>
            <v:shape id="docshape17" o:spid="_x0000_s1051" style="position:absolute;left:7279;top:476;width:27;height:27" coordorigin="7279,476" coordsize="27,27" path="m7296,502r-7,l7279,493r,-7l7282,481r2,-3l7286,476r15,l7306,481r,14l7301,500r-5,2xe" fillcolor="black" stroked="f">
              <v:path arrowok="t"/>
            </v:shape>
            <w10:wrap type="topAndBottom" anchorx="page"/>
          </v:group>
        </w:pict>
      </w:r>
      <w:r>
        <w:rPr>
          <w:noProof/>
        </w:rPr>
        <w:drawing>
          <wp:anchor distT="0" distB="0" distL="0" distR="0" simplePos="0" relativeHeight="20" behindDoc="0" locked="0" layoutInCell="1" allowOverlap="1" wp14:anchorId="1A76BC15" wp14:editId="581A22B5">
            <wp:simplePos x="0" y="0"/>
            <wp:positionH relativeFrom="page">
              <wp:posOffset>4728972</wp:posOffset>
            </wp:positionH>
            <wp:positionV relativeFrom="paragraph">
              <wp:posOffset>210855</wp:posOffset>
            </wp:positionV>
            <wp:extent cx="2120249" cy="138112"/>
            <wp:effectExtent l="0" t="0" r="0" b="0"/>
            <wp:wrapTopAndBottom/>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8" cstate="print"/>
                    <a:stretch>
                      <a:fillRect/>
                    </a:stretch>
                  </pic:blipFill>
                  <pic:spPr>
                    <a:xfrm>
                      <a:off x="0" y="0"/>
                      <a:ext cx="2120249" cy="138112"/>
                    </a:xfrm>
                    <a:prstGeom prst="rect">
                      <a:avLst/>
                    </a:prstGeom>
                  </pic:spPr>
                </pic:pic>
              </a:graphicData>
            </a:graphic>
          </wp:anchor>
        </w:drawing>
      </w:r>
      <w:r>
        <w:t>Both</w:t>
      </w:r>
      <w:r>
        <w:rPr>
          <w:spacing w:val="10"/>
        </w:rPr>
        <w:t xml:space="preserve"> </w:t>
      </w:r>
      <w:r>
        <w:t>scenarios</w:t>
      </w:r>
      <w:r>
        <w:rPr>
          <w:spacing w:val="13"/>
        </w:rPr>
        <w:t xml:space="preserve"> </w:t>
      </w:r>
      <w:r>
        <w:t>encourage</w:t>
      </w:r>
      <w:r>
        <w:rPr>
          <w:spacing w:val="12"/>
        </w:rPr>
        <w:t xml:space="preserve"> </w:t>
      </w:r>
      <w:r>
        <w:t>short-term</w:t>
      </w:r>
      <w:r>
        <w:rPr>
          <w:spacing w:val="13"/>
        </w:rPr>
        <w:t xml:space="preserve"> </w:t>
      </w:r>
      <w:r>
        <w:t>non-economic</w:t>
      </w:r>
      <w:r>
        <w:rPr>
          <w:spacing w:val="12"/>
        </w:rPr>
        <w:t xml:space="preserve"> </w:t>
      </w:r>
      <w:r>
        <w:t>activity</w:t>
      </w:r>
      <w:r>
        <w:rPr>
          <w:spacing w:val="13"/>
        </w:rPr>
        <w:t xml:space="preserve"> </w:t>
      </w:r>
      <w:r>
        <w:t>not</w:t>
      </w:r>
      <w:r>
        <w:rPr>
          <w:spacing w:val="11"/>
        </w:rPr>
        <w:t xml:space="preserve"> </w:t>
      </w:r>
      <w:r>
        <w:t>in</w:t>
      </w:r>
      <w:r>
        <w:rPr>
          <w:spacing w:val="13"/>
        </w:rPr>
        <w:t xml:space="preserve"> </w:t>
      </w:r>
      <w:r>
        <w:t>the</w:t>
      </w:r>
      <w:r>
        <w:rPr>
          <w:spacing w:val="12"/>
        </w:rPr>
        <w:t xml:space="preserve"> </w:t>
      </w:r>
      <w:r>
        <w:t>best</w:t>
      </w:r>
      <w:r>
        <w:rPr>
          <w:spacing w:val="16"/>
        </w:rPr>
        <w:t xml:space="preserve"> </w:t>
      </w:r>
      <w:r>
        <w:t>long-term</w:t>
      </w:r>
      <w:r>
        <w:rPr>
          <w:spacing w:val="13"/>
        </w:rPr>
        <w:t xml:space="preserve"> </w:t>
      </w:r>
      <w:r>
        <w:t>interest</w:t>
      </w:r>
      <w:r>
        <w:rPr>
          <w:spacing w:val="13"/>
        </w:rPr>
        <w:t xml:space="preserve"> </w:t>
      </w:r>
      <w:r>
        <w:rPr>
          <w:spacing w:val="-5"/>
        </w:rPr>
        <w:t>of</w:t>
      </w:r>
    </w:p>
    <w:p w14:paraId="036DB3AA" w14:textId="77777777" w:rsidR="00680063" w:rsidRDefault="00000000">
      <w:pPr>
        <w:pStyle w:val="BodyText"/>
        <w:spacing w:before="1"/>
        <w:ind w:left="479" w:right="1200"/>
        <w:jc w:val="both"/>
      </w:pPr>
      <w:r>
        <w:t>balances</w:t>
      </w:r>
      <w:r>
        <w:rPr>
          <w:spacing w:val="-1"/>
        </w:rPr>
        <w:t xml:space="preserve"> </w:t>
      </w:r>
      <w:r>
        <w:t>due</w:t>
      </w:r>
      <w:r>
        <w:rPr>
          <w:spacing w:val="-2"/>
        </w:rPr>
        <w:t xml:space="preserve"> </w:t>
      </w:r>
      <w:r>
        <w:t>to</w:t>
      </w:r>
      <w:r>
        <w:rPr>
          <w:spacing w:val="-1"/>
        </w:rPr>
        <w:t xml:space="preserve"> </w:t>
      </w:r>
      <w:r>
        <w:t>the</w:t>
      </w:r>
      <w:r>
        <w:rPr>
          <w:spacing w:val="-2"/>
        </w:rPr>
        <w:t xml:space="preserve"> </w:t>
      </w:r>
      <w:r>
        <w:t>rapid increase</w:t>
      </w:r>
      <w:r>
        <w:rPr>
          <w:spacing w:val="-2"/>
        </w:rPr>
        <w:t xml:space="preserve"> </w:t>
      </w:r>
      <w:r>
        <w:t>in</w:t>
      </w:r>
      <w:r>
        <w:rPr>
          <w:spacing w:val="-1"/>
        </w:rPr>
        <w:t xml:space="preserve"> </w:t>
      </w:r>
      <w:r>
        <w:t>interest</w:t>
      </w:r>
      <w:r>
        <w:rPr>
          <w:spacing w:val="-1"/>
        </w:rPr>
        <w:t xml:space="preserve"> </w:t>
      </w:r>
      <w:r>
        <w:t>rates,</w:t>
      </w:r>
      <w:r>
        <w:rPr>
          <w:spacing w:val="-1"/>
        </w:rPr>
        <w:t xml:space="preserve"> </w:t>
      </w:r>
      <w:r>
        <w:t>this</w:t>
      </w:r>
      <w:r>
        <w:rPr>
          <w:spacing w:val="-1"/>
        </w:rPr>
        <w:t xml:space="preserve"> </w:t>
      </w:r>
      <w:r>
        <w:t>dilemma is</w:t>
      </w:r>
      <w:r>
        <w:rPr>
          <w:spacing w:val="-1"/>
        </w:rPr>
        <w:t xml:space="preserve"> </w:t>
      </w:r>
      <w:r>
        <w:t>either</w:t>
      </w:r>
      <w:r>
        <w:rPr>
          <w:spacing w:val="-2"/>
        </w:rPr>
        <w:t xml:space="preserve"> </w:t>
      </w:r>
      <w:r>
        <w:t>here</w:t>
      </w:r>
      <w:r>
        <w:rPr>
          <w:spacing w:val="-2"/>
        </w:rPr>
        <w:t xml:space="preserve"> </w:t>
      </w:r>
      <w:r>
        <w:t>or</w:t>
      </w:r>
      <w:r>
        <w:rPr>
          <w:spacing w:val="-4"/>
        </w:rPr>
        <w:t xml:space="preserve"> </w:t>
      </w:r>
      <w:r>
        <w:t>fast</w:t>
      </w:r>
      <w:r>
        <w:rPr>
          <w:spacing w:val="-1"/>
        </w:rPr>
        <w:t xml:space="preserve"> </w:t>
      </w:r>
      <w:r>
        <w:t>approaching and can only be resolved now with certainty of the appropriate treatment of IMR by the NAIC.</w:t>
      </w:r>
    </w:p>
    <w:p w14:paraId="22922CAB" w14:textId="77777777" w:rsidR="00680063" w:rsidRDefault="00680063">
      <w:pPr>
        <w:pStyle w:val="BodyText"/>
        <w:spacing w:before="5"/>
      </w:pPr>
    </w:p>
    <w:p w14:paraId="5CC86087" w14:textId="77777777" w:rsidR="00680063" w:rsidRDefault="00000000">
      <w:pPr>
        <w:pStyle w:val="BodyText"/>
        <w:spacing w:line="244" w:lineRule="auto"/>
        <w:ind w:left="479" w:right="1205"/>
        <w:jc w:val="both"/>
      </w:pPr>
      <w:r>
        <w:t>The ACLI looks forward to urgently working with the NAIC toward fulfilling the original intent of IMR.</w:t>
      </w:r>
      <w:r>
        <w:rPr>
          <w:spacing w:val="40"/>
        </w:rPr>
        <w:t xml:space="preserve"> </w:t>
      </w:r>
      <w:r>
        <w:t>It is imperative that insurers receive relief for year-end 2022.</w:t>
      </w:r>
    </w:p>
    <w:p w14:paraId="0E2C1508" w14:textId="77777777" w:rsidR="00680063" w:rsidRDefault="00680063">
      <w:pPr>
        <w:pStyle w:val="BodyText"/>
        <w:spacing w:before="1"/>
      </w:pPr>
    </w:p>
    <w:p w14:paraId="4C2F7C4B" w14:textId="77777777" w:rsidR="00680063" w:rsidRDefault="00000000">
      <w:pPr>
        <w:pStyle w:val="BodyText"/>
        <w:ind w:left="479"/>
        <w:jc w:val="both"/>
      </w:pPr>
      <w:r>
        <w:t>If</w:t>
      </w:r>
      <w:r>
        <w:rPr>
          <w:spacing w:val="-3"/>
        </w:rPr>
        <w:t xml:space="preserve"> </w:t>
      </w:r>
      <w:r>
        <w:t>you</w:t>
      </w:r>
      <w:r>
        <w:rPr>
          <w:spacing w:val="-1"/>
        </w:rPr>
        <w:t xml:space="preserve"> </w:t>
      </w:r>
      <w:r>
        <w:t>have any</w:t>
      </w:r>
      <w:r>
        <w:rPr>
          <w:spacing w:val="-1"/>
        </w:rPr>
        <w:t xml:space="preserve"> </w:t>
      </w:r>
      <w:r>
        <w:t>questions</w:t>
      </w:r>
      <w:r>
        <w:rPr>
          <w:spacing w:val="-1"/>
        </w:rPr>
        <w:t xml:space="preserve"> </w:t>
      </w:r>
      <w:r>
        <w:t>regarding</w:t>
      </w:r>
      <w:r>
        <w:rPr>
          <w:spacing w:val="-1"/>
        </w:rPr>
        <w:t xml:space="preserve"> </w:t>
      </w:r>
      <w:r>
        <w:t>this</w:t>
      </w:r>
      <w:r>
        <w:rPr>
          <w:spacing w:val="-4"/>
        </w:rPr>
        <w:t xml:space="preserve"> </w:t>
      </w:r>
      <w:r>
        <w:t>letter,</w:t>
      </w:r>
      <w:r>
        <w:rPr>
          <w:spacing w:val="-1"/>
        </w:rPr>
        <w:t xml:space="preserve"> </w:t>
      </w:r>
      <w:r>
        <w:t>please</w:t>
      </w:r>
      <w:r>
        <w:rPr>
          <w:spacing w:val="-2"/>
        </w:rPr>
        <w:t xml:space="preserve"> </w:t>
      </w:r>
      <w:r>
        <w:t>do</w:t>
      </w:r>
      <w:r>
        <w:rPr>
          <w:spacing w:val="-1"/>
        </w:rPr>
        <w:t xml:space="preserve"> </w:t>
      </w:r>
      <w:r>
        <w:t>not</w:t>
      </w:r>
      <w:r>
        <w:rPr>
          <w:spacing w:val="-1"/>
        </w:rPr>
        <w:t xml:space="preserve"> </w:t>
      </w:r>
      <w:r>
        <w:t>hesitate to</w:t>
      </w:r>
      <w:r>
        <w:rPr>
          <w:spacing w:val="-1"/>
        </w:rPr>
        <w:t xml:space="preserve"> </w:t>
      </w:r>
      <w:r>
        <w:t>contact</w:t>
      </w:r>
      <w:r>
        <w:rPr>
          <w:spacing w:val="-1"/>
        </w:rPr>
        <w:t xml:space="preserve"> </w:t>
      </w:r>
      <w:r>
        <w:rPr>
          <w:spacing w:val="-5"/>
        </w:rPr>
        <w:t>us.</w:t>
      </w:r>
    </w:p>
    <w:p w14:paraId="54C01F6A" w14:textId="77777777" w:rsidR="00680063" w:rsidRDefault="00680063">
      <w:pPr>
        <w:jc w:val="both"/>
        <w:sectPr w:rsidR="00680063">
          <w:pgSz w:w="12240" w:h="15840"/>
          <w:pgMar w:top="640" w:right="240" w:bottom="280" w:left="960" w:header="720" w:footer="720" w:gutter="0"/>
          <w:cols w:space="720"/>
        </w:sectPr>
      </w:pPr>
    </w:p>
    <w:p w14:paraId="6981FB00" w14:textId="77777777" w:rsidR="00680063" w:rsidRDefault="00000000">
      <w:pPr>
        <w:pStyle w:val="BodyText"/>
        <w:spacing w:before="61"/>
        <w:ind w:left="479"/>
      </w:pPr>
      <w:r>
        <w:rPr>
          <w:spacing w:val="-2"/>
        </w:rPr>
        <w:lastRenderedPageBreak/>
        <w:t>Sincerely,</w:t>
      </w:r>
    </w:p>
    <w:p w14:paraId="3A871281" w14:textId="77777777" w:rsidR="00680063" w:rsidRDefault="00000000">
      <w:pPr>
        <w:pStyle w:val="BodyText"/>
        <w:spacing w:before="10"/>
        <w:rPr>
          <w:sz w:val="22"/>
        </w:rPr>
      </w:pPr>
      <w:r>
        <w:rPr>
          <w:noProof/>
        </w:rPr>
        <w:drawing>
          <wp:anchor distT="0" distB="0" distL="0" distR="0" simplePos="0" relativeHeight="22" behindDoc="0" locked="0" layoutInCell="1" allowOverlap="1" wp14:anchorId="7DB2529E" wp14:editId="3D186193">
            <wp:simplePos x="0" y="0"/>
            <wp:positionH relativeFrom="page">
              <wp:posOffset>912875</wp:posOffset>
            </wp:positionH>
            <wp:positionV relativeFrom="paragraph">
              <wp:posOffset>182259</wp:posOffset>
            </wp:positionV>
            <wp:extent cx="1519931" cy="652272"/>
            <wp:effectExtent l="0" t="0" r="0" b="0"/>
            <wp:wrapTopAndBottom/>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29" cstate="print"/>
                    <a:stretch>
                      <a:fillRect/>
                    </a:stretch>
                  </pic:blipFill>
                  <pic:spPr>
                    <a:xfrm>
                      <a:off x="0" y="0"/>
                      <a:ext cx="1519931" cy="652272"/>
                    </a:xfrm>
                    <a:prstGeom prst="rect">
                      <a:avLst/>
                    </a:prstGeom>
                  </pic:spPr>
                </pic:pic>
              </a:graphicData>
            </a:graphic>
          </wp:anchor>
        </w:drawing>
      </w:r>
    </w:p>
    <w:p w14:paraId="6ADDC118" w14:textId="77777777" w:rsidR="00680063" w:rsidRDefault="00000000">
      <w:pPr>
        <w:pStyle w:val="BodyText"/>
        <w:spacing w:before="90"/>
        <w:ind w:left="479"/>
      </w:pPr>
      <w:r>
        <w:t>Mike</w:t>
      </w:r>
      <w:r>
        <w:rPr>
          <w:spacing w:val="-1"/>
        </w:rPr>
        <w:t xml:space="preserve"> </w:t>
      </w:r>
      <w:r>
        <w:rPr>
          <w:spacing w:val="-2"/>
        </w:rPr>
        <w:t>Monahan</w:t>
      </w:r>
    </w:p>
    <w:p w14:paraId="58459494" w14:textId="77777777" w:rsidR="00680063" w:rsidRDefault="00000000">
      <w:pPr>
        <w:pStyle w:val="BodyText"/>
        <w:spacing w:before="2"/>
        <w:ind w:left="479"/>
      </w:pPr>
      <w:r>
        <w:t>Senior</w:t>
      </w:r>
      <w:r>
        <w:rPr>
          <w:spacing w:val="-4"/>
        </w:rPr>
        <w:t xml:space="preserve"> </w:t>
      </w:r>
      <w:r>
        <w:t>Director,</w:t>
      </w:r>
      <w:r>
        <w:rPr>
          <w:spacing w:val="-2"/>
        </w:rPr>
        <w:t xml:space="preserve"> </w:t>
      </w:r>
      <w:r>
        <w:t>Accounting</w:t>
      </w:r>
      <w:r>
        <w:rPr>
          <w:spacing w:val="-2"/>
        </w:rPr>
        <w:t xml:space="preserve"> Policy</w:t>
      </w:r>
    </w:p>
    <w:p w14:paraId="0061CA1C" w14:textId="77777777" w:rsidR="00680063" w:rsidRDefault="00680063">
      <w:pPr>
        <w:pStyle w:val="BodyText"/>
        <w:rPr>
          <w:sz w:val="20"/>
        </w:rPr>
      </w:pPr>
    </w:p>
    <w:p w14:paraId="42934D91" w14:textId="77777777" w:rsidR="00680063" w:rsidRDefault="00000000">
      <w:pPr>
        <w:pStyle w:val="BodyText"/>
        <w:spacing w:before="4"/>
        <w:rPr>
          <w:sz w:val="20"/>
        </w:rPr>
      </w:pPr>
      <w:r>
        <w:rPr>
          <w:noProof/>
        </w:rPr>
        <w:drawing>
          <wp:anchor distT="0" distB="0" distL="0" distR="0" simplePos="0" relativeHeight="23" behindDoc="0" locked="0" layoutInCell="1" allowOverlap="1" wp14:anchorId="6B6406B6" wp14:editId="77626ACD">
            <wp:simplePos x="0" y="0"/>
            <wp:positionH relativeFrom="page">
              <wp:posOffset>956323</wp:posOffset>
            </wp:positionH>
            <wp:positionV relativeFrom="paragraph">
              <wp:posOffset>164227</wp:posOffset>
            </wp:positionV>
            <wp:extent cx="2069498" cy="408622"/>
            <wp:effectExtent l="0" t="0" r="0" b="0"/>
            <wp:wrapTopAndBottom/>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30" cstate="print"/>
                    <a:stretch>
                      <a:fillRect/>
                    </a:stretch>
                  </pic:blipFill>
                  <pic:spPr>
                    <a:xfrm>
                      <a:off x="0" y="0"/>
                      <a:ext cx="2069498" cy="408622"/>
                    </a:xfrm>
                    <a:prstGeom prst="rect">
                      <a:avLst/>
                    </a:prstGeom>
                  </pic:spPr>
                </pic:pic>
              </a:graphicData>
            </a:graphic>
          </wp:anchor>
        </w:drawing>
      </w:r>
    </w:p>
    <w:p w14:paraId="281392C3" w14:textId="77777777" w:rsidR="00680063" w:rsidRDefault="00680063">
      <w:pPr>
        <w:pStyle w:val="BodyText"/>
        <w:spacing w:before="8"/>
        <w:rPr>
          <w:sz w:val="23"/>
        </w:rPr>
      </w:pPr>
    </w:p>
    <w:p w14:paraId="11F217F6" w14:textId="77777777" w:rsidR="00680063" w:rsidRDefault="00000000">
      <w:pPr>
        <w:pStyle w:val="BodyText"/>
        <w:ind w:left="479"/>
      </w:pPr>
      <w:r>
        <w:t>Paul</w:t>
      </w:r>
      <w:r>
        <w:rPr>
          <w:spacing w:val="-1"/>
        </w:rPr>
        <w:t xml:space="preserve"> </w:t>
      </w:r>
      <w:r>
        <w:rPr>
          <w:spacing w:val="-2"/>
        </w:rPr>
        <w:t>Graham</w:t>
      </w:r>
    </w:p>
    <w:p w14:paraId="0F8DF909" w14:textId="77777777" w:rsidR="00680063" w:rsidRDefault="00000000">
      <w:pPr>
        <w:pStyle w:val="BodyText"/>
        <w:spacing w:before="5"/>
        <w:ind w:left="479"/>
      </w:pPr>
      <w:r>
        <w:t>Senior</w:t>
      </w:r>
      <w:r>
        <w:rPr>
          <w:spacing w:val="-2"/>
        </w:rPr>
        <w:t xml:space="preserve"> </w:t>
      </w:r>
      <w:r>
        <w:t>Vice</w:t>
      </w:r>
      <w:r>
        <w:rPr>
          <w:spacing w:val="-2"/>
        </w:rPr>
        <w:t xml:space="preserve"> </w:t>
      </w:r>
      <w:r>
        <w:t>President,</w:t>
      </w:r>
      <w:r>
        <w:rPr>
          <w:spacing w:val="-1"/>
        </w:rPr>
        <w:t xml:space="preserve"> </w:t>
      </w:r>
      <w:r>
        <w:t>Chief</w:t>
      </w:r>
      <w:r>
        <w:rPr>
          <w:spacing w:val="-2"/>
        </w:rPr>
        <w:t xml:space="preserve"> Actuary</w:t>
      </w:r>
    </w:p>
    <w:p w14:paraId="54977861" w14:textId="77777777" w:rsidR="00680063" w:rsidRDefault="00680063">
      <w:pPr>
        <w:sectPr w:rsidR="00680063">
          <w:pgSz w:w="12240" w:h="15840"/>
          <w:pgMar w:top="660" w:right="240" w:bottom="280" w:left="960" w:header="720" w:footer="720" w:gutter="0"/>
          <w:cols w:space="720"/>
        </w:sectPr>
      </w:pPr>
    </w:p>
    <w:p w14:paraId="51F1FE39" w14:textId="77777777" w:rsidR="00680063" w:rsidRDefault="00000000">
      <w:pPr>
        <w:spacing w:line="169" w:lineRule="exact"/>
        <w:ind w:left="8626"/>
        <w:rPr>
          <w:sz w:val="16"/>
        </w:rPr>
      </w:pPr>
      <w:r>
        <w:rPr>
          <w:noProof/>
          <w:position w:val="-2"/>
          <w:sz w:val="16"/>
        </w:rPr>
        <w:lastRenderedPageBreak/>
        <w:drawing>
          <wp:inline distT="0" distB="0" distL="0" distR="0" wp14:anchorId="15A82FE3" wp14:editId="7041E337">
            <wp:extent cx="703887" cy="107346"/>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1" cstate="print"/>
                    <a:stretch>
                      <a:fillRect/>
                    </a:stretch>
                  </pic:blipFill>
                  <pic:spPr>
                    <a:xfrm>
                      <a:off x="0" y="0"/>
                      <a:ext cx="703887" cy="107346"/>
                    </a:xfrm>
                    <a:prstGeom prst="rect">
                      <a:avLst/>
                    </a:prstGeom>
                  </pic:spPr>
                </pic:pic>
              </a:graphicData>
            </a:graphic>
          </wp:inline>
        </w:drawing>
      </w:r>
      <w:r>
        <w:rPr>
          <w:spacing w:val="31"/>
          <w:position w:val="-2"/>
          <w:sz w:val="16"/>
        </w:rPr>
        <w:t xml:space="preserve"> </w:t>
      </w:r>
      <w:r>
        <w:rPr>
          <w:spacing w:val="31"/>
          <w:position w:val="-2"/>
          <w:sz w:val="16"/>
        </w:rPr>
      </w:r>
      <w:r>
        <w:rPr>
          <w:spacing w:val="31"/>
          <w:position w:val="-2"/>
          <w:sz w:val="16"/>
        </w:rPr>
        <w:pict w14:anchorId="3C3DD5D2">
          <v:group id="docshapegroup18" o:spid="_x0000_s1047" style="width:1.1pt;height:8.3pt;mso-position-horizontal-relative:char;mso-position-vertical-relative:line" coordsize="22,166">
            <v:rect id="docshape19" o:spid="_x0000_s1049" style="position:absolute;left:3;top:4;width:16;height:158" fillcolor="black" stroked="f"/>
            <v:rect id="docshape20" o:spid="_x0000_s1048" style="position:absolute;left:3;top:3;width:15;height:159" filled="f" strokeweight=".36pt"/>
            <w10:anchorlock/>
          </v:group>
        </w:pict>
      </w:r>
    </w:p>
    <w:p w14:paraId="4BB2BA81" w14:textId="77777777" w:rsidR="00680063" w:rsidRDefault="00680063">
      <w:pPr>
        <w:pStyle w:val="BodyText"/>
        <w:spacing w:before="6"/>
        <w:rPr>
          <w:sz w:val="22"/>
        </w:rPr>
      </w:pPr>
    </w:p>
    <w:p w14:paraId="22A9D2FD" w14:textId="77777777" w:rsidR="00680063" w:rsidRDefault="00000000">
      <w:pPr>
        <w:tabs>
          <w:tab w:val="left" w:pos="2553"/>
        </w:tabs>
        <w:spacing w:before="91" w:line="276" w:lineRule="auto"/>
        <w:ind w:left="659" w:right="1341" w:hanging="180"/>
      </w:pPr>
      <w:r>
        <w:pict w14:anchorId="2B40BBBF">
          <v:rect id="docshape21" o:spid="_x0000_s1046" style="position:absolute;left:0;text-align:left;margin-left:167.3pt;margin-top:11.7pt;width:5.9pt;height:.85pt;z-index:-16101376;mso-position-horizontal-relative:page" fillcolor="black" stroked="f">
            <w10:wrap anchorx="page"/>
          </v:rect>
        </w:pict>
      </w:r>
      <w:r>
        <w:pict w14:anchorId="6D6F5BC9">
          <v:shape id="docshape22" o:spid="_x0000_s1045" style="position:absolute;left:0;text-align:left;margin-left:72.5pt;margin-top:23.45pt;width:4pt;height:4pt;z-index:-16100864;mso-position-horizontal-relative:page" coordorigin="1450,469" coordsize="80,80" path="m1500,548r-22,l1469,546r-7,-10l1454,529r-4,-9l1450,498r4,-10l1469,474r9,-5l1500,469r10,5l1517,481r9,7l1529,498r,22l1526,529r-9,7l1510,546r-10,2xe" fillcolor="black" stroked="f">
            <v:path arrowok="t"/>
            <w10:wrap anchorx="page"/>
          </v:shape>
        </w:pict>
      </w:r>
      <w:r>
        <w:pict w14:anchorId="64212035">
          <v:shape id="docshape23" o:spid="_x0000_s1044" style="position:absolute;left:0;text-align:left;margin-left:72.5pt;margin-top:38.8pt;width:4pt;height:4pt;z-index:-16100352;mso-position-horizontal-relative:page" coordorigin="1450,776" coordsize="80,80" path="m1500,856r-22,l1469,853r-7,-9l1454,836r-4,-9l1450,805r4,-9l1469,781r9,-5l1500,776r10,5l1517,788r9,8l1529,805r,22l1526,836r-9,8l1510,853r-10,3xe" fillcolor="black" stroked="f">
            <v:path arrowok="t"/>
            <w10:wrap anchorx="page"/>
          </v:shape>
        </w:pict>
      </w:r>
      <w:r>
        <w:rPr>
          <w:b/>
          <w:u w:val="thick"/>
        </w:rPr>
        <w:t>Simplified Example</w:t>
      </w:r>
      <w:r>
        <w:rPr>
          <w:b/>
          <w:u w:val="thick"/>
        </w:rPr>
        <w:tab/>
        <w:t>Need for Reporting Assets, Liabilities, and Income on a Consistent Basis:</w:t>
      </w:r>
      <w:r>
        <w:rPr>
          <w:b/>
        </w:rPr>
        <w:t xml:space="preserve"> </w:t>
      </w:r>
      <w:r>
        <w:t>This</w:t>
      </w:r>
      <w:r>
        <w:rPr>
          <w:spacing w:val="-2"/>
        </w:rPr>
        <w:t xml:space="preserve"> </w:t>
      </w:r>
      <w:r>
        <w:t>example</w:t>
      </w:r>
      <w:r>
        <w:rPr>
          <w:spacing w:val="-3"/>
        </w:rPr>
        <w:t xml:space="preserve"> </w:t>
      </w:r>
      <w:r>
        <w:t>shows</w:t>
      </w:r>
      <w:r>
        <w:rPr>
          <w:spacing w:val="-4"/>
        </w:rPr>
        <w:t xml:space="preserve"> </w:t>
      </w:r>
      <w:r>
        <w:t>the</w:t>
      </w:r>
      <w:r>
        <w:rPr>
          <w:spacing w:val="-1"/>
        </w:rPr>
        <w:t xml:space="preserve"> </w:t>
      </w:r>
      <w:r>
        <w:t>appropriate</w:t>
      </w:r>
      <w:r>
        <w:rPr>
          <w:spacing w:val="-5"/>
        </w:rPr>
        <w:t xml:space="preserve"> </w:t>
      </w:r>
      <w:r>
        <w:t>interrelationship</w:t>
      </w:r>
      <w:r>
        <w:rPr>
          <w:spacing w:val="-4"/>
        </w:rPr>
        <w:t xml:space="preserve"> </w:t>
      </w:r>
      <w:r>
        <w:t>of</w:t>
      </w:r>
      <w:r>
        <w:rPr>
          <w:spacing w:val="-1"/>
        </w:rPr>
        <w:t xml:space="preserve"> </w:t>
      </w:r>
      <w:r>
        <w:t>IMR</w:t>
      </w:r>
      <w:r>
        <w:rPr>
          <w:spacing w:val="-4"/>
        </w:rPr>
        <w:t xml:space="preserve"> </w:t>
      </w:r>
      <w:r>
        <w:t>on</w:t>
      </w:r>
      <w:r>
        <w:rPr>
          <w:spacing w:val="-2"/>
        </w:rPr>
        <w:t xml:space="preserve"> </w:t>
      </w:r>
      <w:r>
        <w:t>assets,</w:t>
      </w:r>
      <w:r>
        <w:rPr>
          <w:spacing w:val="-4"/>
        </w:rPr>
        <w:t xml:space="preserve"> </w:t>
      </w:r>
      <w:r>
        <w:t>reserve liabilities,</w:t>
      </w:r>
      <w:r>
        <w:rPr>
          <w:spacing w:val="-2"/>
        </w:rPr>
        <w:t xml:space="preserve"> </w:t>
      </w:r>
      <w:r>
        <w:t>and</w:t>
      </w:r>
      <w:r>
        <w:rPr>
          <w:spacing w:val="-4"/>
        </w:rPr>
        <w:t xml:space="preserve"> </w:t>
      </w:r>
      <w:r>
        <w:t>income. Assume a bond is held with the following characteristics:</w:t>
      </w:r>
    </w:p>
    <w:p w14:paraId="680FEB81" w14:textId="77777777" w:rsidR="00680063" w:rsidRDefault="00000000">
      <w:pPr>
        <w:pStyle w:val="ListParagraph"/>
        <w:numPr>
          <w:ilvl w:val="0"/>
          <w:numId w:val="2"/>
        </w:numPr>
        <w:tabs>
          <w:tab w:val="left" w:pos="1561"/>
        </w:tabs>
        <w:spacing w:before="3" w:line="271" w:lineRule="exact"/>
        <w:jc w:val="left"/>
      </w:pPr>
      <w:r>
        <w:t>Par</w:t>
      </w:r>
      <w:r>
        <w:rPr>
          <w:spacing w:val="-3"/>
        </w:rPr>
        <w:t xml:space="preserve"> </w:t>
      </w:r>
      <w:r>
        <w:t>Value:</w:t>
      </w:r>
      <w:r>
        <w:rPr>
          <w:spacing w:val="-2"/>
        </w:rPr>
        <w:t xml:space="preserve"> $1,000</w:t>
      </w:r>
    </w:p>
    <w:p w14:paraId="45CAAB86" w14:textId="77777777" w:rsidR="00680063" w:rsidRDefault="00000000">
      <w:pPr>
        <w:pStyle w:val="ListParagraph"/>
        <w:numPr>
          <w:ilvl w:val="0"/>
          <w:numId w:val="2"/>
        </w:numPr>
        <w:tabs>
          <w:tab w:val="left" w:pos="1561"/>
        </w:tabs>
        <w:jc w:val="left"/>
      </w:pPr>
      <w:r>
        <w:t>Coupon:</w:t>
      </w:r>
      <w:r>
        <w:rPr>
          <w:spacing w:val="1"/>
        </w:rPr>
        <w:t xml:space="preserve"> </w:t>
      </w:r>
      <w:r>
        <w:rPr>
          <w:spacing w:val="-5"/>
        </w:rPr>
        <w:t>3%</w:t>
      </w:r>
    </w:p>
    <w:p w14:paraId="0B231098" w14:textId="77777777" w:rsidR="00680063" w:rsidRDefault="00000000">
      <w:pPr>
        <w:pStyle w:val="ListParagraph"/>
        <w:numPr>
          <w:ilvl w:val="0"/>
          <w:numId w:val="2"/>
        </w:numPr>
        <w:tabs>
          <w:tab w:val="left" w:pos="1561"/>
        </w:tabs>
        <w:spacing w:before="3"/>
        <w:jc w:val="left"/>
      </w:pPr>
      <w:r>
        <w:pict w14:anchorId="65DD8A90">
          <v:shape id="docshape24" o:spid="_x0000_s1043" style="position:absolute;left:0;text-align:left;margin-left:72.5pt;margin-top:47.75pt;width:4pt;height:4pt;z-index:15743488;mso-position-horizontal-relative:page" coordorigin="1450,955" coordsize="80,80" path="m1500,1034r-22,l1469,1031r-7,-9l1454,1015r-4,-10l1450,983r4,-9l1469,959r9,-4l1500,955r10,4l1517,967r9,7l1529,983r,22l1526,1015r-9,7l1510,1031r-10,3xe" fillcolor="black" stroked="f">
            <v:path arrowok="t"/>
            <w10:wrap anchorx="page"/>
          </v:shape>
        </w:pict>
      </w:r>
      <w:r>
        <w:pict w14:anchorId="7F199312">
          <v:group id="docshapegroup25" o:spid="_x0000_s1039" style="position:absolute;left:0;text-align:left;margin-left:414.1pt;margin-top:104.6pt;width:180.6pt;height:128.4pt;z-index:-16099328;mso-position-horizontal-relative:page" coordorigin="8282,2092" coordsize="3612,2568">
            <v:shape id="docshape26" o:spid="_x0000_s1042" type="#_x0000_t75" style="position:absolute;left:8649;top:2092;width:3245;height:1640">
              <v:imagedata r:id="rId32" o:title=""/>
            </v:shape>
            <v:shape id="docshape27" o:spid="_x0000_s1041" style="position:absolute;left:8282;top:3234;width:1872;height:1426" coordorigin="8282,3235" coordsize="1872,1426" o:spt="100" adj="0,,0" path="m8714,3295r-9,-5l8594,3235r,55l8282,3290r,12l8594,3302r,53l8700,3302r14,-7xm10154,3705r-28,l10126,3715r19,l10145,4595r-1661,l8484,4540r-120,60l8484,4660r,-55l10154,4605r,-5l10154,4595r,-880l10154,3710r,-5xe" fillcolor="#18b8ca" stroked="f">
              <v:stroke joinstyle="round"/>
              <v:formulas/>
              <v:path arrowok="t" o:connecttype="segments"/>
            </v:shape>
            <v:shapetype id="_x0000_t202" coordsize="21600,21600" o:spt="202" path="m,l,21600r21600,l21600,xe">
              <v:stroke joinstyle="miter"/>
              <v:path gradientshapeok="t" o:connecttype="rect"/>
            </v:shapetype>
            <v:shape id="docshape28" o:spid="_x0000_s1040" type="#_x0000_t202" style="position:absolute;left:8282;top:2092;width:3612;height:2568" filled="f" stroked="f">
              <v:textbox inset="0,0,0,0">
                <w:txbxContent>
                  <w:p w14:paraId="0FA85A99" w14:textId="77777777" w:rsidR="00680063" w:rsidRDefault="00000000">
                    <w:pPr>
                      <w:spacing w:before="99" w:line="266" w:lineRule="auto"/>
                      <w:ind w:left="520" w:right="210"/>
                    </w:pPr>
                    <w:r>
                      <w:rPr>
                        <w:color w:val="484848"/>
                      </w:rPr>
                      <w:t>Realized gain/(loss) deferred to balance sheet IMR and amortized into income over remaining</w:t>
                    </w:r>
                    <w:r>
                      <w:rPr>
                        <w:color w:val="484848"/>
                        <w:spacing w:val="-9"/>
                      </w:rPr>
                      <w:t xml:space="preserve"> </w:t>
                    </w:r>
                    <w:r>
                      <w:rPr>
                        <w:color w:val="484848"/>
                      </w:rPr>
                      <w:t>life</w:t>
                    </w:r>
                    <w:r>
                      <w:rPr>
                        <w:color w:val="484848"/>
                        <w:spacing w:val="-8"/>
                      </w:rPr>
                      <w:t xml:space="preserve"> </w:t>
                    </w:r>
                    <w:r>
                      <w:rPr>
                        <w:color w:val="484848"/>
                      </w:rPr>
                      <w:t>of</w:t>
                    </w:r>
                    <w:r>
                      <w:rPr>
                        <w:color w:val="484848"/>
                        <w:spacing w:val="-8"/>
                      </w:rPr>
                      <w:t xml:space="preserve"> </w:t>
                    </w:r>
                    <w:r>
                      <w:rPr>
                        <w:color w:val="484848"/>
                      </w:rPr>
                      <w:t>bond</w:t>
                    </w:r>
                    <w:r>
                      <w:rPr>
                        <w:color w:val="484848"/>
                        <w:spacing w:val="-7"/>
                      </w:rPr>
                      <w:t xml:space="preserve"> </w:t>
                    </w:r>
                    <w:r>
                      <w:rPr>
                        <w:color w:val="484848"/>
                      </w:rPr>
                      <w:t>sold</w:t>
                    </w:r>
                    <w:r>
                      <w:rPr>
                        <w:color w:val="484848"/>
                        <w:spacing w:val="-9"/>
                      </w:rPr>
                      <w:t xml:space="preserve"> </w:t>
                    </w:r>
                    <w:r>
                      <w:rPr>
                        <w:color w:val="484848"/>
                      </w:rPr>
                      <w:t>(i.e., 10 years).</w:t>
                    </w:r>
                  </w:p>
                </w:txbxContent>
              </v:textbox>
            </v:shape>
            <w10:wrap anchorx="page"/>
          </v:group>
        </w:pict>
      </w:r>
      <w:r>
        <w:t>Term-to-maturity:</w:t>
      </w:r>
      <w:r>
        <w:rPr>
          <w:spacing w:val="-8"/>
        </w:rPr>
        <w:t xml:space="preserve"> </w:t>
      </w:r>
      <w:r>
        <w:t>10</w:t>
      </w:r>
      <w:r>
        <w:rPr>
          <w:spacing w:val="-6"/>
        </w:rPr>
        <w:t xml:space="preserve"> </w:t>
      </w:r>
      <w:r>
        <w:rPr>
          <w:spacing w:val="-4"/>
        </w:rPr>
        <w:t>years</w:t>
      </w:r>
    </w:p>
    <w:p w14:paraId="5B4053AF" w14:textId="77777777" w:rsidR="00680063" w:rsidRDefault="00000000">
      <w:pPr>
        <w:pStyle w:val="BodyText"/>
        <w:spacing w:before="9"/>
        <w:rPr>
          <w:sz w:val="3"/>
        </w:rPr>
      </w:pPr>
      <w:r>
        <w:rPr>
          <w:noProof/>
        </w:rPr>
        <w:drawing>
          <wp:anchor distT="0" distB="0" distL="0" distR="0" simplePos="0" relativeHeight="25" behindDoc="0" locked="0" layoutInCell="1" allowOverlap="1" wp14:anchorId="132C14CD" wp14:editId="1D26A84F">
            <wp:simplePos x="0" y="0"/>
            <wp:positionH relativeFrom="page">
              <wp:posOffset>920496</wp:posOffset>
            </wp:positionH>
            <wp:positionV relativeFrom="paragraph">
              <wp:posOffset>43179</wp:posOffset>
            </wp:positionV>
            <wp:extent cx="5964009" cy="128587"/>
            <wp:effectExtent l="0" t="0" r="0" b="0"/>
            <wp:wrapTopAndBottom/>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33" cstate="print"/>
                    <a:stretch>
                      <a:fillRect/>
                    </a:stretch>
                  </pic:blipFill>
                  <pic:spPr>
                    <a:xfrm>
                      <a:off x="0" y="0"/>
                      <a:ext cx="5964009" cy="128587"/>
                    </a:xfrm>
                    <a:prstGeom prst="rect">
                      <a:avLst/>
                    </a:prstGeom>
                  </pic:spPr>
                </pic:pic>
              </a:graphicData>
            </a:graphic>
          </wp:anchor>
        </w:drawing>
      </w:r>
    </w:p>
    <w:p w14:paraId="4DD750D1" w14:textId="77777777" w:rsidR="00680063" w:rsidRDefault="00000000">
      <w:pPr>
        <w:spacing w:before="19" w:line="266" w:lineRule="auto"/>
        <w:ind w:left="659" w:right="790"/>
      </w:pPr>
      <w:r>
        <w:t>the same characteristics (e.g., term-to maturity, credit quality, coupon equivalent to market rate, etc.). Assume a simplified example with no existing IMR balance, where the bond supports a fixed insurance liability with the same duration as the original bond, as well as a present value of $1,000.</w:t>
      </w:r>
    </w:p>
    <w:p w14:paraId="58443F83" w14:textId="77777777" w:rsidR="00680063" w:rsidRDefault="00680063">
      <w:pPr>
        <w:pStyle w:val="BodyText"/>
        <w:spacing w:before="3"/>
        <w:rPr>
          <w:sz w:val="11"/>
        </w:rPr>
      </w:pPr>
    </w:p>
    <w:tbl>
      <w:tblPr>
        <w:tblW w:w="0" w:type="auto"/>
        <w:tblInd w:w="488"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0"/>
        <w:gridCol w:w="1349"/>
        <w:gridCol w:w="1349"/>
        <w:gridCol w:w="1368"/>
      </w:tblGrid>
      <w:tr w:rsidR="00680063" w14:paraId="7883DC4B" w14:textId="77777777">
        <w:trPr>
          <w:trHeight w:val="346"/>
        </w:trPr>
        <w:tc>
          <w:tcPr>
            <w:tcW w:w="6886" w:type="dxa"/>
            <w:gridSpan w:val="4"/>
            <w:tcBorders>
              <w:top w:val="nil"/>
              <w:left w:val="nil"/>
            </w:tcBorders>
            <w:shd w:val="clear" w:color="auto" w:fill="001F5F"/>
          </w:tcPr>
          <w:p w14:paraId="4D455968" w14:textId="77777777" w:rsidR="00680063" w:rsidRDefault="00000000">
            <w:pPr>
              <w:pStyle w:val="TableParagraph"/>
              <w:spacing w:before="44"/>
              <w:ind w:left="1600"/>
              <w:rPr>
                <w:b/>
              </w:rPr>
            </w:pPr>
            <w:r>
              <w:rPr>
                <w:b/>
                <w:color w:val="FFFFFF"/>
              </w:rPr>
              <w:t>Table</w:t>
            </w:r>
            <w:r>
              <w:rPr>
                <w:b/>
                <w:color w:val="FFFFFF"/>
                <w:spacing w:val="-3"/>
              </w:rPr>
              <w:t xml:space="preserve"> </w:t>
            </w:r>
            <w:r>
              <w:rPr>
                <w:b/>
                <w:color w:val="FFFFFF"/>
              </w:rPr>
              <w:t>1:</w:t>
            </w:r>
            <w:r>
              <w:rPr>
                <w:b/>
                <w:color w:val="FFFFFF"/>
                <w:spacing w:val="-2"/>
              </w:rPr>
              <w:t xml:space="preserve"> </w:t>
            </w:r>
            <w:r>
              <w:rPr>
                <w:b/>
                <w:color w:val="FFFFFF"/>
              </w:rPr>
              <w:t>Market</w:t>
            </w:r>
            <w:r>
              <w:rPr>
                <w:b/>
                <w:color w:val="FFFFFF"/>
                <w:spacing w:val="-5"/>
              </w:rPr>
              <w:t xml:space="preserve"> </w:t>
            </w:r>
            <w:r>
              <w:rPr>
                <w:b/>
                <w:color w:val="FFFFFF"/>
              </w:rPr>
              <w:t>Interest</w:t>
            </w:r>
            <w:r>
              <w:rPr>
                <w:b/>
                <w:color w:val="FFFFFF"/>
                <w:spacing w:val="-6"/>
              </w:rPr>
              <w:t xml:space="preserve"> </w:t>
            </w:r>
            <w:r>
              <w:rPr>
                <w:b/>
                <w:color w:val="FFFFFF"/>
              </w:rPr>
              <w:t>Rate</w:t>
            </w:r>
            <w:r>
              <w:rPr>
                <w:b/>
                <w:color w:val="FFFFFF"/>
                <w:spacing w:val="-4"/>
              </w:rPr>
              <w:t xml:space="preserve"> </w:t>
            </w:r>
            <w:r>
              <w:rPr>
                <w:b/>
                <w:color w:val="FFFFFF"/>
                <w:spacing w:val="-2"/>
              </w:rPr>
              <w:t>Scenario</w:t>
            </w:r>
          </w:p>
        </w:tc>
      </w:tr>
      <w:tr w:rsidR="00680063" w14:paraId="09E960F0" w14:textId="77777777">
        <w:trPr>
          <w:trHeight w:val="339"/>
        </w:trPr>
        <w:tc>
          <w:tcPr>
            <w:tcW w:w="2820" w:type="dxa"/>
            <w:tcBorders>
              <w:left w:val="nil"/>
            </w:tcBorders>
            <w:shd w:val="clear" w:color="auto" w:fill="001F5F"/>
          </w:tcPr>
          <w:p w14:paraId="75A73090" w14:textId="77777777" w:rsidR="00680063" w:rsidRDefault="00680063">
            <w:pPr>
              <w:pStyle w:val="TableParagraph"/>
            </w:pPr>
          </w:p>
        </w:tc>
        <w:tc>
          <w:tcPr>
            <w:tcW w:w="1349" w:type="dxa"/>
            <w:shd w:val="clear" w:color="auto" w:fill="001F5F"/>
          </w:tcPr>
          <w:p w14:paraId="29FF0651" w14:textId="77777777" w:rsidR="00680063" w:rsidRDefault="00000000">
            <w:pPr>
              <w:pStyle w:val="TableParagraph"/>
              <w:spacing w:before="37"/>
              <w:ind w:left="360" w:right="316"/>
              <w:jc w:val="center"/>
              <w:rPr>
                <w:b/>
              </w:rPr>
            </w:pPr>
            <w:r>
              <w:rPr>
                <w:b/>
                <w:color w:val="FFFFFF"/>
                <w:spacing w:val="-4"/>
              </w:rPr>
              <w:t>Same</w:t>
            </w:r>
          </w:p>
        </w:tc>
        <w:tc>
          <w:tcPr>
            <w:tcW w:w="1349" w:type="dxa"/>
            <w:shd w:val="clear" w:color="auto" w:fill="001F5F"/>
          </w:tcPr>
          <w:p w14:paraId="37A20A99" w14:textId="77777777" w:rsidR="00680063" w:rsidRDefault="00000000">
            <w:pPr>
              <w:pStyle w:val="TableParagraph"/>
              <w:spacing w:before="37"/>
              <w:ind w:left="360" w:right="317"/>
              <w:jc w:val="center"/>
              <w:rPr>
                <w:b/>
              </w:rPr>
            </w:pPr>
            <w:r>
              <w:rPr>
                <w:b/>
                <w:color w:val="FFFFFF"/>
                <w:spacing w:val="-2"/>
              </w:rPr>
              <w:t>Lower</w:t>
            </w:r>
          </w:p>
        </w:tc>
        <w:tc>
          <w:tcPr>
            <w:tcW w:w="1368" w:type="dxa"/>
            <w:tcBorders>
              <w:right w:val="nil"/>
            </w:tcBorders>
            <w:shd w:val="clear" w:color="auto" w:fill="001F5F"/>
          </w:tcPr>
          <w:p w14:paraId="5E7D59C2" w14:textId="77777777" w:rsidR="00680063" w:rsidRDefault="00000000">
            <w:pPr>
              <w:pStyle w:val="TableParagraph"/>
              <w:spacing w:before="37"/>
              <w:ind w:left="355" w:right="309"/>
              <w:jc w:val="center"/>
              <w:rPr>
                <w:b/>
              </w:rPr>
            </w:pPr>
            <w:r>
              <w:rPr>
                <w:b/>
                <w:color w:val="FFFFFF"/>
                <w:spacing w:val="-2"/>
              </w:rPr>
              <w:t>Higher</w:t>
            </w:r>
          </w:p>
        </w:tc>
      </w:tr>
      <w:tr w:rsidR="00680063" w14:paraId="24EAF341" w14:textId="77777777">
        <w:trPr>
          <w:trHeight w:val="337"/>
        </w:trPr>
        <w:tc>
          <w:tcPr>
            <w:tcW w:w="2820" w:type="dxa"/>
          </w:tcPr>
          <w:p w14:paraId="59389B85" w14:textId="77777777" w:rsidR="00680063" w:rsidRDefault="00000000">
            <w:pPr>
              <w:pStyle w:val="TableParagraph"/>
              <w:spacing w:before="37"/>
              <w:ind w:left="121"/>
            </w:pPr>
            <w:r>
              <w:rPr>
                <w:color w:val="484848"/>
              </w:rPr>
              <w:t>Market</w:t>
            </w:r>
            <w:r>
              <w:rPr>
                <w:color w:val="484848"/>
                <w:spacing w:val="-9"/>
              </w:rPr>
              <w:t xml:space="preserve"> </w:t>
            </w:r>
            <w:r>
              <w:rPr>
                <w:color w:val="484848"/>
              </w:rPr>
              <w:t>interest</w:t>
            </w:r>
            <w:r>
              <w:rPr>
                <w:color w:val="484848"/>
                <w:spacing w:val="-2"/>
              </w:rPr>
              <w:t xml:space="preserve"> </w:t>
            </w:r>
            <w:r>
              <w:rPr>
                <w:color w:val="484848"/>
                <w:spacing w:val="-4"/>
              </w:rPr>
              <w:t>rate</w:t>
            </w:r>
          </w:p>
        </w:tc>
        <w:tc>
          <w:tcPr>
            <w:tcW w:w="1349" w:type="dxa"/>
          </w:tcPr>
          <w:p w14:paraId="6BB33054" w14:textId="77777777" w:rsidR="00680063" w:rsidRDefault="00000000">
            <w:pPr>
              <w:pStyle w:val="TableParagraph"/>
              <w:spacing w:before="40"/>
              <w:ind w:left="360" w:right="314"/>
              <w:jc w:val="center"/>
            </w:pPr>
            <w:r>
              <w:rPr>
                <w:color w:val="484848"/>
                <w:spacing w:val="-5"/>
              </w:rPr>
              <w:t>3%</w:t>
            </w:r>
          </w:p>
        </w:tc>
        <w:tc>
          <w:tcPr>
            <w:tcW w:w="1349" w:type="dxa"/>
          </w:tcPr>
          <w:p w14:paraId="5451FFC0" w14:textId="77777777" w:rsidR="00680063" w:rsidRDefault="00000000">
            <w:pPr>
              <w:pStyle w:val="TableParagraph"/>
              <w:spacing w:before="40"/>
              <w:ind w:left="360" w:right="313"/>
              <w:jc w:val="center"/>
            </w:pPr>
            <w:r>
              <w:rPr>
                <w:color w:val="484848"/>
                <w:spacing w:val="-5"/>
              </w:rPr>
              <w:t>2%</w:t>
            </w:r>
          </w:p>
        </w:tc>
        <w:tc>
          <w:tcPr>
            <w:tcW w:w="1368" w:type="dxa"/>
          </w:tcPr>
          <w:p w14:paraId="68CD3EB1" w14:textId="77777777" w:rsidR="00680063" w:rsidRDefault="00000000">
            <w:pPr>
              <w:pStyle w:val="TableParagraph"/>
              <w:spacing w:before="40"/>
              <w:ind w:left="459" w:right="413"/>
              <w:jc w:val="center"/>
            </w:pPr>
            <w:r>
              <w:rPr>
                <w:color w:val="484848"/>
                <w:spacing w:val="-5"/>
              </w:rPr>
              <w:t>4%</w:t>
            </w:r>
          </w:p>
        </w:tc>
      </w:tr>
      <w:tr w:rsidR="00680063" w14:paraId="05A41CCC" w14:textId="77777777">
        <w:trPr>
          <w:trHeight w:val="343"/>
        </w:trPr>
        <w:tc>
          <w:tcPr>
            <w:tcW w:w="2820" w:type="dxa"/>
          </w:tcPr>
          <w:p w14:paraId="6482CE1E" w14:textId="77777777" w:rsidR="00680063" w:rsidRDefault="00680063">
            <w:pPr>
              <w:pStyle w:val="TableParagraph"/>
              <w:spacing w:before="9"/>
              <w:rPr>
                <w:sz w:val="8"/>
              </w:rPr>
            </w:pPr>
          </w:p>
          <w:p w14:paraId="092A3602" w14:textId="77777777" w:rsidR="00680063" w:rsidRDefault="00000000">
            <w:pPr>
              <w:pStyle w:val="TableParagraph"/>
              <w:spacing w:line="157" w:lineRule="exact"/>
              <w:ind w:left="124"/>
              <w:rPr>
                <w:sz w:val="15"/>
              </w:rPr>
            </w:pPr>
            <w:r>
              <w:rPr>
                <w:noProof/>
                <w:position w:val="-2"/>
                <w:sz w:val="15"/>
              </w:rPr>
              <w:drawing>
                <wp:inline distT="0" distB="0" distL="0" distR="0" wp14:anchorId="6F139C23" wp14:editId="5E59E8D1">
                  <wp:extent cx="1170912" cy="100012"/>
                  <wp:effectExtent l="0" t="0" r="0" b="0"/>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34" cstate="print"/>
                          <a:stretch>
                            <a:fillRect/>
                          </a:stretch>
                        </pic:blipFill>
                        <pic:spPr>
                          <a:xfrm>
                            <a:off x="0" y="0"/>
                            <a:ext cx="1170912" cy="100012"/>
                          </a:xfrm>
                          <a:prstGeom prst="rect">
                            <a:avLst/>
                          </a:prstGeom>
                        </pic:spPr>
                      </pic:pic>
                    </a:graphicData>
                  </a:graphic>
                </wp:inline>
              </w:drawing>
            </w:r>
          </w:p>
        </w:tc>
        <w:tc>
          <w:tcPr>
            <w:tcW w:w="1349" w:type="dxa"/>
          </w:tcPr>
          <w:p w14:paraId="3366ADCA" w14:textId="77777777" w:rsidR="00680063" w:rsidRDefault="00000000">
            <w:pPr>
              <w:pStyle w:val="TableParagraph"/>
              <w:spacing w:before="49"/>
              <w:ind w:left="360" w:right="315"/>
              <w:jc w:val="center"/>
            </w:pPr>
            <w:r>
              <w:rPr>
                <w:color w:val="484848"/>
                <w:spacing w:val="-2"/>
              </w:rPr>
              <w:t>$1,000</w:t>
            </w:r>
          </w:p>
        </w:tc>
        <w:tc>
          <w:tcPr>
            <w:tcW w:w="1349" w:type="dxa"/>
          </w:tcPr>
          <w:p w14:paraId="0525E7AB" w14:textId="77777777" w:rsidR="00680063" w:rsidRDefault="00000000">
            <w:pPr>
              <w:pStyle w:val="TableParagraph"/>
              <w:spacing w:before="49"/>
              <w:ind w:left="360" w:right="314"/>
              <w:jc w:val="center"/>
            </w:pPr>
            <w:r>
              <w:rPr>
                <w:color w:val="484848"/>
                <w:spacing w:val="-2"/>
              </w:rPr>
              <w:t>$1,090</w:t>
            </w:r>
          </w:p>
        </w:tc>
        <w:tc>
          <w:tcPr>
            <w:tcW w:w="1368" w:type="dxa"/>
            <w:tcBorders>
              <w:bottom w:val="single" w:sz="24" w:space="0" w:color="818181"/>
            </w:tcBorders>
          </w:tcPr>
          <w:p w14:paraId="1A3530F6" w14:textId="77777777" w:rsidR="00680063" w:rsidRDefault="00000000">
            <w:pPr>
              <w:pStyle w:val="TableParagraph"/>
              <w:spacing w:before="49"/>
              <w:ind w:left="461" w:right="413"/>
              <w:jc w:val="center"/>
            </w:pPr>
            <w:r>
              <w:rPr>
                <w:color w:val="484848"/>
                <w:spacing w:val="-4"/>
              </w:rPr>
              <w:t>$919</w:t>
            </w:r>
          </w:p>
        </w:tc>
      </w:tr>
      <w:tr w:rsidR="00680063" w14:paraId="6E9ED913" w14:textId="77777777">
        <w:trPr>
          <w:trHeight w:val="352"/>
        </w:trPr>
        <w:tc>
          <w:tcPr>
            <w:tcW w:w="2820" w:type="dxa"/>
          </w:tcPr>
          <w:p w14:paraId="03F15FE8" w14:textId="77777777" w:rsidR="00680063" w:rsidRDefault="00000000">
            <w:pPr>
              <w:pStyle w:val="TableParagraph"/>
              <w:spacing w:before="56"/>
              <w:ind w:left="121"/>
            </w:pPr>
            <w:r>
              <w:rPr>
                <w:color w:val="484848"/>
              </w:rPr>
              <w:t>Realized</w:t>
            </w:r>
            <w:r>
              <w:rPr>
                <w:color w:val="484848"/>
                <w:spacing w:val="-7"/>
              </w:rPr>
              <w:t xml:space="preserve"> </w:t>
            </w:r>
            <w:r>
              <w:rPr>
                <w:color w:val="484848"/>
              </w:rPr>
              <w:t>gain/(loss)</w:t>
            </w:r>
            <w:r>
              <w:rPr>
                <w:color w:val="484848"/>
                <w:spacing w:val="-6"/>
              </w:rPr>
              <w:t xml:space="preserve"> </w:t>
            </w:r>
            <w:r>
              <w:rPr>
                <w:color w:val="484848"/>
              </w:rPr>
              <w:t>if</w:t>
            </w:r>
            <w:r>
              <w:rPr>
                <w:color w:val="484848"/>
                <w:spacing w:val="-5"/>
              </w:rPr>
              <w:t xml:space="preserve"> </w:t>
            </w:r>
            <w:r>
              <w:rPr>
                <w:color w:val="484848"/>
                <w:spacing w:val="-4"/>
              </w:rPr>
              <w:t>sold</w:t>
            </w:r>
          </w:p>
        </w:tc>
        <w:tc>
          <w:tcPr>
            <w:tcW w:w="1349" w:type="dxa"/>
          </w:tcPr>
          <w:p w14:paraId="5DF8F7AF" w14:textId="77777777" w:rsidR="00680063" w:rsidRDefault="00000000">
            <w:pPr>
              <w:pStyle w:val="TableParagraph"/>
              <w:spacing w:before="56"/>
              <w:ind w:left="360" w:right="317"/>
              <w:jc w:val="center"/>
            </w:pPr>
            <w:r>
              <w:rPr>
                <w:color w:val="484848"/>
                <w:spacing w:val="-5"/>
              </w:rPr>
              <w:t>$0</w:t>
            </w:r>
          </w:p>
        </w:tc>
        <w:tc>
          <w:tcPr>
            <w:tcW w:w="1349" w:type="dxa"/>
            <w:tcBorders>
              <w:right w:val="single" w:sz="24" w:space="0" w:color="818181"/>
            </w:tcBorders>
          </w:tcPr>
          <w:p w14:paraId="3342DB74" w14:textId="77777777" w:rsidR="00680063" w:rsidRDefault="00000000">
            <w:pPr>
              <w:pStyle w:val="TableParagraph"/>
              <w:spacing w:before="56"/>
              <w:ind w:left="494" w:right="455"/>
              <w:jc w:val="center"/>
            </w:pPr>
            <w:r>
              <w:rPr>
                <w:color w:val="484848"/>
                <w:spacing w:val="-5"/>
              </w:rPr>
              <w:t>$90</w:t>
            </w:r>
          </w:p>
        </w:tc>
        <w:tc>
          <w:tcPr>
            <w:tcW w:w="1368" w:type="dxa"/>
            <w:tcBorders>
              <w:top w:val="single" w:sz="24" w:space="0" w:color="818181"/>
              <w:left w:val="single" w:sz="24" w:space="0" w:color="818181"/>
              <w:bottom w:val="single" w:sz="24" w:space="0" w:color="818181"/>
              <w:right w:val="single" w:sz="24" w:space="0" w:color="818181"/>
            </w:tcBorders>
          </w:tcPr>
          <w:p w14:paraId="26E9B3AE" w14:textId="77777777" w:rsidR="00680063" w:rsidRDefault="00000000">
            <w:pPr>
              <w:pStyle w:val="TableParagraph"/>
              <w:spacing w:before="56"/>
              <w:ind w:left="359" w:right="311"/>
              <w:jc w:val="center"/>
            </w:pPr>
            <w:r>
              <w:rPr>
                <w:color w:val="484848"/>
                <w:spacing w:val="-2"/>
              </w:rPr>
              <w:t>($81)*</w:t>
            </w:r>
          </w:p>
        </w:tc>
      </w:tr>
    </w:tbl>
    <w:p w14:paraId="5EFA96F3" w14:textId="77777777" w:rsidR="00680063" w:rsidRDefault="00680063">
      <w:pPr>
        <w:pStyle w:val="BodyText"/>
      </w:pPr>
    </w:p>
    <w:p w14:paraId="4E7DDB97" w14:textId="77777777" w:rsidR="00680063" w:rsidRDefault="00680063">
      <w:pPr>
        <w:pStyle w:val="BodyText"/>
      </w:pPr>
    </w:p>
    <w:p w14:paraId="4D5E1E99" w14:textId="77777777" w:rsidR="00680063" w:rsidRDefault="00680063">
      <w:pPr>
        <w:pStyle w:val="BodyText"/>
      </w:pPr>
    </w:p>
    <w:p w14:paraId="2EC8BF41" w14:textId="77777777" w:rsidR="00680063" w:rsidRDefault="00680063">
      <w:pPr>
        <w:pStyle w:val="BodyText"/>
      </w:pPr>
    </w:p>
    <w:p w14:paraId="665DFB20" w14:textId="77777777" w:rsidR="00680063" w:rsidRDefault="00680063">
      <w:pPr>
        <w:pStyle w:val="BodyText"/>
      </w:pPr>
    </w:p>
    <w:p w14:paraId="3E77E4A6" w14:textId="77777777" w:rsidR="00680063" w:rsidRDefault="00680063">
      <w:pPr>
        <w:pStyle w:val="BodyText"/>
        <w:spacing w:before="6"/>
        <w:rPr>
          <w:sz w:val="22"/>
        </w:rPr>
      </w:pPr>
    </w:p>
    <w:p w14:paraId="188B8EF8" w14:textId="77777777" w:rsidR="00680063" w:rsidRDefault="00000000">
      <w:pPr>
        <w:spacing w:line="266" w:lineRule="auto"/>
        <w:ind w:left="7886" w:right="217"/>
      </w:pPr>
      <w:r>
        <w:pict w14:anchorId="3A458EBD">
          <v:group id="docshapegroup29" o:spid="_x0000_s1034" style="position:absolute;left:0;text-align:left;margin-left:413.9pt;margin-top:-4.95pt;width:180.85pt;height:323.55pt;z-index:-16098816;mso-position-horizontal-relative:page" coordorigin="8278,-99" coordsize="3617,6471">
            <v:shape id="docshape30" o:spid="_x0000_s1038" type="#_x0000_t75" style="position:absolute;left:8690;top:-100;width:3204;height:1606">
              <v:imagedata r:id="rId35" o:title=""/>
            </v:shape>
            <v:shape id="docshape31" o:spid="_x0000_s1037" style="position:absolute;left:8280;top:330;width:432;height:144" coordorigin="8280,330" coordsize="432,144" o:spt="100" adj="0,,0" path="m8568,474r,-144l8707,400r-96,l8611,405r96,l8568,474xm8568,405r-288,l8280,400r288,l8568,405xm8707,405r-96,l8611,400r96,l8712,402r-5,3xe" fillcolor="#18b8ca" stroked="f">
              <v:stroke joinstyle="round"/>
              <v:formulas/>
              <v:path arrowok="t" o:connecttype="segments"/>
            </v:shape>
            <v:rect id="docshape32" o:spid="_x0000_s1036" style="position:absolute;left:8709;top:1448;width:3178;height:4923" stroked="f"/>
            <v:shape id="docshape33" o:spid="_x0000_s1035" style="position:absolute;left:8277;top:4064;width:432;height:120" coordorigin="8278,4065" coordsize="432,120" o:spt="100" adj="0,,0" path="m8590,4185r,-120l8700,4120r-91,l8609,4129r91,l8590,4185xm8590,4129r-312,l8278,4120r312,l8590,4129xm8700,4129r-91,l8609,4120r91,l8710,4125r-10,4xe" fillcolor="#18b8ca" stroked="f">
              <v:stroke joinstyle="round"/>
              <v:formulas/>
              <v:path arrowok="t" o:connecttype="segments"/>
            </v:shape>
            <w10:wrap anchorx="page"/>
          </v:group>
        </w:pict>
      </w:r>
      <w:r>
        <w:pict w14:anchorId="1981C952">
          <v:shape id="docshape34" o:spid="_x0000_s1033" type="#_x0000_t202" style="position:absolute;left:0;text-align:left;margin-left:435.55pt;margin-top:72.5pt;width:158.85pt;height:246pt;z-index:15745024;mso-position-horizontal-relative:page" filled="f" strokecolor="#a8a8a8" strokeweight=".72pt">
            <v:textbox inset="0,0,0,0">
              <w:txbxContent>
                <w:p w14:paraId="7EF41C2F" w14:textId="77777777" w:rsidR="00680063" w:rsidRDefault="00000000">
                  <w:pPr>
                    <w:spacing w:before="93" w:line="266" w:lineRule="auto"/>
                    <w:ind w:left="147" w:right="172"/>
                  </w:pPr>
                  <w:r>
                    <w:rPr>
                      <w:color w:val="484848"/>
                    </w:rPr>
                    <w:t>Even though the sale of the bond (and subsequent reinvestment) is non-economic, and the same income is being produced to support the</w:t>
                  </w:r>
                  <w:r>
                    <w:rPr>
                      <w:color w:val="484848"/>
                      <w:spacing w:val="40"/>
                    </w:rPr>
                    <w:t xml:space="preserve"> </w:t>
                  </w:r>
                  <w:r>
                    <w:rPr>
                      <w:color w:val="484848"/>
                    </w:rPr>
                    <w:t>liability, a negative surplus position</w:t>
                  </w:r>
                  <w:r>
                    <w:rPr>
                      <w:color w:val="484848"/>
                      <w:spacing w:val="-5"/>
                    </w:rPr>
                    <w:t xml:space="preserve"> </w:t>
                  </w:r>
                  <w:r>
                    <w:rPr>
                      <w:color w:val="484848"/>
                    </w:rPr>
                    <w:t>makes</w:t>
                  </w:r>
                  <w:r>
                    <w:rPr>
                      <w:color w:val="484848"/>
                      <w:spacing w:val="-7"/>
                    </w:rPr>
                    <w:t xml:space="preserve"> </w:t>
                  </w:r>
                  <w:r>
                    <w:rPr>
                      <w:color w:val="484848"/>
                    </w:rPr>
                    <w:t>it</w:t>
                  </w:r>
                  <w:r>
                    <w:rPr>
                      <w:color w:val="484848"/>
                      <w:spacing w:val="-5"/>
                    </w:rPr>
                    <w:t xml:space="preserve"> </w:t>
                  </w:r>
                  <w:r>
                    <w:rPr>
                      <w:color w:val="484848"/>
                    </w:rPr>
                    <w:t>appear</w:t>
                  </w:r>
                  <w:r>
                    <w:rPr>
                      <w:color w:val="484848"/>
                      <w:spacing w:val="-6"/>
                    </w:rPr>
                    <w:t xml:space="preserve"> </w:t>
                  </w:r>
                  <w:r>
                    <w:rPr>
                      <w:color w:val="484848"/>
                    </w:rPr>
                    <w:t>there</w:t>
                  </w:r>
                  <w:r>
                    <w:rPr>
                      <w:color w:val="484848"/>
                      <w:spacing w:val="-6"/>
                    </w:rPr>
                    <w:t xml:space="preserve"> </w:t>
                  </w:r>
                  <w:r>
                    <w:rPr>
                      <w:color w:val="484848"/>
                    </w:rPr>
                    <w:t>is now</w:t>
                  </w:r>
                  <w:r>
                    <w:rPr>
                      <w:color w:val="484848"/>
                      <w:spacing w:val="-3"/>
                    </w:rPr>
                    <w:t xml:space="preserve"> </w:t>
                  </w:r>
                  <w:r>
                    <w:rPr>
                      <w:color w:val="484848"/>
                    </w:rPr>
                    <w:t>a</w:t>
                  </w:r>
                  <w:r>
                    <w:rPr>
                      <w:color w:val="484848"/>
                      <w:spacing w:val="-3"/>
                    </w:rPr>
                    <w:t xml:space="preserve"> </w:t>
                  </w:r>
                  <w:r>
                    <w:rPr>
                      <w:color w:val="484848"/>
                    </w:rPr>
                    <w:t>deficiency.</w:t>
                  </w:r>
                  <w:r>
                    <w:rPr>
                      <w:color w:val="484848"/>
                      <w:spacing w:val="40"/>
                    </w:rPr>
                    <w:t xml:space="preserve"> </w:t>
                  </w:r>
                  <w:r>
                    <w:rPr>
                      <w:color w:val="484848"/>
                    </w:rPr>
                    <w:t>Allowing</w:t>
                  </w:r>
                  <w:r>
                    <w:rPr>
                      <w:color w:val="484848"/>
                      <w:spacing w:val="-2"/>
                    </w:rPr>
                    <w:t xml:space="preserve"> </w:t>
                  </w:r>
                  <w:r>
                    <w:rPr>
                      <w:color w:val="484848"/>
                    </w:rPr>
                    <w:t>the negative IMR appropriately would show no surplus impact, as</w:t>
                  </w:r>
                  <w:r>
                    <w:rPr>
                      <w:color w:val="484848"/>
                      <w:spacing w:val="-1"/>
                    </w:rPr>
                    <w:t xml:space="preserve"> </w:t>
                  </w:r>
                  <w:r>
                    <w:rPr>
                      <w:color w:val="484848"/>
                    </w:rPr>
                    <w:t>is</w:t>
                  </w:r>
                  <w:r>
                    <w:rPr>
                      <w:color w:val="484848"/>
                      <w:spacing w:val="-1"/>
                    </w:rPr>
                    <w:t xml:space="preserve"> </w:t>
                  </w:r>
                  <w:r>
                    <w:rPr>
                      <w:color w:val="484848"/>
                    </w:rPr>
                    <w:t>shown</w:t>
                  </w:r>
                  <w:r>
                    <w:rPr>
                      <w:color w:val="484848"/>
                      <w:spacing w:val="-1"/>
                    </w:rPr>
                    <w:t xml:space="preserve"> </w:t>
                  </w:r>
                  <w:r>
                    <w:rPr>
                      <w:color w:val="484848"/>
                    </w:rPr>
                    <w:t>when</w:t>
                  </w:r>
                  <w:r>
                    <w:rPr>
                      <w:color w:val="484848"/>
                      <w:spacing w:val="-1"/>
                    </w:rPr>
                    <w:t xml:space="preserve"> </w:t>
                  </w:r>
                  <w:r>
                    <w:rPr>
                      <w:color w:val="484848"/>
                    </w:rPr>
                    <w:t>a gain</w:t>
                  </w:r>
                  <w:r>
                    <w:rPr>
                      <w:color w:val="484848"/>
                      <w:spacing w:val="-3"/>
                    </w:rPr>
                    <w:t xml:space="preserve"> </w:t>
                  </w:r>
                  <w:r>
                    <w:rPr>
                      <w:color w:val="484848"/>
                    </w:rPr>
                    <w:t>occurs, as</w:t>
                  </w:r>
                  <w:r>
                    <w:rPr>
                      <w:color w:val="484848"/>
                      <w:spacing w:val="-5"/>
                    </w:rPr>
                    <w:t xml:space="preserve"> </w:t>
                  </w:r>
                  <w:r>
                    <w:rPr>
                      <w:color w:val="484848"/>
                    </w:rPr>
                    <w:t>there</w:t>
                  </w:r>
                  <w:r>
                    <w:rPr>
                      <w:color w:val="484848"/>
                      <w:spacing w:val="-4"/>
                    </w:rPr>
                    <w:t xml:space="preserve"> </w:t>
                  </w:r>
                  <w:r>
                    <w:rPr>
                      <w:color w:val="484848"/>
                    </w:rPr>
                    <w:t>is</w:t>
                  </w:r>
                  <w:r>
                    <w:rPr>
                      <w:color w:val="484848"/>
                      <w:spacing w:val="-7"/>
                    </w:rPr>
                    <w:t xml:space="preserve"> </w:t>
                  </w:r>
                  <w:r>
                    <w:rPr>
                      <w:color w:val="484848"/>
                    </w:rPr>
                    <w:t>no</w:t>
                  </w:r>
                  <w:r>
                    <w:rPr>
                      <w:color w:val="484848"/>
                      <w:spacing w:val="-5"/>
                    </w:rPr>
                    <w:t xml:space="preserve"> </w:t>
                  </w:r>
                  <w:r>
                    <w:rPr>
                      <w:color w:val="484848"/>
                    </w:rPr>
                    <w:t>change</w:t>
                  </w:r>
                  <w:r>
                    <w:rPr>
                      <w:color w:val="484848"/>
                      <w:spacing w:val="-8"/>
                    </w:rPr>
                    <w:t xml:space="preserve"> </w:t>
                  </w:r>
                  <w:r>
                    <w:rPr>
                      <w:color w:val="484848"/>
                    </w:rPr>
                    <w:t>in</w:t>
                  </w:r>
                  <w:r>
                    <w:rPr>
                      <w:color w:val="484848"/>
                      <w:spacing w:val="-7"/>
                    </w:rPr>
                    <w:t xml:space="preserve"> </w:t>
                  </w:r>
                  <w:r>
                    <w:rPr>
                      <w:color w:val="484848"/>
                    </w:rPr>
                    <w:t>reported reserve liabilities.</w:t>
                  </w:r>
                </w:p>
                <w:p w14:paraId="75EA2F08" w14:textId="77777777" w:rsidR="00680063" w:rsidRDefault="00000000">
                  <w:pPr>
                    <w:spacing w:line="264" w:lineRule="auto"/>
                    <w:ind w:left="147" w:right="97"/>
                  </w:pPr>
                  <w:r>
                    <w:rPr>
                      <w:color w:val="484848"/>
                    </w:rPr>
                    <w:t>Appropriately consistent financial</w:t>
                  </w:r>
                  <w:r>
                    <w:rPr>
                      <w:color w:val="484848"/>
                      <w:spacing w:val="-12"/>
                    </w:rPr>
                    <w:t xml:space="preserve"> </w:t>
                  </w:r>
                  <w:r>
                    <w:rPr>
                      <w:color w:val="484848"/>
                    </w:rPr>
                    <w:t>results</w:t>
                  </w:r>
                  <w:r>
                    <w:rPr>
                      <w:color w:val="484848"/>
                      <w:spacing w:val="-12"/>
                    </w:rPr>
                    <w:t xml:space="preserve"> </w:t>
                  </w:r>
                  <w:r>
                    <w:rPr>
                      <w:color w:val="484848"/>
                    </w:rPr>
                    <w:t>require</w:t>
                  </w:r>
                  <w:r>
                    <w:rPr>
                      <w:color w:val="484848"/>
                      <w:spacing w:val="-11"/>
                    </w:rPr>
                    <w:t xml:space="preserve"> </w:t>
                  </w:r>
                  <w:r>
                    <w:rPr>
                      <w:color w:val="484848"/>
                    </w:rPr>
                    <w:t>the allowance</w:t>
                  </w:r>
                  <w:r>
                    <w:rPr>
                      <w:color w:val="484848"/>
                      <w:spacing w:val="-7"/>
                    </w:rPr>
                    <w:t xml:space="preserve"> </w:t>
                  </w:r>
                  <w:r>
                    <w:rPr>
                      <w:color w:val="484848"/>
                    </w:rPr>
                    <w:t>of</w:t>
                  </w:r>
                  <w:r>
                    <w:rPr>
                      <w:color w:val="484848"/>
                      <w:spacing w:val="-2"/>
                    </w:rPr>
                    <w:t xml:space="preserve"> </w:t>
                  </w:r>
                  <w:r>
                    <w:rPr>
                      <w:color w:val="484848"/>
                    </w:rPr>
                    <w:t>negative</w:t>
                  </w:r>
                  <w:r>
                    <w:rPr>
                      <w:color w:val="484848"/>
                      <w:spacing w:val="-4"/>
                    </w:rPr>
                    <w:t xml:space="preserve"> </w:t>
                  </w:r>
                  <w:r>
                    <w:rPr>
                      <w:color w:val="484848"/>
                      <w:spacing w:val="-5"/>
                    </w:rPr>
                    <w:t>IMR</w:t>
                  </w:r>
                </w:p>
              </w:txbxContent>
            </v:textbox>
            <w10:wrap anchorx="page"/>
          </v:shape>
        </w:pict>
      </w:r>
      <w:r>
        <w:pict w14:anchorId="23150E68">
          <v:shape id="docshape35" o:spid="_x0000_s1032" type="#_x0000_t202" style="position:absolute;left:0;text-align:left;margin-left:70.5pt;margin-top:-54.15pt;width:347.4pt;height:87.85pt;z-index:15745536;mso-position-horizontal-relative:page"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6"/>
                    <w:gridCol w:w="1352"/>
                    <w:gridCol w:w="1353"/>
                    <w:gridCol w:w="1353"/>
                  </w:tblGrid>
                  <w:tr w:rsidR="00680063" w14:paraId="05F39B73" w14:textId="77777777">
                    <w:trPr>
                      <w:trHeight w:val="382"/>
                    </w:trPr>
                    <w:tc>
                      <w:tcPr>
                        <w:tcW w:w="6884" w:type="dxa"/>
                        <w:gridSpan w:val="4"/>
                        <w:tcBorders>
                          <w:top w:val="nil"/>
                          <w:left w:val="nil"/>
                          <w:right w:val="single" w:sz="12" w:space="0" w:color="484848"/>
                        </w:tcBorders>
                        <w:shd w:val="clear" w:color="auto" w:fill="001F5F"/>
                      </w:tcPr>
                      <w:p w14:paraId="1443BE98" w14:textId="77777777" w:rsidR="00680063" w:rsidRDefault="00000000">
                        <w:pPr>
                          <w:pStyle w:val="TableParagraph"/>
                          <w:spacing w:before="63"/>
                          <w:ind w:left="1666"/>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Statutory</w:t>
                        </w:r>
                        <w:r>
                          <w:rPr>
                            <w:b/>
                            <w:color w:val="FFFFFF"/>
                            <w:spacing w:val="-5"/>
                          </w:rPr>
                          <w:t xml:space="preserve"> </w:t>
                        </w:r>
                        <w:r>
                          <w:rPr>
                            <w:b/>
                            <w:color w:val="FFFFFF"/>
                          </w:rPr>
                          <w:t>Investment</w:t>
                        </w:r>
                        <w:r>
                          <w:rPr>
                            <w:b/>
                            <w:color w:val="FFFFFF"/>
                            <w:spacing w:val="-8"/>
                          </w:rPr>
                          <w:t xml:space="preserve"> </w:t>
                        </w:r>
                        <w:r>
                          <w:rPr>
                            <w:b/>
                            <w:color w:val="FFFFFF"/>
                            <w:spacing w:val="-2"/>
                          </w:rPr>
                          <w:t>Income</w:t>
                        </w:r>
                      </w:p>
                    </w:tc>
                  </w:tr>
                  <w:tr w:rsidR="00680063" w14:paraId="3070F32D" w14:textId="77777777">
                    <w:trPr>
                      <w:trHeight w:val="375"/>
                    </w:trPr>
                    <w:tc>
                      <w:tcPr>
                        <w:tcW w:w="2826" w:type="dxa"/>
                      </w:tcPr>
                      <w:p w14:paraId="6D9F302A" w14:textId="77777777" w:rsidR="00680063" w:rsidRDefault="00000000">
                        <w:pPr>
                          <w:pStyle w:val="TableParagraph"/>
                          <w:spacing w:before="57"/>
                          <w:ind w:left="130"/>
                        </w:pPr>
                        <w:r>
                          <w:rPr>
                            <w:color w:val="484848"/>
                          </w:rPr>
                          <w:t>IMR</w:t>
                        </w:r>
                        <w:r>
                          <w:rPr>
                            <w:color w:val="484848"/>
                            <w:spacing w:val="-5"/>
                          </w:rPr>
                          <w:t xml:space="preserve"> </w:t>
                        </w:r>
                        <w:r>
                          <w:rPr>
                            <w:color w:val="484848"/>
                            <w:spacing w:val="-2"/>
                          </w:rPr>
                          <w:t>amortization</w:t>
                        </w:r>
                      </w:p>
                    </w:tc>
                    <w:tc>
                      <w:tcPr>
                        <w:tcW w:w="1352" w:type="dxa"/>
                      </w:tcPr>
                      <w:p w14:paraId="0F07AD9A" w14:textId="77777777" w:rsidR="00680063" w:rsidRDefault="00000000">
                        <w:pPr>
                          <w:pStyle w:val="TableParagraph"/>
                          <w:spacing w:before="59"/>
                          <w:ind w:left="512" w:right="452"/>
                          <w:jc w:val="center"/>
                        </w:pPr>
                        <w:r>
                          <w:rPr>
                            <w:color w:val="484848"/>
                            <w:spacing w:val="-5"/>
                          </w:rPr>
                          <w:t>$0</w:t>
                        </w:r>
                      </w:p>
                    </w:tc>
                    <w:tc>
                      <w:tcPr>
                        <w:tcW w:w="1353" w:type="dxa"/>
                      </w:tcPr>
                      <w:p w14:paraId="349BA79D" w14:textId="77777777" w:rsidR="00680063" w:rsidRDefault="00000000">
                        <w:pPr>
                          <w:pStyle w:val="TableParagraph"/>
                          <w:spacing w:before="59"/>
                          <w:ind w:left="366" w:right="307"/>
                          <w:jc w:val="center"/>
                        </w:pPr>
                        <w:r>
                          <w:rPr>
                            <w:color w:val="484848"/>
                            <w:spacing w:val="-5"/>
                          </w:rPr>
                          <w:t>$9</w:t>
                        </w:r>
                      </w:p>
                    </w:tc>
                    <w:tc>
                      <w:tcPr>
                        <w:tcW w:w="1353" w:type="dxa"/>
                      </w:tcPr>
                      <w:p w14:paraId="527A147D" w14:textId="77777777" w:rsidR="00680063" w:rsidRDefault="00000000">
                        <w:pPr>
                          <w:pStyle w:val="TableParagraph"/>
                          <w:spacing w:before="59"/>
                          <w:ind w:left="366" w:right="296"/>
                          <w:jc w:val="center"/>
                        </w:pPr>
                        <w:r>
                          <w:rPr>
                            <w:color w:val="484848"/>
                            <w:spacing w:val="-4"/>
                          </w:rPr>
                          <w:t>($8)</w:t>
                        </w:r>
                      </w:p>
                    </w:tc>
                  </w:tr>
                  <w:tr w:rsidR="00680063" w14:paraId="475CECEC" w14:textId="77777777">
                    <w:trPr>
                      <w:trHeight w:val="399"/>
                    </w:trPr>
                    <w:tc>
                      <w:tcPr>
                        <w:tcW w:w="2826" w:type="dxa"/>
                      </w:tcPr>
                      <w:p w14:paraId="782DD12C" w14:textId="77777777" w:rsidR="00680063" w:rsidRDefault="00000000">
                        <w:pPr>
                          <w:pStyle w:val="TableParagraph"/>
                          <w:spacing w:before="73"/>
                          <w:ind w:left="130"/>
                        </w:pPr>
                        <w:r>
                          <w:rPr>
                            <w:color w:val="484848"/>
                          </w:rPr>
                          <w:t>Interest</w:t>
                        </w:r>
                        <w:r>
                          <w:rPr>
                            <w:color w:val="484848"/>
                            <w:spacing w:val="-5"/>
                          </w:rPr>
                          <w:t xml:space="preserve"> </w:t>
                        </w:r>
                        <w:r>
                          <w:rPr>
                            <w:color w:val="484848"/>
                          </w:rPr>
                          <w:t>income</w:t>
                        </w:r>
                        <w:r>
                          <w:rPr>
                            <w:color w:val="484848"/>
                            <w:spacing w:val="-4"/>
                          </w:rPr>
                          <w:t xml:space="preserve"> </w:t>
                        </w:r>
                        <w:r>
                          <w:rPr>
                            <w:color w:val="484848"/>
                          </w:rPr>
                          <w:t>on</w:t>
                        </w:r>
                        <w:r>
                          <w:rPr>
                            <w:color w:val="484848"/>
                            <w:spacing w:val="-1"/>
                          </w:rPr>
                          <w:t xml:space="preserve"> </w:t>
                        </w:r>
                        <w:r>
                          <w:rPr>
                            <w:color w:val="484848"/>
                          </w:rPr>
                          <w:t>new</w:t>
                        </w:r>
                        <w:r>
                          <w:rPr>
                            <w:color w:val="484848"/>
                            <w:spacing w:val="-1"/>
                          </w:rPr>
                          <w:t xml:space="preserve"> </w:t>
                        </w:r>
                        <w:r>
                          <w:rPr>
                            <w:color w:val="484848"/>
                            <w:spacing w:val="-4"/>
                          </w:rPr>
                          <w:t>bond</w:t>
                        </w:r>
                      </w:p>
                    </w:tc>
                    <w:tc>
                      <w:tcPr>
                        <w:tcW w:w="1352" w:type="dxa"/>
                        <w:tcBorders>
                          <w:bottom w:val="single" w:sz="36" w:space="0" w:color="929292"/>
                        </w:tcBorders>
                      </w:tcPr>
                      <w:p w14:paraId="10BE7E4C" w14:textId="77777777" w:rsidR="00680063" w:rsidRDefault="00000000">
                        <w:pPr>
                          <w:pStyle w:val="TableParagraph"/>
                          <w:spacing w:before="73"/>
                          <w:ind w:left="515" w:right="452"/>
                          <w:jc w:val="center"/>
                        </w:pPr>
                        <w:r>
                          <w:rPr>
                            <w:color w:val="484848"/>
                            <w:spacing w:val="-5"/>
                          </w:rPr>
                          <w:t>$30</w:t>
                        </w:r>
                      </w:p>
                    </w:tc>
                    <w:tc>
                      <w:tcPr>
                        <w:tcW w:w="1353" w:type="dxa"/>
                        <w:tcBorders>
                          <w:bottom w:val="single" w:sz="36" w:space="0" w:color="929292"/>
                        </w:tcBorders>
                      </w:tcPr>
                      <w:p w14:paraId="76FFE014" w14:textId="77777777" w:rsidR="00680063" w:rsidRDefault="00000000">
                        <w:pPr>
                          <w:pStyle w:val="TableParagraph"/>
                          <w:spacing w:before="73"/>
                          <w:ind w:left="366" w:right="305"/>
                          <w:jc w:val="center"/>
                        </w:pPr>
                        <w:r>
                          <w:rPr>
                            <w:color w:val="484848"/>
                            <w:spacing w:val="-5"/>
                          </w:rPr>
                          <w:t>$21</w:t>
                        </w:r>
                      </w:p>
                    </w:tc>
                    <w:tc>
                      <w:tcPr>
                        <w:tcW w:w="1353" w:type="dxa"/>
                        <w:tcBorders>
                          <w:bottom w:val="single" w:sz="36" w:space="0" w:color="929292"/>
                        </w:tcBorders>
                      </w:tcPr>
                      <w:p w14:paraId="5144617E" w14:textId="77777777" w:rsidR="00680063" w:rsidRDefault="00000000">
                        <w:pPr>
                          <w:pStyle w:val="TableParagraph"/>
                          <w:spacing w:before="73"/>
                          <w:ind w:left="366" w:right="294"/>
                          <w:jc w:val="center"/>
                        </w:pPr>
                        <w:r>
                          <w:rPr>
                            <w:color w:val="484848"/>
                            <w:spacing w:val="-5"/>
                          </w:rPr>
                          <w:t>$38</w:t>
                        </w:r>
                      </w:p>
                    </w:tc>
                  </w:tr>
                  <w:tr w:rsidR="00680063" w14:paraId="6E66A4F2" w14:textId="77777777">
                    <w:trPr>
                      <w:trHeight w:val="361"/>
                    </w:trPr>
                    <w:tc>
                      <w:tcPr>
                        <w:tcW w:w="2826" w:type="dxa"/>
                        <w:tcBorders>
                          <w:right w:val="single" w:sz="36" w:space="0" w:color="929292"/>
                        </w:tcBorders>
                      </w:tcPr>
                      <w:p w14:paraId="52FA04E2" w14:textId="77777777" w:rsidR="00680063" w:rsidRDefault="00000000">
                        <w:pPr>
                          <w:pStyle w:val="TableParagraph"/>
                          <w:spacing w:before="49"/>
                          <w:ind w:left="100"/>
                        </w:pPr>
                        <w:r>
                          <w:rPr>
                            <w:color w:val="484848"/>
                          </w:rPr>
                          <w:t>Total</w:t>
                        </w:r>
                        <w:r>
                          <w:rPr>
                            <w:color w:val="484848"/>
                            <w:spacing w:val="-3"/>
                          </w:rPr>
                          <w:t xml:space="preserve"> </w:t>
                        </w:r>
                        <w:r>
                          <w:rPr>
                            <w:color w:val="484848"/>
                          </w:rPr>
                          <w:t>annual</w:t>
                        </w:r>
                        <w:r>
                          <w:rPr>
                            <w:color w:val="484848"/>
                            <w:spacing w:val="-4"/>
                          </w:rPr>
                          <w:t xml:space="preserve"> </w:t>
                        </w:r>
                        <w:r>
                          <w:rPr>
                            <w:color w:val="484848"/>
                          </w:rPr>
                          <w:t>stat</w:t>
                        </w:r>
                        <w:r>
                          <w:rPr>
                            <w:color w:val="484848"/>
                            <w:spacing w:val="-4"/>
                          </w:rPr>
                          <w:t xml:space="preserve"> </w:t>
                        </w:r>
                        <w:r>
                          <w:rPr>
                            <w:color w:val="484848"/>
                            <w:spacing w:val="-2"/>
                          </w:rPr>
                          <w:t>income</w:t>
                        </w:r>
                      </w:p>
                    </w:tc>
                    <w:tc>
                      <w:tcPr>
                        <w:tcW w:w="1352" w:type="dxa"/>
                        <w:tcBorders>
                          <w:top w:val="single" w:sz="36" w:space="0" w:color="929292"/>
                          <w:left w:val="single" w:sz="36" w:space="0" w:color="929292"/>
                          <w:bottom w:val="single" w:sz="36" w:space="0" w:color="929292"/>
                        </w:tcBorders>
                        <w:shd w:val="clear" w:color="auto" w:fill="85BC2F"/>
                      </w:tcPr>
                      <w:p w14:paraId="5C9A2233" w14:textId="77777777" w:rsidR="00680063" w:rsidRDefault="00000000">
                        <w:pPr>
                          <w:pStyle w:val="TableParagraph"/>
                          <w:spacing w:before="49"/>
                          <w:ind w:left="507" w:right="429"/>
                          <w:jc w:val="center"/>
                        </w:pPr>
                        <w:r>
                          <w:rPr>
                            <w:color w:val="484848"/>
                            <w:spacing w:val="-5"/>
                          </w:rPr>
                          <w:t>$30</w:t>
                        </w:r>
                      </w:p>
                    </w:tc>
                    <w:tc>
                      <w:tcPr>
                        <w:tcW w:w="1353" w:type="dxa"/>
                        <w:tcBorders>
                          <w:top w:val="single" w:sz="36" w:space="0" w:color="929292"/>
                          <w:bottom w:val="single" w:sz="36" w:space="0" w:color="929292"/>
                        </w:tcBorders>
                        <w:shd w:val="clear" w:color="auto" w:fill="85BC2F"/>
                      </w:tcPr>
                      <w:p w14:paraId="201EDF0A" w14:textId="77777777" w:rsidR="00680063" w:rsidRDefault="00000000">
                        <w:pPr>
                          <w:pStyle w:val="TableParagraph"/>
                          <w:spacing w:before="49"/>
                          <w:ind w:left="366" w:right="310"/>
                          <w:jc w:val="center"/>
                        </w:pPr>
                        <w:r>
                          <w:rPr>
                            <w:color w:val="484848"/>
                            <w:spacing w:val="-5"/>
                          </w:rPr>
                          <w:t>$30</w:t>
                        </w:r>
                      </w:p>
                    </w:tc>
                    <w:tc>
                      <w:tcPr>
                        <w:tcW w:w="1353" w:type="dxa"/>
                        <w:tcBorders>
                          <w:top w:val="single" w:sz="36" w:space="0" w:color="929292"/>
                          <w:bottom w:val="single" w:sz="36" w:space="0" w:color="929292"/>
                          <w:right w:val="single" w:sz="36" w:space="0" w:color="929292"/>
                        </w:tcBorders>
                        <w:shd w:val="clear" w:color="auto" w:fill="85BC2F"/>
                      </w:tcPr>
                      <w:p w14:paraId="5B5F344F" w14:textId="77777777" w:rsidR="00680063" w:rsidRDefault="00000000">
                        <w:pPr>
                          <w:pStyle w:val="TableParagraph"/>
                          <w:spacing w:before="49"/>
                          <w:ind w:left="362" w:right="309"/>
                          <w:jc w:val="center"/>
                        </w:pPr>
                        <w:r>
                          <w:rPr>
                            <w:color w:val="484848"/>
                            <w:spacing w:val="-5"/>
                          </w:rPr>
                          <w:t>$30</w:t>
                        </w:r>
                      </w:p>
                    </w:tc>
                  </w:tr>
                </w:tbl>
                <w:p w14:paraId="72D2C77B" w14:textId="77777777" w:rsidR="00680063" w:rsidRDefault="00680063">
                  <w:pPr>
                    <w:pStyle w:val="BodyText"/>
                  </w:pPr>
                </w:p>
              </w:txbxContent>
            </v:textbox>
            <w10:wrap anchorx="page"/>
          </v:shape>
        </w:pict>
      </w:r>
      <w:r>
        <w:pict w14:anchorId="79D6676C">
          <v:shape id="docshape36" o:spid="_x0000_s1031" type="#_x0000_t202" style="position:absolute;left:0;text-align:left;margin-left:70.9pt;margin-top:61.35pt;width:346.6pt;height:153.7pt;z-index:15746048;mso-position-horizontal-relative:page"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7"/>
                    <w:gridCol w:w="1351"/>
                    <w:gridCol w:w="1353"/>
                    <w:gridCol w:w="1353"/>
                  </w:tblGrid>
                  <w:tr w:rsidR="00680063" w14:paraId="67F8A0EE" w14:textId="77777777">
                    <w:trPr>
                      <w:trHeight w:val="382"/>
                    </w:trPr>
                    <w:tc>
                      <w:tcPr>
                        <w:tcW w:w="6884" w:type="dxa"/>
                        <w:gridSpan w:val="4"/>
                        <w:tcBorders>
                          <w:top w:val="nil"/>
                          <w:left w:val="nil"/>
                          <w:right w:val="single" w:sz="12" w:space="0" w:color="484848"/>
                        </w:tcBorders>
                        <w:shd w:val="clear" w:color="auto" w:fill="001F5F"/>
                      </w:tcPr>
                      <w:p w14:paraId="5A436EA5" w14:textId="77777777" w:rsidR="00680063" w:rsidRDefault="00000000">
                        <w:pPr>
                          <w:pStyle w:val="TableParagraph"/>
                          <w:spacing w:before="65"/>
                          <w:ind w:left="1902"/>
                          <w:rPr>
                            <w:b/>
                          </w:rPr>
                        </w:pPr>
                        <w:r>
                          <w:rPr>
                            <w:b/>
                            <w:color w:val="FFFFFF"/>
                          </w:rPr>
                          <w:t>Table</w:t>
                        </w:r>
                        <w:r>
                          <w:rPr>
                            <w:b/>
                            <w:color w:val="FFFFFF"/>
                            <w:spacing w:val="-5"/>
                          </w:rPr>
                          <w:t xml:space="preserve"> </w:t>
                        </w:r>
                        <w:r>
                          <w:rPr>
                            <w:b/>
                            <w:color w:val="FFFFFF"/>
                          </w:rPr>
                          <w:t>3:</w:t>
                        </w:r>
                        <w:r>
                          <w:rPr>
                            <w:b/>
                            <w:color w:val="FFFFFF"/>
                            <w:spacing w:val="-4"/>
                          </w:rPr>
                          <w:t xml:space="preserve"> </w:t>
                        </w:r>
                        <w:r>
                          <w:rPr>
                            <w:b/>
                            <w:color w:val="FFFFFF"/>
                          </w:rPr>
                          <w:t>Statutory</w:t>
                        </w:r>
                        <w:r>
                          <w:rPr>
                            <w:b/>
                            <w:color w:val="FFFFFF"/>
                            <w:spacing w:val="-5"/>
                          </w:rPr>
                          <w:t xml:space="preserve"> </w:t>
                        </w:r>
                        <w:r>
                          <w:rPr>
                            <w:b/>
                            <w:color w:val="FFFFFF"/>
                          </w:rPr>
                          <w:t>Balance</w:t>
                        </w:r>
                        <w:r>
                          <w:rPr>
                            <w:b/>
                            <w:color w:val="FFFFFF"/>
                            <w:spacing w:val="-7"/>
                          </w:rPr>
                          <w:t xml:space="preserve"> </w:t>
                        </w:r>
                        <w:r>
                          <w:rPr>
                            <w:b/>
                            <w:color w:val="FFFFFF"/>
                            <w:spacing w:val="-4"/>
                          </w:rPr>
                          <w:t>Sheet</w:t>
                        </w:r>
                      </w:p>
                    </w:tc>
                  </w:tr>
                  <w:tr w:rsidR="00680063" w14:paraId="75012540" w14:textId="77777777">
                    <w:trPr>
                      <w:trHeight w:val="358"/>
                    </w:trPr>
                    <w:tc>
                      <w:tcPr>
                        <w:tcW w:w="2827" w:type="dxa"/>
                      </w:tcPr>
                      <w:p w14:paraId="4842C75E" w14:textId="77777777" w:rsidR="00680063" w:rsidRDefault="00000000">
                        <w:pPr>
                          <w:pStyle w:val="TableParagraph"/>
                          <w:spacing w:before="59"/>
                          <w:ind w:left="20"/>
                        </w:pPr>
                        <w:r>
                          <w:rPr>
                            <w:color w:val="484848"/>
                          </w:rPr>
                          <w:t>Balance</w:t>
                        </w:r>
                        <w:r>
                          <w:rPr>
                            <w:color w:val="484848"/>
                            <w:spacing w:val="-5"/>
                          </w:rPr>
                          <w:t xml:space="preserve"> </w:t>
                        </w:r>
                        <w:r>
                          <w:rPr>
                            <w:color w:val="484848"/>
                          </w:rPr>
                          <w:t>Sheet</w:t>
                        </w:r>
                        <w:r>
                          <w:rPr>
                            <w:color w:val="484848"/>
                            <w:spacing w:val="-1"/>
                          </w:rPr>
                          <w:t xml:space="preserve"> </w:t>
                        </w:r>
                        <w:r>
                          <w:rPr>
                            <w:color w:val="484848"/>
                            <w:spacing w:val="-4"/>
                          </w:rPr>
                          <w:t>Bonds</w:t>
                        </w:r>
                      </w:p>
                    </w:tc>
                    <w:tc>
                      <w:tcPr>
                        <w:tcW w:w="1351" w:type="dxa"/>
                      </w:tcPr>
                      <w:p w14:paraId="44E7331F" w14:textId="77777777" w:rsidR="00680063" w:rsidRDefault="00000000">
                        <w:pPr>
                          <w:pStyle w:val="TableParagraph"/>
                          <w:spacing w:before="61"/>
                          <w:ind w:left="365" w:right="320"/>
                          <w:jc w:val="center"/>
                        </w:pPr>
                        <w:r>
                          <w:rPr>
                            <w:spacing w:val="-2"/>
                          </w:rPr>
                          <w:t>$1,000</w:t>
                        </w:r>
                      </w:p>
                    </w:tc>
                    <w:tc>
                      <w:tcPr>
                        <w:tcW w:w="1353" w:type="dxa"/>
                      </w:tcPr>
                      <w:p w14:paraId="74A0FB29" w14:textId="77777777" w:rsidR="00680063" w:rsidRDefault="00000000">
                        <w:pPr>
                          <w:pStyle w:val="TableParagraph"/>
                          <w:spacing w:before="61"/>
                          <w:ind w:left="362" w:right="318"/>
                          <w:jc w:val="center"/>
                        </w:pPr>
                        <w:r>
                          <w:rPr>
                            <w:color w:val="484848"/>
                            <w:spacing w:val="-2"/>
                          </w:rPr>
                          <w:t>$1,090</w:t>
                        </w:r>
                      </w:p>
                    </w:tc>
                    <w:tc>
                      <w:tcPr>
                        <w:tcW w:w="1353" w:type="dxa"/>
                        <w:tcBorders>
                          <w:bottom w:val="single" w:sz="24" w:space="0" w:color="818181"/>
                        </w:tcBorders>
                      </w:tcPr>
                      <w:p w14:paraId="5ED037FF" w14:textId="77777777" w:rsidR="00680063" w:rsidRDefault="00000000">
                        <w:pPr>
                          <w:pStyle w:val="TableParagraph"/>
                          <w:spacing w:before="61"/>
                          <w:ind w:left="366" w:right="313"/>
                          <w:jc w:val="center"/>
                        </w:pPr>
                        <w:r>
                          <w:rPr>
                            <w:spacing w:val="-4"/>
                          </w:rPr>
                          <w:t>$919</w:t>
                        </w:r>
                      </w:p>
                    </w:tc>
                  </w:tr>
                  <w:tr w:rsidR="00680063" w14:paraId="0AAFB52D" w14:textId="77777777">
                    <w:trPr>
                      <w:trHeight w:val="413"/>
                    </w:trPr>
                    <w:tc>
                      <w:tcPr>
                        <w:tcW w:w="2827" w:type="dxa"/>
                      </w:tcPr>
                      <w:p w14:paraId="47FEEC81" w14:textId="77777777" w:rsidR="00680063" w:rsidRDefault="00000000">
                        <w:pPr>
                          <w:pStyle w:val="TableParagraph"/>
                          <w:spacing w:before="87"/>
                          <w:ind w:left="20"/>
                        </w:pPr>
                        <w:r>
                          <w:rPr>
                            <w:color w:val="484848"/>
                            <w:spacing w:val="-5"/>
                          </w:rPr>
                          <w:t>IMR</w:t>
                        </w:r>
                      </w:p>
                    </w:tc>
                    <w:tc>
                      <w:tcPr>
                        <w:tcW w:w="1351" w:type="dxa"/>
                        <w:tcBorders>
                          <w:bottom w:val="single" w:sz="36" w:space="0" w:color="929292"/>
                        </w:tcBorders>
                      </w:tcPr>
                      <w:p w14:paraId="19C3EC34" w14:textId="77777777" w:rsidR="00680063" w:rsidRDefault="00000000">
                        <w:pPr>
                          <w:pStyle w:val="TableParagraph"/>
                          <w:spacing w:before="87"/>
                          <w:ind w:left="362" w:right="321"/>
                          <w:jc w:val="center"/>
                        </w:pPr>
                        <w:r>
                          <w:rPr>
                            <w:color w:val="484848"/>
                            <w:spacing w:val="-5"/>
                          </w:rPr>
                          <w:t>$0</w:t>
                        </w:r>
                      </w:p>
                    </w:tc>
                    <w:tc>
                      <w:tcPr>
                        <w:tcW w:w="1353" w:type="dxa"/>
                        <w:tcBorders>
                          <w:bottom w:val="single" w:sz="36" w:space="0" w:color="929292"/>
                          <w:right w:val="single" w:sz="24" w:space="0" w:color="818181"/>
                        </w:tcBorders>
                      </w:tcPr>
                      <w:p w14:paraId="0C494A7B" w14:textId="77777777" w:rsidR="00680063" w:rsidRDefault="00000000">
                        <w:pPr>
                          <w:pStyle w:val="TableParagraph"/>
                          <w:spacing w:before="87"/>
                          <w:ind w:left="357" w:right="316"/>
                          <w:jc w:val="center"/>
                        </w:pPr>
                        <w:r>
                          <w:rPr>
                            <w:color w:val="484848"/>
                            <w:spacing w:val="-2"/>
                          </w:rPr>
                          <w:t>($90)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2BAFE03" w14:textId="77777777" w:rsidR="00680063" w:rsidRDefault="00000000">
                        <w:pPr>
                          <w:pStyle w:val="TableParagraph"/>
                          <w:spacing w:before="87"/>
                          <w:ind w:left="360" w:right="315"/>
                          <w:jc w:val="center"/>
                        </w:pPr>
                        <w:r>
                          <w:rPr>
                            <w:color w:val="FFFFFF"/>
                            <w:spacing w:val="-5"/>
                          </w:rPr>
                          <w:t>$0*</w:t>
                        </w:r>
                      </w:p>
                    </w:tc>
                  </w:tr>
                  <w:tr w:rsidR="00680063" w14:paraId="3C221375" w14:textId="77777777">
                    <w:trPr>
                      <w:trHeight w:val="370"/>
                    </w:trPr>
                    <w:tc>
                      <w:tcPr>
                        <w:tcW w:w="2827" w:type="dxa"/>
                      </w:tcPr>
                      <w:p w14:paraId="11C62B09" w14:textId="77777777" w:rsidR="00680063" w:rsidRDefault="00000000">
                        <w:pPr>
                          <w:pStyle w:val="TableParagraph"/>
                          <w:spacing w:before="49"/>
                          <w:ind w:left="76"/>
                        </w:pPr>
                        <w:r>
                          <w:rPr>
                            <w:color w:val="484848"/>
                          </w:rPr>
                          <w:t>Stat</w:t>
                        </w:r>
                        <w:r>
                          <w:rPr>
                            <w:color w:val="484848"/>
                            <w:spacing w:val="-4"/>
                          </w:rPr>
                          <w:t xml:space="preserve"> </w:t>
                        </w:r>
                        <w:r>
                          <w:rPr>
                            <w:color w:val="484848"/>
                          </w:rPr>
                          <w:t>assets</w:t>
                        </w:r>
                        <w:r>
                          <w:rPr>
                            <w:color w:val="484848"/>
                            <w:spacing w:val="-1"/>
                          </w:rPr>
                          <w:t xml:space="preserve"> </w:t>
                        </w:r>
                        <w:r>
                          <w:rPr>
                            <w:color w:val="484848"/>
                          </w:rPr>
                          <w:t>net</w:t>
                        </w:r>
                        <w:r>
                          <w:rPr>
                            <w:color w:val="484848"/>
                            <w:spacing w:val="-1"/>
                          </w:rPr>
                          <w:t xml:space="preserve"> </w:t>
                        </w:r>
                        <w:r>
                          <w:rPr>
                            <w:color w:val="484848"/>
                          </w:rPr>
                          <w:t>of</w:t>
                        </w:r>
                        <w:r>
                          <w:rPr>
                            <w:color w:val="484848"/>
                            <w:spacing w:val="-4"/>
                          </w:rPr>
                          <w:t xml:space="preserve"> </w:t>
                        </w:r>
                        <w:r>
                          <w:rPr>
                            <w:color w:val="484848"/>
                            <w:spacing w:val="-5"/>
                          </w:rPr>
                          <w:t>IMR</w:t>
                        </w:r>
                      </w:p>
                    </w:tc>
                    <w:tc>
                      <w:tcPr>
                        <w:tcW w:w="1351" w:type="dxa"/>
                        <w:tcBorders>
                          <w:top w:val="single" w:sz="36" w:space="0" w:color="929292"/>
                          <w:bottom w:val="single" w:sz="12" w:space="0" w:color="C9C9C9"/>
                        </w:tcBorders>
                      </w:tcPr>
                      <w:p w14:paraId="7A6DA7C5" w14:textId="77777777" w:rsidR="00680063" w:rsidRDefault="00000000">
                        <w:pPr>
                          <w:pStyle w:val="TableParagraph"/>
                          <w:spacing w:before="49"/>
                          <w:ind w:left="364" w:right="321"/>
                          <w:jc w:val="center"/>
                        </w:pPr>
                        <w:r>
                          <w:rPr>
                            <w:color w:val="484848"/>
                            <w:spacing w:val="-2"/>
                          </w:rPr>
                          <w:t>$1,000</w:t>
                        </w:r>
                      </w:p>
                    </w:tc>
                    <w:tc>
                      <w:tcPr>
                        <w:tcW w:w="1353" w:type="dxa"/>
                        <w:tcBorders>
                          <w:top w:val="single" w:sz="36" w:space="0" w:color="929292"/>
                          <w:bottom w:val="single" w:sz="12" w:space="0" w:color="C9C9C9"/>
                          <w:right w:val="single" w:sz="24" w:space="0" w:color="818181"/>
                        </w:tcBorders>
                      </w:tcPr>
                      <w:p w14:paraId="5BCA36E9" w14:textId="77777777" w:rsidR="00680063" w:rsidRDefault="00000000">
                        <w:pPr>
                          <w:pStyle w:val="TableParagraph"/>
                          <w:spacing w:before="49"/>
                          <w:ind w:left="359" w:right="316"/>
                          <w:jc w:val="center"/>
                        </w:pPr>
                        <w:r>
                          <w:rPr>
                            <w:color w:val="484848"/>
                            <w:spacing w:val="-2"/>
                          </w:rPr>
                          <w:t>$1,000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7A97CB5" w14:textId="77777777" w:rsidR="00680063" w:rsidRDefault="00000000">
                        <w:pPr>
                          <w:pStyle w:val="TableParagraph"/>
                          <w:spacing w:before="49"/>
                          <w:ind w:left="362" w:right="312"/>
                          <w:jc w:val="center"/>
                        </w:pPr>
                        <w:r>
                          <w:rPr>
                            <w:color w:val="FFFFFF"/>
                            <w:spacing w:val="-2"/>
                          </w:rPr>
                          <w:t>$919*</w:t>
                        </w:r>
                      </w:p>
                    </w:tc>
                  </w:tr>
                  <w:tr w:rsidR="00680063" w14:paraId="3F9F94B6" w14:textId="77777777">
                    <w:trPr>
                      <w:trHeight w:val="420"/>
                    </w:trPr>
                    <w:tc>
                      <w:tcPr>
                        <w:tcW w:w="2827" w:type="dxa"/>
                      </w:tcPr>
                      <w:p w14:paraId="025131F8" w14:textId="77777777" w:rsidR="00680063" w:rsidRDefault="00680063">
                        <w:pPr>
                          <w:pStyle w:val="TableParagraph"/>
                        </w:pPr>
                      </w:p>
                    </w:tc>
                    <w:tc>
                      <w:tcPr>
                        <w:tcW w:w="1351" w:type="dxa"/>
                        <w:tcBorders>
                          <w:top w:val="single" w:sz="12" w:space="0" w:color="C9C9C9"/>
                          <w:bottom w:val="single" w:sz="12" w:space="0" w:color="B7B7B7"/>
                        </w:tcBorders>
                      </w:tcPr>
                      <w:p w14:paraId="7FF6AEFD" w14:textId="77777777" w:rsidR="00680063" w:rsidRDefault="00680063">
                        <w:pPr>
                          <w:pStyle w:val="TableParagraph"/>
                        </w:pPr>
                      </w:p>
                    </w:tc>
                    <w:tc>
                      <w:tcPr>
                        <w:tcW w:w="1353" w:type="dxa"/>
                        <w:tcBorders>
                          <w:top w:val="single" w:sz="12" w:space="0" w:color="C9C9C9"/>
                          <w:bottom w:val="single" w:sz="12" w:space="0" w:color="B7B7B7"/>
                        </w:tcBorders>
                      </w:tcPr>
                      <w:p w14:paraId="35A40D15" w14:textId="77777777" w:rsidR="00680063" w:rsidRDefault="00680063">
                        <w:pPr>
                          <w:pStyle w:val="TableParagraph"/>
                        </w:pPr>
                      </w:p>
                    </w:tc>
                    <w:tc>
                      <w:tcPr>
                        <w:tcW w:w="1353" w:type="dxa"/>
                        <w:tcBorders>
                          <w:top w:val="single" w:sz="24" w:space="0" w:color="818181"/>
                          <w:bottom w:val="single" w:sz="12" w:space="0" w:color="B7B7B7"/>
                        </w:tcBorders>
                      </w:tcPr>
                      <w:p w14:paraId="7196C20E" w14:textId="77777777" w:rsidR="00680063" w:rsidRDefault="00680063">
                        <w:pPr>
                          <w:pStyle w:val="TableParagraph"/>
                        </w:pPr>
                      </w:p>
                    </w:tc>
                  </w:tr>
                  <w:tr w:rsidR="00680063" w14:paraId="47664E79" w14:textId="77777777">
                    <w:trPr>
                      <w:trHeight w:val="365"/>
                    </w:trPr>
                    <w:tc>
                      <w:tcPr>
                        <w:tcW w:w="2827" w:type="dxa"/>
                        <w:tcBorders>
                          <w:right w:val="single" w:sz="12" w:space="0" w:color="B7B7B7"/>
                        </w:tcBorders>
                      </w:tcPr>
                      <w:p w14:paraId="6818ED3F" w14:textId="77777777" w:rsidR="00680063" w:rsidRDefault="00000000">
                        <w:pPr>
                          <w:pStyle w:val="TableParagraph"/>
                          <w:spacing w:before="61"/>
                          <w:ind w:left="20"/>
                        </w:pPr>
                        <w:r>
                          <w:rPr>
                            <w:color w:val="484848"/>
                            <w:spacing w:val="-2"/>
                          </w:rPr>
                          <w:t>Reserves</w:t>
                        </w:r>
                      </w:p>
                    </w:tc>
                    <w:tc>
                      <w:tcPr>
                        <w:tcW w:w="1351" w:type="dxa"/>
                        <w:tcBorders>
                          <w:top w:val="single" w:sz="12" w:space="0" w:color="B7B7B7"/>
                          <w:left w:val="single" w:sz="12" w:space="0" w:color="B7B7B7"/>
                          <w:bottom w:val="single" w:sz="12" w:space="0" w:color="B7B7B7"/>
                          <w:right w:val="single" w:sz="12" w:space="0" w:color="B7B7B7"/>
                        </w:tcBorders>
                      </w:tcPr>
                      <w:p w14:paraId="1F526FA4" w14:textId="77777777" w:rsidR="00680063" w:rsidRDefault="00000000">
                        <w:pPr>
                          <w:pStyle w:val="TableParagraph"/>
                          <w:spacing w:before="61"/>
                          <w:ind w:left="364" w:right="321"/>
                          <w:jc w:val="center"/>
                        </w:pPr>
                        <w:r>
                          <w:rPr>
                            <w:color w:val="484848"/>
                            <w:spacing w:val="-2"/>
                          </w:rPr>
                          <w:t>$1,000</w:t>
                        </w:r>
                      </w:p>
                    </w:tc>
                    <w:tc>
                      <w:tcPr>
                        <w:tcW w:w="1353" w:type="dxa"/>
                        <w:tcBorders>
                          <w:top w:val="single" w:sz="12" w:space="0" w:color="B7B7B7"/>
                          <w:left w:val="single" w:sz="12" w:space="0" w:color="B7B7B7"/>
                          <w:bottom w:val="single" w:sz="12" w:space="0" w:color="B7B7B7"/>
                          <w:right w:val="single" w:sz="12" w:space="0" w:color="B7B7B7"/>
                        </w:tcBorders>
                      </w:tcPr>
                      <w:p w14:paraId="3891B3AE" w14:textId="77777777" w:rsidR="00680063" w:rsidRDefault="00000000">
                        <w:pPr>
                          <w:pStyle w:val="TableParagraph"/>
                          <w:spacing w:before="61"/>
                          <w:ind w:left="360" w:right="318"/>
                          <w:jc w:val="center"/>
                        </w:pPr>
                        <w:r>
                          <w:rPr>
                            <w:color w:val="484848"/>
                            <w:spacing w:val="-2"/>
                          </w:rPr>
                          <w:t>$1,000</w:t>
                        </w:r>
                      </w:p>
                    </w:tc>
                    <w:tc>
                      <w:tcPr>
                        <w:tcW w:w="1353" w:type="dxa"/>
                        <w:tcBorders>
                          <w:top w:val="single" w:sz="12" w:space="0" w:color="B7B7B7"/>
                          <w:left w:val="single" w:sz="12" w:space="0" w:color="B7B7B7"/>
                          <w:bottom w:val="single" w:sz="24" w:space="0" w:color="A8A8A8"/>
                          <w:right w:val="single" w:sz="12" w:space="0" w:color="B7B7B7"/>
                        </w:tcBorders>
                      </w:tcPr>
                      <w:p w14:paraId="48A6F087" w14:textId="77777777" w:rsidR="00680063" w:rsidRDefault="00000000">
                        <w:pPr>
                          <w:pStyle w:val="TableParagraph"/>
                          <w:spacing w:before="61"/>
                          <w:ind w:left="366" w:right="313"/>
                          <w:jc w:val="center"/>
                        </w:pPr>
                        <w:r>
                          <w:rPr>
                            <w:color w:val="484848"/>
                            <w:spacing w:val="-2"/>
                          </w:rPr>
                          <w:t>$1,000</w:t>
                        </w:r>
                      </w:p>
                    </w:tc>
                  </w:tr>
                  <w:tr w:rsidR="00680063" w14:paraId="785D2641" w14:textId="77777777">
                    <w:trPr>
                      <w:trHeight w:val="376"/>
                    </w:trPr>
                    <w:tc>
                      <w:tcPr>
                        <w:tcW w:w="2827" w:type="dxa"/>
                        <w:tcBorders>
                          <w:right w:val="single" w:sz="12" w:space="0" w:color="B7B7B7"/>
                        </w:tcBorders>
                      </w:tcPr>
                      <w:p w14:paraId="3ADD5338" w14:textId="77777777" w:rsidR="00680063" w:rsidRDefault="00000000">
                        <w:pPr>
                          <w:pStyle w:val="TableParagraph"/>
                          <w:spacing w:before="70"/>
                          <w:ind w:left="131"/>
                        </w:pPr>
                        <w:r>
                          <w:rPr>
                            <w:color w:val="484848"/>
                            <w:spacing w:val="-2"/>
                          </w:rPr>
                          <w:t>Surplus</w:t>
                        </w:r>
                      </w:p>
                    </w:tc>
                    <w:tc>
                      <w:tcPr>
                        <w:tcW w:w="1351" w:type="dxa"/>
                        <w:tcBorders>
                          <w:top w:val="single" w:sz="12" w:space="0" w:color="B7B7B7"/>
                          <w:left w:val="single" w:sz="12" w:space="0" w:color="B7B7B7"/>
                          <w:bottom w:val="single" w:sz="12" w:space="0" w:color="B7B7B7"/>
                          <w:right w:val="single" w:sz="12" w:space="0" w:color="B7B7B7"/>
                        </w:tcBorders>
                      </w:tcPr>
                      <w:p w14:paraId="57CE6E53" w14:textId="77777777" w:rsidR="00680063" w:rsidRDefault="00000000">
                        <w:pPr>
                          <w:pStyle w:val="TableParagraph"/>
                          <w:spacing w:before="70"/>
                          <w:ind w:left="362" w:right="321"/>
                          <w:jc w:val="center"/>
                        </w:pPr>
                        <w:r>
                          <w:rPr>
                            <w:color w:val="484848"/>
                            <w:spacing w:val="-5"/>
                          </w:rPr>
                          <w:t>$0</w:t>
                        </w:r>
                      </w:p>
                    </w:tc>
                    <w:tc>
                      <w:tcPr>
                        <w:tcW w:w="1353" w:type="dxa"/>
                        <w:tcBorders>
                          <w:top w:val="single" w:sz="12" w:space="0" w:color="B7B7B7"/>
                          <w:left w:val="single" w:sz="12" w:space="0" w:color="B7B7B7"/>
                          <w:bottom w:val="single" w:sz="12" w:space="0" w:color="B7B7B7"/>
                          <w:right w:val="single" w:sz="24" w:space="0" w:color="A8A8A8"/>
                        </w:tcBorders>
                      </w:tcPr>
                      <w:p w14:paraId="256B3DF8" w14:textId="77777777" w:rsidR="00680063" w:rsidRDefault="00000000">
                        <w:pPr>
                          <w:pStyle w:val="TableParagraph"/>
                          <w:spacing w:before="70"/>
                          <w:ind w:left="355" w:right="316"/>
                          <w:jc w:val="center"/>
                        </w:pPr>
                        <w:r>
                          <w:rPr>
                            <w:color w:val="484848"/>
                            <w:spacing w:val="-5"/>
                          </w:rPr>
                          <w:t>$0</w:t>
                        </w:r>
                      </w:p>
                    </w:tc>
                    <w:tc>
                      <w:tcPr>
                        <w:tcW w:w="1353" w:type="dxa"/>
                        <w:tcBorders>
                          <w:top w:val="single" w:sz="24" w:space="0" w:color="A8A8A8"/>
                          <w:left w:val="single" w:sz="24" w:space="0" w:color="A8A8A8"/>
                          <w:bottom w:val="single" w:sz="24" w:space="0" w:color="A8A8A8"/>
                          <w:right w:val="single" w:sz="24" w:space="0" w:color="A8A8A8"/>
                        </w:tcBorders>
                        <w:shd w:val="clear" w:color="auto" w:fill="FF0000"/>
                      </w:tcPr>
                      <w:p w14:paraId="1E352871" w14:textId="77777777" w:rsidR="00680063" w:rsidRDefault="00000000">
                        <w:pPr>
                          <w:pStyle w:val="TableParagraph"/>
                          <w:spacing w:before="70"/>
                          <w:ind w:left="362" w:right="315"/>
                          <w:jc w:val="center"/>
                        </w:pPr>
                        <w:r>
                          <w:rPr>
                            <w:color w:val="FFFFFF"/>
                            <w:spacing w:val="-2"/>
                          </w:rPr>
                          <w:t>($81)*</w:t>
                        </w:r>
                      </w:p>
                    </w:tc>
                  </w:tr>
                </w:tbl>
                <w:p w14:paraId="28917617" w14:textId="77777777" w:rsidR="00680063" w:rsidRDefault="00680063">
                  <w:pPr>
                    <w:pStyle w:val="BodyText"/>
                  </w:pPr>
                </w:p>
              </w:txbxContent>
            </v:textbox>
            <w10:wrap anchorx="page"/>
          </v:shape>
        </w:pict>
      </w:r>
      <w:r>
        <w:rPr>
          <w:color w:val="484848"/>
        </w:rPr>
        <w:t>On average, future income is approximately the same in each interest</w:t>
      </w:r>
      <w:r>
        <w:rPr>
          <w:color w:val="484848"/>
          <w:spacing w:val="-8"/>
        </w:rPr>
        <w:t xml:space="preserve"> </w:t>
      </w:r>
      <w:r>
        <w:rPr>
          <w:color w:val="484848"/>
        </w:rPr>
        <w:t>rate</w:t>
      </w:r>
      <w:r>
        <w:rPr>
          <w:color w:val="484848"/>
          <w:spacing w:val="-7"/>
        </w:rPr>
        <w:t xml:space="preserve"> </w:t>
      </w:r>
      <w:r>
        <w:rPr>
          <w:color w:val="484848"/>
        </w:rPr>
        <w:t>scenario</w:t>
      </w:r>
      <w:r>
        <w:rPr>
          <w:color w:val="484848"/>
          <w:spacing w:val="-6"/>
        </w:rPr>
        <w:t xml:space="preserve"> </w:t>
      </w:r>
      <w:r>
        <w:rPr>
          <w:color w:val="484848"/>
        </w:rPr>
        <w:t>as</w:t>
      </w:r>
      <w:r>
        <w:rPr>
          <w:color w:val="484848"/>
          <w:spacing w:val="-8"/>
        </w:rPr>
        <w:t xml:space="preserve"> </w:t>
      </w:r>
      <w:r>
        <w:rPr>
          <w:color w:val="484848"/>
        </w:rPr>
        <w:t>the</w:t>
      </w:r>
      <w:r>
        <w:rPr>
          <w:color w:val="484848"/>
          <w:spacing w:val="-9"/>
        </w:rPr>
        <w:t xml:space="preserve"> </w:t>
      </w:r>
      <w:r>
        <w:rPr>
          <w:color w:val="484848"/>
        </w:rPr>
        <w:t>IMR gets reduced through amortization to income.</w:t>
      </w:r>
    </w:p>
    <w:p w14:paraId="3CF891B1" w14:textId="77777777" w:rsidR="00680063" w:rsidRDefault="00680063">
      <w:pPr>
        <w:pStyle w:val="BodyText"/>
      </w:pPr>
    </w:p>
    <w:p w14:paraId="26FA05B9" w14:textId="77777777" w:rsidR="00680063" w:rsidRDefault="00680063">
      <w:pPr>
        <w:pStyle w:val="BodyText"/>
      </w:pPr>
    </w:p>
    <w:p w14:paraId="60BA5C8D" w14:textId="77777777" w:rsidR="00680063" w:rsidRDefault="00680063">
      <w:pPr>
        <w:pStyle w:val="BodyText"/>
      </w:pPr>
    </w:p>
    <w:p w14:paraId="687D7EF6" w14:textId="77777777" w:rsidR="00680063" w:rsidRDefault="00680063">
      <w:pPr>
        <w:pStyle w:val="BodyText"/>
      </w:pPr>
    </w:p>
    <w:p w14:paraId="317C993B" w14:textId="77777777" w:rsidR="00680063" w:rsidRDefault="00680063">
      <w:pPr>
        <w:pStyle w:val="BodyText"/>
      </w:pPr>
    </w:p>
    <w:p w14:paraId="140F3B90" w14:textId="77777777" w:rsidR="00680063" w:rsidRDefault="00680063">
      <w:pPr>
        <w:pStyle w:val="BodyText"/>
      </w:pPr>
    </w:p>
    <w:p w14:paraId="276CAF99" w14:textId="77777777" w:rsidR="00680063" w:rsidRDefault="00680063">
      <w:pPr>
        <w:pStyle w:val="BodyText"/>
      </w:pPr>
    </w:p>
    <w:p w14:paraId="0F994179" w14:textId="77777777" w:rsidR="00680063" w:rsidRDefault="00680063">
      <w:pPr>
        <w:pStyle w:val="BodyText"/>
      </w:pPr>
    </w:p>
    <w:p w14:paraId="05717DFA" w14:textId="77777777" w:rsidR="00680063" w:rsidRDefault="00680063">
      <w:pPr>
        <w:pStyle w:val="BodyText"/>
      </w:pPr>
    </w:p>
    <w:p w14:paraId="6DFA8A14" w14:textId="77777777" w:rsidR="00680063" w:rsidRDefault="00680063">
      <w:pPr>
        <w:pStyle w:val="BodyText"/>
      </w:pPr>
    </w:p>
    <w:p w14:paraId="3F900C30" w14:textId="77777777" w:rsidR="00680063" w:rsidRDefault="00680063">
      <w:pPr>
        <w:pStyle w:val="BodyText"/>
      </w:pPr>
    </w:p>
    <w:p w14:paraId="14306F12" w14:textId="77777777" w:rsidR="00680063" w:rsidRDefault="00000000">
      <w:pPr>
        <w:spacing w:before="190" w:line="266" w:lineRule="auto"/>
        <w:ind w:left="480" w:right="3463"/>
        <w:jc w:val="both"/>
        <w:rPr>
          <w:b/>
        </w:rPr>
      </w:pPr>
      <w:r>
        <w:rPr>
          <w:b/>
        </w:rPr>
        <w:t>*The negative IMR balance is currently disallowed and directly reduces surplus.</w:t>
      </w:r>
      <w:r>
        <w:rPr>
          <w:b/>
          <w:spacing w:val="39"/>
        </w:rPr>
        <w:t xml:space="preserve"> </w:t>
      </w:r>
      <w:r>
        <w:rPr>
          <w:b/>
        </w:rPr>
        <w:t>This</w:t>
      </w:r>
      <w:r>
        <w:rPr>
          <w:b/>
          <w:spacing w:val="-12"/>
        </w:rPr>
        <w:t xml:space="preserve"> </w:t>
      </w:r>
      <w:r>
        <w:rPr>
          <w:b/>
        </w:rPr>
        <w:t>treatment</w:t>
      </w:r>
      <w:r>
        <w:rPr>
          <w:b/>
          <w:spacing w:val="-8"/>
        </w:rPr>
        <w:t xml:space="preserve"> </w:t>
      </w:r>
      <w:r>
        <w:rPr>
          <w:b/>
        </w:rPr>
        <w:t>is</w:t>
      </w:r>
      <w:r>
        <w:rPr>
          <w:b/>
          <w:spacing w:val="-9"/>
        </w:rPr>
        <w:t xml:space="preserve"> </w:t>
      </w:r>
      <w:r>
        <w:rPr>
          <w:b/>
        </w:rPr>
        <w:t>not</w:t>
      </w:r>
      <w:r>
        <w:rPr>
          <w:b/>
          <w:spacing w:val="-12"/>
        </w:rPr>
        <w:t xml:space="preserve"> </w:t>
      </w:r>
      <w:r>
        <w:rPr>
          <w:b/>
        </w:rPr>
        <w:t>supported</w:t>
      </w:r>
      <w:r>
        <w:rPr>
          <w:b/>
          <w:spacing w:val="-11"/>
        </w:rPr>
        <w:t xml:space="preserve"> </w:t>
      </w:r>
      <w:r>
        <w:rPr>
          <w:b/>
        </w:rPr>
        <w:t>by</w:t>
      </w:r>
      <w:r>
        <w:rPr>
          <w:b/>
          <w:spacing w:val="-9"/>
        </w:rPr>
        <w:t xml:space="preserve"> </w:t>
      </w:r>
      <w:r>
        <w:rPr>
          <w:b/>
        </w:rPr>
        <w:t>theoretical</w:t>
      </w:r>
      <w:r>
        <w:rPr>
          <w:b/>
          <w:spacing w:val="-9"/>
        </w:rPr>
        <w:t xml:space="preserve"> </w:t>
      </w:r>
      <w:r>
        <w:rPr>
          <w:b/>
        </w:rPr>
        <w:t>rationale</w:t>
      </w:r>
      <w:r>
        <w:rPr>
          <w:b/>
          <w:spacing w:val="-8"/>
        </w:rPr>
        <w:t xml:space="preserve"> </w:t>
      </w:r>
      <w:r>
        <w:rPr>
          <w:b/>
        </w:rPr>
        <w:t>and</w:t>
      </w:r>
      <w:r>
        <w:rPr>
          <w:b/>
          <w:spacing w:val="-11"/>
        </w:rPr>
        <w:t xml:space="preserve"> </w:t>
      </w:r>
      <w:r>
        <w:rPr>
          <w:b/>
        </w:rPr>
        <w:t>gives</w:t>
      </w:r>
      <w:r>
        <w:rPr>
          <w:b/>
          <w:spacing w:val="-9"/>
        </w:rPr>
        <w:t xml:space="preserve"> </w:t>
      </w:r>
      <w:r>
        <w:rPr>
          <w:b/>
        </w:rPr>
        <w:t>a distorted view of solvency.</w:t>
      </w:r>
    </w:p>
    <w:p w14:paraId="2121D304" w14:textId="77777777" w:rsidR="00680063" w:rsidRDefault="00680063">
      <w:pPr>
        <w:spacing w:line="266" w:lineRule="auto"/>
        <w:jc w:val="both"/>
        <w:sectPr w:rsidR="00680063">
          <w:pgSz w:w="12240" w:h="15840"/>
          <w:pgMar w:top="780" w:right="240" w:bottom="280" w:left="960" w:header="720" w:footer="720" w:gutter="0"/>
          <w:cols w:space="720"/>
        </w:sectPr>
      </w:pPr>
    </w:p>
    <w:p w14:paraId="29A91340" w14:textId="77777777" w:rsidR="00680063" w:rsidRDefault="00680063">
      <w:pPr>
        <w:pStyle w:val="BodyText"/>
        <w:spacing w:before="2"/>
        <w:rPr>
          <w:b/>
          <w:sz w:val="32"/>
        </w:rPr>
      </w:pPr>
    </w:p>
    <w:p w14:paraId="56544D13" w14:textId="77777777" w:rsidR="00680063" w:rsidRDefault="00000000">
      <w:pPr>
        <w:spacing w:before="1"/>
        <w:ind w:left="480"/>
        <w:rPr>
          <w:b/>
          <w:sz w:val="20"/>
        </w:rPr>
      </w:pPr>
      <w:r>
        <w:rPr>
          <w:b/>
          <w:sz w:val="20"/>
          <w:u w:val="single"/>
        </w:rPr>
        <w:t>Pertinent</w:t>
      </w:r>
      <w:r>
        <w:rPr>
          <w:b/>
          <w:spacing w:val="-7"/>
          <w:sz w:val="20"/>
          <w:u w:val="single"/>
        </w:rPr>
        <w:t xml:space="preserve"> </w:t>
      </w:r>
      <w:r>
        <w:rPr>
          <w:b/>
          <w:sz w:val="20"/>
          <w:u w:val="single"/>
        </w:rPr>
        <w:t>Annual</w:t>
      </w:r>
      <w:r>
        <w:rPr>
          <w:b/>
          <w:spacing w:val="-12"/>
          <w:sz w:val="20"/>
          <w:u w:val="single"/>
        </w:rPr>
        <w:t xml:space="preserve"> </w:t>
      </w:r>
      <w:r>
        <w:rPr>
          <w:b/>
          <w:sz w:val="20"/>
          <w:u w:val="single"/>
        </w:rPr>
        <w:t>Statement</w:t>
      </w:r>
      <w:r>
        <w:rPr>
          <w:b/>
          <w:spacing w:val="-7"/>
          <w:sz w:val="20"/>
          <w:u w:val="single"/>
        </w:rPr>
        <w:t xml:space="preserve"> </w:t>
      </w:r>
      <w:r>
        <w:rPr>
          <w:b/>
          <w:spacing w:val="-2"/>
          <w:sz w:val="20"/>
          <w:u w:val="single"/>
        </w:rPr>
        <w:t>Instructions</w:t>
      </w:r>
    </w:p>
    <w:p w14:paraId="7B1DAF09" w14:textId="77777777" w:rsidR="00680063" w:rsidRDefault="00000000">
      <w:pPr>
        <w:pStyle w:val="Heading2"/>
        <w:spacing w:before="79"/>
        <w:ind w:left="480"/>
      </w:pPr>
      <w:r>
        <w:rPr>
          <w:b w:val="0"/>
        </w:rPr>
        <w:br w:type="column"/>
      </w:r>
      <w:r>
        <w:t>Attachment</w:t>
      </w:r>
      <w:r>
        <w:rPr>
          <w:spacing w:val="-5"/>
        </w:rPr>
        <w:t xml:space="preserve"> II</w:t>
      </w:r>
    </w:p>
    <w:p w14:paraId="3CD0E401" w14:textId="77777777" w:rsidR="00680063" w:rsidRDefault="00680063">
      <w:pPr>
        <w:sectPr w:rsidR="00680063">
          <w:pgSz w:w="12240" w:h="15840"/>
          <w:pgMar w:top="640" w:right="240" w:bottom="280" w:left="960" w:header="720" w:footer="720" w:gutter="0"/>
          <w:cols w:num="2" w:space="720" w:equalWidth="0">
            <w:col w:w="4001" w:space="3893"/>
            <w:col w:w="3146"/>
          </w:cols>
        </w:sectPr>
      </w:pPr>
    </w:p>
    <w:p w14:paraId="34C7DE65" w14:textId="77777777" w:rsidR="00680063" w:rsidRDefault="00680063">
      <w:pPr>
        <w:pStyle w:val="BodyText"/>
        <w:spacing w:before="5"/>
        <w:rPr>
          <w:b/>
          <w:sz w:val="14"/>
        </w:rPr>
      </w:pPr>
    </w:p>
    <w:p w14:paraId="72AB8EF9" w14:textId="77777777" w:rsidR="00680063" w:rsidRDefault="00000000">
      <w:pPr>
        <w:spacing w:before="91"/>
        <w:ind w:left="480"/>
        <w:jc w:val="both"/>
        <w:rPr>
          <w:sz w:val="20"/>
        </w:rPr>
      </w:pPr>
      <w:r>
        <w:pict w14:anchorId="314A8A8E">
          <v:rect id="docshape37" o:spid="_x0000_s1030" style="position:absolute;left:0;text-align:left;margin-left:100.7pt;margin-top:11.35pt;width:5.4pt;height:.5pt;z-index:-16096256;mso-position-horizontal-relative:page" fillcolor="#221f1f" stroked="f">
            <w10:wrap anchorx="page"/>
          </v:rect>
        </w:pict>
      </w:r>
      <w:r>
        <w:rPr>
          <w:color w:val="221F1F"/>
          <w:sz w:val="20"/>
        </w:rPr>
        <w:t>Line</w:t>
      </w:r>
      <w:r>
        <w:rPr>
          <w:color w:val="221F1F"/>
          <w:spacing w:val="-7"/>
          <w:sz w:val="20"/>
        </w:rPr>
        <w:t xml:space="preserve"> </w:t>
      </w:r>
      <w:r>
        <w:rPr>
          <w:color w:val="221F1F"/>
          <w:sz w:val="20"/>
        </w:rPr>
        <w:t>6</w:t>
      </w:r>
      <w:r>
        <w:rPr>
          <w:color w:val="221F1F"/>
          <w:spacing w:val="62"/>
          <w:sz w:val="20"/>
        </w:rPr>
        <w:t xml:space="preserve">   </w:t>
      </w:r>
      <w:r>
        <w:rPr>
          <w:color w:val="221F1F"/>
          <w:sz w:val="20"/>
        </w:rPr>
        <w:t>Reserve</w:t>
      </w:r>
      <w:r>
        <w:rPr>
          <w:color w:val="221F1F"/>
          <w:spacing w:val="-5"/>
          <w:sz w:val="20"/>
        </w:rPr>
        <w:t xml:space="preserve"> </w:t>
      </w:r>
      <w:r>
        <w:rPr>
          <w:color w:val="221F1F"/>
          <w:sz w:val="20"/>
        </w:rPr>
        <w:t>as</w:t>
      </w:r>
      <w:r>
        <w:rPr>
          <w:color w:val="221F1F"/>
          <w:spacing w:val="-6"/>
          <w:sz w:val="20"/>
        </w:rPr>
        <w:t xml:space="preserve"> </w:t>
      </w:r>
      <w:r>
        <w:rPr>
          <w:color w:val="221F1F"/>
          <w:sz w:val="20"/>
        </w:rPr>
        <w:t>of</w:t>
      </w:r>
      <w:r>
        <w:rPr>
          <w:color w:val="221F1F"/>
          <w:spacing w:val="-5"/>
          <w:sz w:val="20"/>
        </w:rPr>
        <w:t xml:space="preserve"> </w:t>
      </w:r>
      <w:r>
        <w:rPr>
          <w:color w:val="221F1F"/>
          <w:sz w:val="20"/>
        </w:rPr>
        <w:t>December</w:t>
      </w:r>
      <w:r>
        <w:rPr>
          <w:color w:val="221F1F"/>
          <w:spacing w:val="-7"/>
          <w:sz w:val="20"/>
        </w:rPr>
        <w:t xml:space="preserve"> </w:t>
      </w:r>
      <w:r>
        <w:rPr>
          <w:color w:val="221F1F"/>
          <w:sz w:val="20"/>
        </w:rPr>
        <w:t>31,</w:t>
      </w:r>
      <w:r>
        <w:rPr>
          <w:color w:val="221F1F"/>
          <w:spacing w:val="-5"/>
          <w:sz w:val="20"/>
        </w:rPr>
        <w:t xml:space="preserve"> </w:t>
      </w:r>
      <w:r>
        <w:rPr>
          <w:color w:val="221F1F"/>
          <w:sz w:val="20"/>
        </w:rPr>
        <w:t>Current</w:t>
      </w:r>
      <w:r>
        <w:rPr>
          <w:color w:val="221F1F"/>
          <w:spacing w:val="-8"/>
          <w:sz w:val="20"/>
        </w:rPr>
        <w:t xml:space="preserve"> </w:t>
      </w:r>
      <w:r>
        <w:rPr>
          <w:color w:val="221F1F"/>
          <w:spacing w:val="-4"/>
          <w:sz w:val="20"/>
        </w:rPr>
        <w:t>Year</w:t>
      </w:r>
    </w:p>
    <w:p w14:paraId="3A98CED5" w14:textId="77777777" w:rsidR="00680063" w:rsidRDefault="00000000">
      <w:pPr>
        <w:pStyle w:val="BodyText"/>
        <w:spacing w:before="4"/>
      </w:pPr>
      <w:r>
        <w:rPr>
          <w:noProof/>
        </w:rPr>
        <w:drawing>
          <wp:anchor distT="0" distB="0" distL="0" distR="0" simplePos="0" relativeHeight="35" behindDoc="0" locked="0" layoutInCell="1" allowOverlap="1" wp14:anchorId="13B227DB" wp14:editId="34AFADDD">
            <wp:simplePos x="0" y="0"/>
            <wp:positionH relativeFrom="page">
              <wp:posOffset>915924</wp:posOffset>
            </wp:positionH>
            <wp:positionV relativeFrom="paragraph">
              <wp:posOffset>193025</wp:posOffset>
            </wp:positionV>
            <wp:extent cx="5968890" cy="116585"/>
            <wp:effectExtent l="0" t="0" r="0" b="0"/>
            <wp:wrapTopAndBottom/>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36" cstate="print"/>
                    <a:stretch>
                      <a:fillRect/>
                    </a:stretch>
                  </pic:blipFill>
                  <pic:spPr>
                    <a:xfrm>
                      <a:off x="0" y="0"/>
                      <a:ext cx="5968890" cy="116585"/>
                    </a:xfrm>
                    <a:prstGeom prst="rect">
                      <a:avLst/>
                    </a:prstGeom>
                  </pic:spPr>
                </pic:pic>
              </a:graphicData>
            </a:graphic>
          </wp:anchor>
        </w:drawing>
      </w:r>
    </w:p>
    <w:p w14:paraId="13439C45" w14:textId="77777777" w:rsidR="00680063" w:rsidRDefault="00000000">
      <w:pPr>
        <w:spacing w:before="7" w:line="247" w:lineRule="auto"/>
        <w:ind w:left="480" w:right="1200"/>
        <w:jc w:val="both"/>
        <w:rPr>
          <w:sz w:val="20"/>
        </w:rPr>
      </w:pPr>
      <w:r>
        <w:rPr>
          <w:color w:val="221F1F"/>
          <w:sz w:val="20"/>
        </w:rPr>
        <w:t>Page 3, Line 9.4 of the General Account Statement and Line 3</w:t>
      </w:r>
      <w:r>
        <w:rPr>
          <w:color w:val="221F1F"/>
          <w:spacing w:val="-1"/>
          <w:sz w:val="20"/>
        </w:rPr>
        <w:t xml:space="preserve"> </w:t>
      </w:r>
      <w:r>
        <w:rPr>
          <w:color w:val="221F1F"/>
          <w:sz w:val="20"/>
        </w:rPr>
        <w:t>of the Separate Accounts</w:t>
      </w:r>
      <w:r>
        <w:rPr>
          <w:color w:val="221F1F"/>
          <w:spacing w:val="-1"/>
          <w:sz w:val="20"/>
        </w:rPr>
        <w:t xml:space="preserve"> </w:t>
      </w:r>
      <w:r>
        <w:rPr>
          <w:color w:val="221F1F"/>
          <w:sz w:val="20"/>
        </w:rPr>
        <w:t>Statement. A negative IMR balance may be recorded as a</w:t>
      </w:r>
      <w:r>
        <w:rPr>
          <w:color w:val="221F1F"/>
          <w:spacing w:val="-1"/>
          <w:sz w:val="20"/>
        </w:rPr>
        <w:t xml:space="preserve"> </w:t>
      </w:r>
      <w:r>
        <w:rPr>
          <w:color w:val="221F1F"/>
          <w:sz w:val="20"/>
        </w:rPr>
        <w:t>negative liability in either the General Account or the Separate Accounts</w:t>
      </w:r>
      <w:r>
        <w:rPr>
          <w:color w:val="221F1F"/>
          <w:spacing w:val="-1"/>
          <w:sz w:val="20"/>
        </w:rPr>
        <w:t xml:space="preserve"> </w:t>
      </w:r>
      <w:r>
        <w:rPr>
          <w:color w:val="221F1F"/>
          <w:sz w:val="20"/>
        </w:rPr>
        <w:t>Statement</w:t>
      </w:r>
      <w:r>
        <w:rPr>
          <w:color w:val="221F1F"/>
          <w:spacing w:val="-1"/>
          <w:sz w:val="20"/>
        </w:rPr>
        <w:t xml:space="preserve"> </w:t>
      </w:r>
      <w:r>
        <w:rPr>
          <w:color w:val="221F1F"/>
          <w:sz w:val="20"/>
        </w:rPr>
        <w:t>of a company only to the extent that it is covered or offset by a positive IMR liability in the other statement.</w:t>
      </w:r>
    </w:p>
    <w:p w14:paraId="23CEC335" w14:textId="77777777" w:rsidR="00680063" w:rsidRDefault="00000000">
      <w:pPr>
        <w:spacing w:before="118" w:line="292" w:lineRule="auto"/>
        <w:ind w:left="480" w:right="1306"/>
        <w:jc w:val="both"/>
        <w:rPr>
          <w:sz w:val="20"/>
        </w:rPr>
      </w:pPr>
      <w:r>
        <w:rPr>
          <w:color w:val="221F1F"/>
          <w:sz w:val="20"/>
        </w:rPr>
        <w:t>If there is any disallowed negative IMR balance in the General Account Statement, include the change in the disallowed</w:t>
      </w:r>
      <w:r>
        <w:rPr>
          <w:color w:val="221F1F"/>
          <w:spacing w:val="-4"/>
          <w:sz w:val="20"/>
        </w:rPr>
        <w:t xml:space="preserve"> </w:t>
      </w:r>
      <w:r>
        <w:rPr>
          <w:color w:val="221F1F"/>
          <w:sz w:val="20"/>
        </w:rPr>
        <w:t>portion</w:t>
      </w:r>
      <w:r>
        <w:rPr>
          <w:color w:val="221F1F"/>
          <w:spacing w:val="-7"/>
          <w:sz w:val="20"/>
        </w:rPr>
        <w:t xml:space="preserve"> </w:t>
      </w:r>
      <w:r>
        <w:rPr>
          <w:color w:val="221F1F"/>
          <w:sz w:val="20"/>
        </w:rPr>
        <w:t>in</w:t>
      </w:r>
      <w:r>
        <w:rPr>
          <w:color w:val="221F1F"/>
          <w:spacing w:val="-4"/>
          <w:sz w:val="20"/>
        </w:rPr>
        <w:t xml:space="preserve"> </w:t>
      </w:r>
      <w:r>
        <w:rPr>
          <w:color w:val="221F1F"/>
          <w:sz w:val="20"/>
        </w:rPr>
        <w:t>Page</w:t>
      </w:r>
      <w:r>
        <w:rPr>
          <w:color w:val="221F1F"/>
          <w:spacing w:val="-6"/>
          <w:sz w:val="20"/>
        </w:rPr>
        <w:t xml:space="preserve"> </w:t>
      </w:r>
      <w:r>
        <w:rPr>
          <w:color w:val="221F1F"/>
          <w:sz w:val="20"/>
        </w:rPr>
        <w:t>4,</w:t>
      </w:r>
      <w:r>
        <w:rPr>
          <w:color w:val="221F1F"/>
          <w:spacing w:val="-6"/>
          <w:sz w:val="20"/>
        </w:rPr>
        <w:t xml:space="preserve"> </w:t>
      </w:r>
      <w:r>
        <w:rPr>
          <w:color w:val="221F1F"/>
          <w:sz w:val="20"/>
        </w:rPr>
        <w:t>Line</w:t>
      </w:r>
      <w:r>
        <w:rPr>
          <w:color w:val="221F1F"/>
          <w:spacing w:val="-4"/>
          <w:sz w:val="20"/>
        </w:rPr>
        <w:t xml:space="preserve"> </w:t>
      </w:r>
      <w:r>
        <w:rPr>
          <w:color w:val="221F1F"/>
          <w:sz w:val="20"/>
        </w:rPr>
        <w:t>41</w:t>
      </w:r>
      <w:r>
        <w:rPr>
          <w:color w:val="221F1F"/>
          <w:spacing w:val="-7"/>
          <w:sz w:val="20"/>
        </w:rPr>
        <w:t xml:space="preserve"> </w:t>
      </w:r>
      <w:r>
        <w:rPr>
          <w:color w:val="221F1F"/>
          <w:sz w:val="20"/>
        </w:rPr>
        <w:t>so</w:t>
      </w:r>
      <w:r>
        <w:rPr>
          <w:color w:val="221F1F"/>
          <w:spacing w:val="-6"/>
          <w:sz w:val="20"/>
        </w:rPr>
        <w:t xml:space="preserve"> </w:t>
      </w:r>
      <w:r>
        <w:rPr>
          <w:color w:val="221F1F"/>
          <w:sz w:val="20"/>
        </w:rPr>
        <w:t>that</w:t>
      </w:r>
      <w:r>
        <w:rPr>
          <w:color w:val="221F1F"/>
          <w:spacing w:val="-5"/>
          <w:sz w:val="20"/>
        </w:rPr>
        <w:t xml:space="preserve"> </w:t>
      </w:r>
      <w:r>
        <w:rPr>
          <w:color w:val="221F1F"/>
          <w:sz w:val="20"/>
        </w:rPr>
        <w:t>the</w:t>
      </w:r>
      <w:r>
        <w:rPr>
          <w:color w:val="221F1F"/>
          <w:spacing w:val="-4"/>
          <w:sz w:val="20"/>
        </w:rPr>
        <w:t xml:space="preserve"> </w:t>
      </w:r>
      <w:r>
        <w:rPr>
          <w:color w:val="221F1F"/>
          <w:sz w:val="20"/>
        </w:rPr>
        <w:t>change</w:t>
      </w:r>
      <w:r>
        <w:rPr>
          <w:color w:val="221F1F"/>
          <w:spacing w:val="-7"/>
          <w:sz w:val="20"/>
        </w:rPr>
        <w:t xml:space="preserve"> </w:t>
      </w:r>
      <w:r>
        <w:rPr>
          <w:color w:val="221F1F"/>
          <w:sz w:val="20"/>
        </w:rPr>
        <w:t>will</w:t>
      </w:r>
      <w:r>
        <w:rPr>
          <w:color w:val="221F1F"/>
          <w:spacing w:val="-6"/>
          <w:sz w:val="20"/>
        </w:rPr>
        <w:t xml:space="preserve"> </w:t>
      </w:r>
      <w:r>
        <w:rPr>
          <w:color w:val="221F1F"/>
          <w:sz w:val="20"/>
        </w:rPr>
        <w:t>be</w:t>
      </w:r>
      <w:r>
        <w:rPr>
          <w:color w:val="221F1F"/>
          <w:spacing w:val="-4"/>
          <w:sz w:val="20"/>
        </w:rPr>
        <w:t xml:space="preserve"> </w:t>
      </w:r>
      <w:r>
        <w:rPr>
          <w:color w:val="221F1F"/>
          <w:sz w:val="20"/>
        </w:rPr>
        <w:t>appropriately charged</w:t>
      </w:r>
      <w:r>
        <w:rPr>
          <w:color w:val="221F1F"/>
          <w:spacing w:val="-7"/>
          <w:sz w:val="20"/>
        </w:rPr>
        <w:t xml:space="preserve"> </w:t>
      </w:r>
      <w:r>
        <w:rPr>
          <w:color w:val="221F1F"/>
          <w:sz w:val="20"/>
        </w:rPr>
        <w:t>or</w:t>
      </w:r>
      <w:r>
        <w:rPr>
          <w:color w:val="221F1F"/>
          <w:spacing w:val="31"/>
          <w:sz w:val="20"/>
        </w:rPr>
        <w:t xml:space="preserve"> </w:t>
      </w:r>
      <w:r>
        <w:rPr>
          <w:color w:val="221F1F"/>
          <w:sz w:val="20"/>
        </w:rPr>
        <w:t>credited</w:t>
      </w:r>
      <w:r>
        <w:rPr>
          <w:color w:val="221F1F"/>
          <w:spacing w:val="-6"/>
          <w:sz w:val="20"/>
        </w:rPr>
        <w:t xml:space="preserve"> </w:t>
      </w:r>
      <w:r>
        <w:rPr>
          <w:color w:val="221F1F"/>
          <w:sz w:val="20"/>
        </w:rPr>
        <w:t>to</w:t>
      </w:r>
      <w:r>
        <w:rPr>
          <w:color w:val="221F1F"/>
          <w:spacing w:val="-6"/>
          <w:sz w:val="20"/>
        </w:rPr>
        <w:t xml:space="preserve"> </w:t>
      </w:r>
      <w:r>
        <w:rPr>
          <w:color w:val="221F1F"/>
          <w:sz w:val="20"/>
        </w:rPr>
        <w:t>the</w:t>
      </w:r>
      <w:r>
        <w:rPr>
          <w:color w:val="221F1F"/>
          <w:spacing w:val="-7"/>
          <w:sz w:val="20"/>
        </w:rPr>
        <w:t xml:space="preserve"> </w:t>
      </w:r>
      <w:r>
        <w:rPr>
          <w:color w:val="221F1F"/>
          <w:sz w:val="20"/>
        </w:rPr>
        <w:t>Capital</w:t>
      </w:r>
      <w:r>
        <w:rPr>
          <w:color w:val="221F1F"/>
          <w:spacing w:val="-6"/>
          <w:sz w:val="20"/>
        </w:rPr>
        <w:t xml:space="preserve"> </w:t>
      </w:r>
      <w:r>
        <w:rPr>
          <w:color w:val="221F1F"/>
          <w:sz w:val="20"/>
        </w:rPr>
        <w:t>and Surplus Account on Page 4. If there is any disallowed negative IMR balance in the Separate Accounts Statement, determine</w:t>
      </w:r>
      <w:r>
        <w:rPr>
          <w:color w:val="221F1F"/>
          <w:spacing w:val="-3"/>
          <w:sz w:val="20"/>
        </w:rPr>
        <w:t xml:space="preserve"> </w:t>
      </w:r>
      <w:r>
        <w:rPr>
          <w:color w:val="221F1F"/>
          <w:sz w:val="20"/>
        </w:rPr>
        <w:t>the</w:t>
      </w:r>
      <w:r>
        <w:rPr>
          <w:color w:val="221F1F"/>
          <w:spacing w:val="-2"/>
          <w:sz w:val="20"/>
        </w:rPr>
        <w:t xml:space="preserve"> </w:t>
      </w:r>
      <w:r>
        <w:rPr>
          <w:color w:val="221F1F"/>
          <w:sz w:val="20"/>
        </w:rPr>
        <w:t>change</w:t>
      </w:r>
      <w:r>
        <w:rPr>
          <w:color w:val="221F1F"/>
          <w:spacing w:val="-5"/>
          <w:sz w:val="20"/>
        </w:rPr>
        <w:t xml:space="preserve"> </w:t>
      </w:r>
      <w:r>
        <w:rPr>
          <w:color w:val="221F1F"/>
          <w:sz w:val="20"/>
        </w:rPr>
        <w:t>in</w:t>
      </w:r>
      <w:r>
        <w:rPr>
          <w:color w:val="221F1F"/>
          <w:spacing w:val="-2"/>
          <w:sz w:val="20"/>
        </w:rPr>
        <w:t xml:space="preserve"> </w:t>
      </w:r>
      <w:r>
        <w:rPr>
          <w:color w:val="221F1F"/>
          <w:sz w:val="20"/>
        </w:rPr>
        <w:t>the</w:t>
      </w:r>
      <w:r>
        <w:rPr>
          <w:color w:val="221F1F"/>
          <w:spacing w:val="-4"/>
          <w:sz w:val="20"/>
        </w:rPr>
        <w:t xml:space="preserve"> </w:t>
      </w:r>
      <w:r>
        <w:rPr>
          <w:color w:val="221F1F"/>
          <w:sz w:val="20"/>
        </w:rPr>
        <w:t>disallowed</w:t>
      </w:r>
      <w:r>
        <w:rPr>
          <w:color w:val="221F1F"/>
          <w:spacing w:val="1"/>
          <w:sz w:val="20"/>
        </w:rPr>
        <w:t xml:space="preserve"> </w:t>
      </w:r>
      <w:r>
        <w:rPr>
          <w:color w:val="221F1F"/>
          <w:sz w:val="20"/>
        </w:rPr>
        <w:t>portion</w:t>
      </w:r>
      <w:r>
        <w:rPr>
          <w:color w:val="221F1F"/>
          <w:spacing w:val="-3"/>
          <w:sz w:val="20"/>
        </w:rPr>
        <w:t xml:space="preserve"> </w:t>
      </w:r>
      <w:r>
        <w:rPr>
          <w:color w:val="221F1F"/>
          <w:sz w:val="20"/>
        </w:rPr>
        <w:t>(prior</w:t>
      </w:r>
      <w:r>
        <w:rPr>
          <w:color w:val="221F1F"/>
          <w:spacing w:val="-4"/>
          <w:sz w:val="20"/>
        </w:rPr>
        <w:t xml:space="preserve"> </w:t>
      </w:r>
      <w:r>
        <w:rPr>
          <w:color w:val="221F1F"/>
          <w:sz w:val="20"/>
        </w:rPr>
        <w:t>year</w:t>
      </w:r>
      <w:r>
        <w:rPr>
          <w:color w:val="221F1F"/>
          <w:spacing w:val="-4"/>
          <w:sz w:val="20"/>
        </w:rPr>
        <w:t xml:space="preserve"> </w:t>
      </w:r>
      <w:r>
        <w:rPr>
          <w:color w:val="221F1F"/>
          <w:sz w:val="20"/>
        </w:rPr>
        <w:t>less</w:t>
      </w:r>
      <w:r>
        <w:rPr>
          <w:color w:val="221F1F"/>
          <w:spacing w:val="-4"/>
          <w:sz w:val="20"/>
        </w:rPr>
        <w:t xml:space="preserve"> </w:t>
      </w:r>
      <w:r>
        <w:rPr>
          <w:color w:val="221F1F"/>
          <w:sz w:val="20"/>
        </w:rPr>
        <w:t>current</w:t>
      </w:r>
      <w:r>
        <w:rPr>
          <w:color w:val="221F1F"/>
          <w:spacing w:val="-5"/>
          <w:sz w:val="20"/>
        </w:rPr>
        <w:t xml:space="preserve"> </w:t>
      </w:r>
      <w:r>
        <w:rPr>
          <w:color w:val="221F1F"/>
          <w:sz w:val="20"/>
        </w:rPr>
        <w:t>year</w:t>
      </w:r>
      <w:r>
        <w:rPr>
          <w:color w:val="221F1F"/>
          <w:spacing w:val="-5"/>
          <w:sz w:val="20"/>
        </w:rPr>
        <w:t xml:space="preserve"> </w:t>
      </w:r>
      <w:r>
        <w:rPr>
          <w:color w:val="221F1F"/>
          <w:sz w:val="20"/>
        </w:rPr>
        <w:t>disallowed</w:t>
      </w:r>
      <w:r>
        <w:rPr>
          <w:color w:val="221F1F"/>
          <w:spacing w:val="9"/>
          <w:sz w:val="20"/>
        </w:rPr>
        <w:t xml:space="preserve"> </w:t>
      </w:r>
      <w:r>
        <w:rPr>
          <w:color w:val="221F1F"/>
          <w:sz w:val="20"/>
        </w:rPr>
        <w:t>portions),</w:t>
      </w:r>
      <w:r>
        <w:rPr>
          <w:color w:val="221F1F"/>
          <w:spacing w:val="-5"/>
          <w:sz w:val="20"/>
        </w:rPr>
        <w:t xml:space="preserve"> </w:t>
      </w:r>
      <w:r>
        <w:rPr>
          <w:color w:val="221F1F"/>
          <w:sz w:val="20"/>
        </w:rPr>
        <w:t>and</w:t>
      </w:r>
      <w:r>
        <w:rPr>
          <w:color w:val="221F1F"/>
          <w:spacing w:val="-2"/>
          <w:sz w:val="20"/>
        </w:rPr>
        <w:t xml:space="preserve"> </w:t>
      </w:r>
      <w:r>
        <w:rPr>
          <w:color w:val="221F1F"/>
          <w:sz w:val="20"/>
        </w:rPr>
        <w:t>make</w:t>
      </w:r>
      <w:r>
        <w:rPr>
          <w:color w:val="221F1F"/>
          <w:spacing w:val="-2"/>
          <w:sz w:val="20"/>
        </w:rPr>
        <w:t xml:space="preserve"> </w:t>
      </w:r>
      <w:r>
        <w:rPr>
          <w:color w:val="221F1F"/>
          <w:sz w:val="20"/>
        </w:rPr>
        <w:t>a</w:t>
      </w:r>
      <w:r>
        <w:rPr>
          <w:color w:val="221F1F"/>
          <w:spacing w:val="-5"/>
          <w:sz w:val="20"/>
        </w:rPr>
        <w:t xml:space="preserve"> </w:t>
      </w:r>
      <w:r>
        <w:rPr>
          <w:color w:val="221F1F"/>
          <w:spacing w:val="-2"/>
          <w:sz w:val="20"/>
        </w:rPr>
        <w:t>direct</w:t>
      </w:r>
    </w:p>
    <w:p w14:paraId="4E238E50" w14:textId="77777777" w:rsidR="00680063" w:rsidRDefault="00000000">
      <w:pPr>
        <w:spacing w:line="228" w:lineRule="exact"/>
        <w:ind w:right="1310"/>
        <w:jc w:val="right"/>
        <w:rPr>
          <w:sz w:val="20"/>
        </w:rPr>
      </w:pPr>
      <w:r>
        <w:rPr>
          <w:noProof/>
        </w:rPr>
        <w:drawing>
          <wp:anchor distT="0" distB="0" distL="0" distR="0" simplePos="0" relativeHeight="15747584" behindDoc="0" locked="0" layoutInCell="1" allowOverlap="1" wp14:anchorId="52ADBEB1" wp14:editId="6E796A1C">
            <wp:simplePos x="0" y="0"/>
            <wp:positionH relativeFrom="page">
              <wp:posOffset>918972</wp:posOffset>
            </wp:positionH>
            <wp:positionV relativeFrom="paragraph">
              <wp:posOffset>29165</wp:posOffset>
            </wp:positionV>
            <wp:extent cx="5714999" cy="115824"/>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37" cstate="print"/>
                    <a:stretch>
                      <a:fillRect/>
                    </a:stretch>
                  </pic:blipFill>
                  <pic:spPr>
                    <a:xfrm>
                      <a:off x="0" y="0"/>
                      <a:ext cx="5714999" cy="115824"/>
                    </a:xfrm>
                    <a:prstGeom prst="rect">
                      <a:avLst/>
                    </a:prstGeom>
                  </pic:spPr>
                </pic:pic>
              </a:graphicData>
            </a:graphic>
          </wp:anchor>
        </w:drawing>
      </w:r>
      <w:r>
        <w:rPr>
          <w:color w:val="221F1F"/>
          <w:w w:val="95"/>
          <w:sz w:val="20"/>
        </w:rPr>
        <w:t>-</w:t>
      </w:r>
      <w:r>
        <w:rPr>
          <w:color w:val="221F1F"/>
          <w:spacing w:val="-5"/>
          <w:sz w:val="20"/>
        </w:rPr>
        <w:t>in</w:t>
      </w:r>
    </w:p>
    <w:p w14:paraId="45176688" w14:textId="77777777" w:rsidR="00680063" w:rsidRDefault="00000000">
      <w:pPr>
        <w:spacing w:before="48"/>
        <w:ind w:left="478"/>
        <w:rPr>
          <w:sz w:val="20"/>
        </w:rPr>
      </w:pPr>
      <w:r>
        <w:rPr>
          <w:color w:val="221F1F"/>
          <w:sz w:val="20"/>
        </w:rPr>
        <w:t>line,</w:t>
      </w:r>
      <w:r>
        <w:rPr>
          <w:color w:val="221F1F"/>
          <w:spacing w:val="-6"/>
          <w:sz w:val="20"/>
        </w:rPr>
        <w:t xml:space="preserve"> </w:t>
      </w:r>
      <w:r>
        <w:rPr>
          <w:color w:val="221F1F"/>
          <w:sz w:val="20"/>
        </w:rPr>
        <w:t>in</w:t>
      </w:r>
      <w:r>
        <w:rPr>
          <w:color w:val="221F1F"/>
          <w:spacing w:val="-3"/>
          <w:sz w:val="20"/>
        </w:rPr>
        <w:t xml:space="preserve"> </w:t>
      </w:r>
      <w:r>
        <w:rPr>
          <w:color w:val="221F1F"/>
          <w:sz w:val="20"/>
        </w:rPr>
        <w:t>the</w:t>
      </w:r>
      <w:r>
        <w:rPr>
          <w:color w:val="221F1F"/>
          <w:spacing w:val="-3"/>
          <w:sz w:val="20"/>
        </w:rPr>
        <w:t xml:space="preserve"> </w:t>
      </w:r>
      <w:r>
        <w:rPr>
          <w:color w:val="221F1F"/>
          <w:sz w:val="20"/>
        </w:rPr>
        <w:t>Surplus</w:t>
      </w:r>
      <w:r>
        <w:rPr>
          <w:color w:val="221F1F"/>
          <w:spacing w:val="-4"/>
          <w:sz w:val="20"/>
        </w:rPr>
        <w:t xml:space="preserve"> </w:t>
      </w:r>
      <w:r>
        <w:rPr>
          <w:color w:val="221F1F"/>
          <w:sz w:val="20"/>
        </w:rPr>
        <w:t>Account</w:t>
      </w:r>
      <w:r>
        <w:rPr>
          <w:color w:val="221F1F"/>
          <w:spacing w:val="-7"/>
          <w:sz w:val="20"/>
        </w:rPr>
        <w:t xml:space="preserve"> </w:t>
      </w:r>
      <w:r>
        <w:rPr>
          <w:color w:val="221F1F"/>
          <w:sz w:val="20"/>
        </w:rPr>
        <w:t>on</w:t>
      </w:r>
      <w:r>
        <w:rPr>
          <w:color w:val="221F1F"/>
          <w:spacing w:val="-5"/>
          <w:sz w:val="20"/>
        </w:rPr>
        <w:t xml:space="preserve"> </w:t>
      </w:r>
      <w:r>
        <w:rPr>
          <w:color w:val="221F1F"/>
          <w:sz w:val="20"/>
        </w:rPr>
        <w:t>Page</w:t>
      </w:r>
      <w:r>
        <w:rPr>
          <w:color w:val="221F1F"/>
          <w:spacing w:val="-3"/>
          <w:sz w:val="20"/>
        </w:rPr>
        <w:t xml:space="preserve"> </w:t>
      </w:r>
      <w:r>
        <w:rPr>
          <w:color w:val="221F1F"/>
          <w:sz w:val="20"/>
        </w:rPr>
        <w:t>4</w:t>
      </w:r>
      <w:r>
        <w:rPr>
          <w:color w:val="221F1F"/>
          <w:spacing w:val="-3"/>
          <w:sz w:val="20"/>
        </w:rPr>
        <w:t xml:space="preserve"> </w:t>
      </w:r>
      <w:r>
        <w:rPr>
          <w:color w:val="221F1F"/>
          <w:sz w:val="20"/>
        </w:rPr>
        <w:t>of</w:t>
      </w:r>
      <w:r>
        <w:rPr>
          <w:color w:val="221F1F"/>
          <w:spacing w:val="-4"/>
          <w:sz w:val="20"/>
        </w:rPr>
        <w:t xml:space="preserve"> </w:t>
      </w:r>
      <w:r>
        <w:rPr>
          <w:color w:val="221F1F"/>
          <w:sz w:val="20"/>
        </w:rPr>
        <w:t>the</w:t>
      </w:r>
      <w:r>
        <w:rPr>
          <w:color w:val="221F1F"/>
          <w:spacing w:val="-3"/>
          <w:sz w:val="20"/>
        </w:rPr>
        <w:t xml:space="preserve"> </w:t>
      </w:r>
      <w:r>
        <w:rPr>
          <w:color w:val="221F1F"/>
          <w:sz w:val="20"/>
        </w:rPr>
        <w:t>Separate</w:t>
      </w:r>
      <w:r>
        <w:rPr>
          <w:color w:val="221F1F"/>
          <w:spacing w:val="-3"/>
          <w:sz w:val="20"/>
        </w:rPr>
        <w:t xml:space="preserve"> </w:t>
      </w:r>
      <w:r>
        <w:rPr>
          <w:color w:val="221F1F"/>
          <w:sz w:val="20"/>
        </w:rPr>
        <w:t>Accounts</w:t>
      </w:r>
      <w:r>
        <w:rPr>
          <w:color w:val="221F1F"/>
          <w:spacing w:val="-5"/>
          <w:sz w:val="20"/>
        </w:rPr>
        <w:t xml:space="preserve"> </w:t>
      </w:r>
      <w:r>
        <w:rPr>
          <w:color w:val="221F1F"/>
          <w:spacing w:val="-2"/>
          <w:sz w:val="20"/>
        </w:rPr>
        <w:t>Statement.</w:t>
      </w:r>
    </w:p>
    <w:p w14:paraId="2DC55695" w14:textId="77777777" w:rsidR="00680063" w:rsidRDefault="00680063">
      <w:pPr>
        <w:pStyle w:val="BodyText"/>
        <w:spacing w:before="10"/>
        <w:rPr>
          <w:sz w:val="28"/>
        </w:rPr>
      </w:pPr>
    </w:p>
    <w:p w14:paraId="0697708B" w14:textId="77777777" w:rsidR="00680063" w:rsidRDefault="00000000">
      <w:pPr>
        <w:ind w:left="478"/>
        <w:rPr>
          <w:sz w:val="20"/>
        </w:rPr>
      </w:pPr>
      <w:r>
        <w:rPr>
          <w:sz w:val="20"/>
        </w:rPr>
        <w:t>The</w:t>
      </w:r>
      <w:r>
        <w:rPr>
          <w:spacing w:val="-5"/>
          <w:sz w:val="20"/>
        </w:rPr>
        <w:t xml:space="preserve"> </w:t>
      </w:r>
      <w:r>
        <w:rPr>
          <w:sz w:val="20"/>
        </w:rPr>
        <w:t>following</w:t>
      </w:r>
      <w:r>
        <w:rPr>
          <w:spacing w:val="-4"/>
          <w:sz w:val="20"/>
        </w:rPr>
        <w:t xml:space="preserve"> </w:t>
      </w:r>
      <w:r>
        <w:rPr>
          <w:sz w:val="20"/>
        </w:rPr>
        <w:t>information</w:t>
      </w:r>
      <w:r>
        <w:rPr>
          <w:spacing w:val="-5"/>
          <w:sz w:val="20"/>
        </w:rPr>
        <w:t xml:space="preserve"> </w:t>
      </w:r>
      <w:r>
        <w:rPr>
          <w:sz w:val="20"/>
        </w:rPr>
        <w:t>is</w:t>
      </w:r>
      <w:r>
        <w:rPr>
          <w:spacing w:val="-8"/>
          <w:sz w:val="20"/>
        </w:rPr>
        <w:t xml:space="preserve"> </w:t>
      </w:r>
      <w:r>
        <w:rPr>
          <w:sz w:val="20"/>
        </w:rPr>
        <w:t>presented</w:t>
      </w:r>
      <w:r>
        <w:rPr>
          <w:spacing w:val="-4"/>
          <w:sz w:val="20"/>
        </w:rPr>
        <w:t xml:space="preserve"> </w:t>
      </w:r>
      <w:r>
        <w:rPr>
          <w:sz w:val="20"/>
        </w:rPr>
        <w:t>to</w:t>
      </w:r>
      <w:r>
        <w:rPr>
          <w:spacing w:val="-6"/>
          <w:sz w:val="20"/>
        </w:rPr>
        <w:t xml:space="preserve"> </w:t>
      </w:r>
      <w:r>
        <w:rPr>
          <w:sz w:val="20"/>
        </w:rPr>
        <w:t>assist</w:t>
      </w:r>
      <w:r>
        <w:rPr>
          <w:spacing w:val="-5"/>
          <w:sz w:val="20"/>
        </w:rPr>
        <w:t xml:space="preserve"> </w:t>
      </w:r>
      <w:r>
        <w:rPr>
          <w:sz w:val="20"/>
        </w:rPr>
        <w:t>in</w:t>
      </w:r>
      <w:r>
        <w:rPr>
          <w:spacing w:val="-5"/>
          <w:sz w:val="20"/>
        </w:rPr>
        <w:t xml:space="preserve"> </w:t>
      </w:r>
      <w:r>
        <w:rPr>
          <w:sz w:val="20"/>
        </w:rPr>
        <w:t>determining</w:t>
      </w:r>
      <w:r>
        <w:rPr>
          <w:spacing w:val="-4"/>
          <w:sz w:val="20"/>
        </w:rPr>
        <w:t xml:space="preserve"> </w:t>
      </w:r>
      <w:r>
        <w:rPr>
          <w:sz w:val="20"/>
        </w:rPr>
        <w:t>the</w:t>
      </w:r>
      <w:r>
        <w:rPr>
          <w:spacing w:val="-5"/>
          <w:sz w:val="20"/>
        </w:rPr>
        <w:t xml:space="preserve"> </w:t>
      </w:r>
      <w:r>
        <w:rPr>
          <w:sz w:val="20"/>
        </w:rPr>
        <w:t>proper</w:t>
      </w:r>
      <w:r>
        <w:rPr>
          <w:spacing w:val="-8"/>
          <w:sz w:val="20"/>
        </w:rPr>
        <w:t xml:space="preserve"> </w:t>
      </w:r>
      <w:r>
        <w:rPr>
          <w:spacing w:val="-2"/>
          <w:sz w:val="20"/>
        </w:rPr>
        <w:t>accounting:</w:t>
      </w:r>
    </w:p>
    <w:p w14:paraId="7AC532E0" w14:textId="77777777" w:rsidR="00680063" w:rsidRDefault="00680063">
      <w:pPr>
        <w:pStyle w:val="BodyText"/>
        <w:spacing w:before="8"/>
        <w:rPr>
          <w:sz w:val="20"/>
        </w:rPr>
      </w:pPr>
    </w:p>
    <w:p w14:paraId="7A3DA5EB" w14:textId="77777777" w:rsidR="00680063" w:rsidRDefault="00680063">
      <w:pPr>
        <w:rPr>
          <w:sz w:val="20"/>
        </w:rPr>
        <w:sectPr w:rsidR="00680063">
          <w:type w:val="continuous"/>
          <w:pgSz w:w="12240" w:h="15840"/>
          <w:pgMar w:top="1500" w:right="240" w:bottom="280" w:left="960" w:header="720" w:footer="720" w:gutter="0"/>
          <w:cols w:space="720"/>
        </w:sectPr>
      </w:pPr>
    </w:p>
    <w:p w14:paraId="2A1333F7" w14:textId="77777777" w:rsidR="00680063" w:rsidRDefault="00000000">
      <w:pPr>
        <w:spacing w:before="91" w:line="292" w:lineRule="auto"/>
        <w:ind w:left="2967" w:right="-6" w:hanging="144"/>
        <w:rPr>
          <w:sz w:val="20"/>
        </w:rPr>
      </w:pPr>
      <w:r>
        <w:pict w14:anchorId="42E89DE5">
          <v:rect id="docshape38" o:spid="_x0000_s1029" style="position:absolute;left:0;text-align:left;margin-left:168pt;margin-top:30.7pt;width:116.3pt;height:.6pt;z-index:15748096;mso-position-horizontal-relative:page" fillcolor="black" stroked="f">
            <w10:wrap anchorx="page"/>
          </v:rect>
        </w:pict>
      </w:r>
      <w:r>
        <w:pict w14:anchorId="70FE3F6B">
          <v:rect id="docshape39" o:spid="_x0000_s1028" style="position:absolute;left:0;text-align:left;margin-left:297.25pt;margin-top:30.7pt;width:100.7pt;height:.6pt;z-index:15748608;mso-position-horizontal-relative:page" fillcolor="black" stroked="f">
            <w10:wrap anchorx="page"/>
          </v:rect>
        </w:pict>
      </w:r>
      <w:r>
        <w:pict w14:anchorId="64D3D4EB">
          <v:rect id="docshape40" o:spid="_x0000_s1027" style="position:absolute;left:0;text-align:left;margin-left:412.2pt;margin-top:30.7pt;width:127.9pt;height:.6pt;z-index:15749120;mso-position-horizontal-relative:page" fillcolor="black" stroked="f">
            <w10:wrap anchorx="page"/>
          </v:rect>
        </w:pict>
      </w:r>
      <w:r>
        <w:rPr>
          <w:sz w:val="20"/>
        </w:rPr>
        <w:t>General</w:t>
      </w:r>
      <w:r>
        <w:rPr>
          <w:spacing w:val="-13"/>
          <w:sz w:val="20"/>
        </w:rPr>
        <w:t xml:space="preserve"> </w:t>
      </w:r>
      <w:r>
        <w:rPr>
          <w:sz w:val="20"/>
        </w:rPr>
        <w:t>Account IMR Balance</w:t>
      </w:r>
    </w:p>
    <w:p w14:paraId="3DBD4D7E" w14:textId="77777777" w:rsidR="00680063" w:rsidRDefault="00000000">
      <w:pPr>
        <w:spacing w:before="91" w:line="292" w:lineRule="auto"/>
        <w:ind w:left="1172" w:right="-6" w:hanging="171"/>
        <w:rPr>
          <w:sz w:val="20"/>
        </w:rPr>
      </w:pPr>
      <w:r>
        <w:br w:type="column"/>
      </w:r>
      <w:r>
        <w:rPr>
          <w:sz w:val="20"/>
        </w:rPr>
        <w:t>Separate</w:t>
      </w:r>
      <w:r>
        <w:rPr>
          <w:spacing w:val="-13"/>
          <w:sz w:val="20"/>
        </w:rPr>
        <w:t xml:space="preserve"> </w:t>
      </w:r>
      <w:r>
        <w:rPr>
          <w:sz w:val="20"/>
        </w:rPr>
        <w:t>Account IMR Balance</w:t>
      </w:r>
    </w:p>
    <w:p w14:paraId="2252AE8C" w14:textId="77777777" w:rsidR="00680063" w:rsidRDefault="00000000">
      <w:pPr>
        <w:spacing w:before="91" w:line="292" w:lineRule="auto"/>
        <w:ind w:left="1289" w:right="1994" w:firstLine="391"/>
        <w:rPr>
          <w:sz w:val="20"/>
        </w:rPr>
      </w:pPr>
      <w:r>
        <w:br w:type="column"/>
      </w:r>
      <w:r>
        <w:rPr>
          <w:spacing w:val="-4"/>
          <w:sz w:val="20"/>
        </w:rPr>
        <w:t>Net</w:t>
      </w:r>
      <w:r>
        <w:rPr>
          <w:spacing w:val="40"/>
          <w:sz w:val="20"/>
        </w:rPr>
        <w:t xml:space="preserve"> </w:t>
      </w:r>
      <w:r>
        <w:rPr>
          <w:sz w:val="20"/>
        </w:rPr>
        <w:t>IMR</w:t>
      </w:r>
      <w:r>
        <w:rPr>
          <w:spacing w:val="-13"/>
          <w:sz w:val="20"/>
        </w:rPr>
        <w:t xml:space="preserve"> </w:t>
      </w:r>
      <w:r>
        <w:rPr>
          <w:sz w:val="20"/>
        </w:rPr>
        <w:t>Balance</w:t>
      </w:r>
    </w:p>
    <w:p w14:paraId="58FEE72E" w14:textId="77777777" w:rsidR="00680063" w:rsidRDefault="00680063">
      <w:pPr>
        <w:spacing w:line="292" w:lineRule="auto"/>
        <w:rPr>
          <w:sz w:val="20"/>
        </w:rPr>
        <w:sectPr w:rsidR="00680063">
          <w:type w:val="continuous"/>
          <w:pgSz w:w="12240" w:h="15840"/>
          <w:pgMar w:top="1500" w:right="240" w:bottom="280" w:left="960" w:header="720" w:footer="720" w:gutter="0"/>
          <w:cols w:num="3" w:space="720" w:equalWidth="0">
            <w:col w:w="4185" w:space="40"/>
            <w:col w:w="2419" w:space="39"/>
            <w:col w:w="4357"/>
          </w:cols>
        </w:sectPr>
      </w:pPr>
    </w:p>
    <w:p w14:paraId="45F7C400" w14:textId="77777777" w:rsidR="00680063" w:rsidRDefault="00680063">
      <w:pPr>
        <w:pStyle w:val="BodyText"/>
        <w:spacing w:before="2"/>
        <w:rPr>
          <w:sz w:val="17"/>
        </w:rPr>
      </w:pPr>
    </w:p>
    <w:p w14:paraId="4D270A3E" w14:textId="77777777" w:rsidR="00680063" w:rsidRDefault="00000000">
      <w:pPr>
        <w:tabs>
          <w:tab w:val="left" w:pos="5612"/>
          <w:tab w:val="left" w:pos="7716"/>
        </w:tabs>
        <w:spacing w:before="91"/>
        <w:ind w:left="3182"/>
        <w:rPr>
          <w:sz w:val="20"/>
        </w:rPr>
      </w:pPr>
      <w:r>
        <w:rPr>
          <w:spacing w:val="-2"/>
          <w:sz w:val="20"/>
        </w:rPr>
        <w:t>Positive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a)</w:t>
      </w:r>
    </w:p>
    <w:p w14:paraId="6DC0C8FC" w14:textId="77777777" w:rsidR="00680063" w:rsidRDefault="00000000">
      <w:pPr>
        <w:tabs>
          <w:tab w:val="left" w:pos="5572"/>
          <w:tab w:val="left" w:pos="7672"/>
        </w:tabs>
        <w:spacing w:before="51"/>
        <w:ind w:left="3143"/>
        <w:rPr>
          <w:sz w:val="20"/>
        </w:rPr>
      </w:pPr>
      <w:r>
        <w:rPr>
          <w:spacing w:val="-2"/>
          <w:sz w:val="20"/>
        </w:rPr>
        <w:t>Negative</w:t>
      </w:r>
      <w:r>
        <w:rPr>
          <w:sz w:val="20"/>
        </w:rPr>
        <w:tab/>
      </w:r>
      <w:r>
        <w:rPr>
          <w:spacing w:val="-2"/>
          <w:sz w:val="20"/>
        </w:rPr>
        <w:t>Negative</w:t>
      </w:r>
      <w:r>
        <w:rPr>
          <w:sz w:val="20"/>
        </w:rPr>
        <w:tab/>
        <w:t>Negative</w:t>
      </w:r>
      <w:r>
        <w:rPr>
          <w:spacing w:val="-5"/>
          <w:sz w:val="20"/>
        </w:rPr>
        <w:t xml:space="preserve"> </w:t>
      </w:r>
      <w:r>
        <w:rPr>
          <w:sz w:val="20"/>
        </w:rPr>
        <w:t>(see</w:t>
      </w:r>
      <w:r>
        <w:rPr>
          <w:spacing w:val="-3"/>
          <w:sz w:val="20"/>
        </w:rPr>
        <w:t xml:space="preserve"> </w:t>
      </w:r>
      <w:r>
        <w:rPr>
          <w:sz w:val="20"/>
        </w:rPr>
        <w:t>rule</w:t>
      </w:r>
      <w:r>
        <w:rPr>
          <w:spacing w:val="-3"/>
          <w:sz w:val="20"/>
        </w:rPr>
        <w:t xml:space="preserve"> </w:t>
      </w:r>
      <w:r>
        <w:rPr>
          <w:spacing w:val="-5"/>
          <w:sz w:val="20"/>
        </w:rPr>
        <w:t>b)</w:t>
      </w:r>
    </w:p>
    <w:p w14:paraId="17EB4AEF" w14:textId="77777777" w:rsidR="00680063" w:rsidRDefault="00000000">
      <w:pPr>
        <w:tabs>
          <w:tab w:val="left" w:pos="5573"/>
          <w:tab w:val="left" w:pos="7716"/>
        </w:tabs>
        <w:spacing w:before="48"/>
        <w:ind w:left="3182"/>
        <w:rPr>
          <w:sz w:val="20"/>
        </w:rPr>
      </w:pPr>
      <w:r>
        <w:rPr>
          <w:spacing w:val="-2"/>
          <w:sz w:val="20"/>
        </w:rPr>
        <w:t>Positive</w:t>
      </w:r>
      <w:r>
        <w:rPr>
          <w:sz w:val="20"/>
        </w:rPr>
        <w:tab/>
      </w:r>
      <w:r>
        <w:rPr>
          <w:spacing w:val="-2"/>
          <w:sz w:val="20"/>
        </w:rPr>
        <w:t>Negative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c)</w:t>
      </w:r>
    </w:p>
    <w:p w14:paraId="38A66F24" w14:textId="77777777" w:rsidR="00680063" w:rsidRDefault="00000000">
      <w:pPr>
        <w:tabs>
          <w:tab w:val="left" w:pos="5573"/>
          <w:tab w:val="left" w:pos="7672"/>
        </w:tabs>
        <w:spacing w:before="51"/>
        <w:ind w:left="3182"/>
        <w:rPr>
          <w:sz w:val="20"/>
        </w:rPr>
      </w:pPr>
      <w:r>
        <w:rPr>
          <w:spacing w:val="-2"/>
          <w:sz w:val="20"/>
        </w:rPr>
        <w:t>Positive</w:t>
      </w:r>
      <w:r>
        <w:rPr>
          <w:sz w:val="20"/>
        </w:rPr>
        <w:tab/>
      </w:r>
      <w:r>
        <w:rPr>
          <w:spacing w:val="-2"/>
          <w:sz w:val="20"/>
        </w:rPr>
        <w:t>Negative</w:t>
      </w:r>
      <w:r>
        <w:rPr>
          <w:sz w:val="20"/>
        </w:rPr>
        <w:tab/>
        <w:t>Negative</w:t>
      </w:r>
      <w:r>
        <w:rPr>
          <w:spacing w:val="-4"/>
          <w:sz w:val="20"/>
        </w:rPr>
        <w:t xml:space="preserve"> </w:t>
      </w:r>
      <w:r>
        <w:rPr>
          <w:sz w:val="20"/>
        </w:rPr>
        <w:t>(see</w:t>
      </w:r>
      <w:r>
        <w:rPr>
          <w:spacing w:val="-4"/>
          <w:sz w:val="20"/>
        </w:rPr>
        <w:t xml:space="preserve"> </w:t>
      </w:r>
      <w:r>
        <w:rPr>
          <w:sz w:val="20"/>
        </w:rPr>
        <w:t>rule</w:t>
      </w:r>
      <w:r>
        <w:rPr>
          <w:spacing w:val="-3"/>
          <w:sz w:val="20"/>
        </w:rPr>
        <w:t xml:space="preserve"> </w:t>
      </w:r>
      <w:r>
        <w:rPr>
          <w:spacing w:val="-5"/>
          <w:sz w:val="20"/>
        </w:rPr>
        <w:t>d)</w:t>
      </w:r>
    </w:p>
    <w:p w14:paraId="64029A62" w14:textId="77777777" w:rsidR="00680063" w:rsidRDefault="00000000">
      <w:pPr>
        <w:tabs>
          <w:tab w:val="left" w:pos="5614"/>
          <w:tab w:val="left" w:pos="7716"/>
        </w:tabs>
        <w:spacing w:before="51"/>
        <w:ind w:left="3143"/>
        <w:rPr>
          <w:sz w:val="20"/>
        </w:rPr>
      </w:pPr>
      <w:r>
        <w:rPr>
          <w:spacing w:val="-2"/>
          <w:sz w:val="20"/>
        </w:rPr>
        <w:t>Negative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e)</w:t>
      </w:r>
    </w:p>
    <w:p w14:paraId="52E9876E" w14:textId="77777777" w:rsidR="00680063" w:rsidRDefault="00000000">
      <w:pPr>
        <w:tabs>
          <w:tab w:val="left" w:pos="5614"/>
          <w:tab w:val="left" w:pos="7690"/>
        </w:tabs>
        <w:spacing w:before="48"/>
        <w:ind w:left="3143"/>
        <w:rPr>
          <w:sz w:val="20"/>
        </w:rPr>
      </w:pPr>
      <w:r>
        <w:rPr>
          <w:spacing w:val="-2"/>
          <w:sz w:val="20"/>
        </w:rPr>
        <w:t>Negative</w:t>
      </w:r>
      <w:r>
        <w:rPr>
          <w:sz w:val="20"/>
        </w:rPr>
        <w:tab/>
      </w:r>
      <w:r>
        <w:rPr>
          <w:spacing w:val="-2"/>
          <w:sz w:val="20"/>
        </w:rPr>
        <w:t>Positive</w:t>
      </w:r>
      <w:r>
        <w:rPr>
          <w:sz w:val="20"/>
        </w:rPr>
        <w:tab/>
        <w:t>Negative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f)</w:t>
      </w:r>
    </w:p>
    <w:p w14:paraId="63FD5B07" w14:textId="77777777" w:rsidR="00680063" w:rsidRDefault="00680063">
      <w:pPr>
        <w:pStyle w:val="BodyText"/>
        <w:rPr>
          <w:sz w:val="20"/>
        </w:rPr>
      </w:pPr>
    </w:p>
    <w:p w14:paraId="099A141B" w14:textId="77777777" w:rsidR="00680063" w:rsidRDefault="00680063">
      <w:pPr>
        <w:pStyle w:val="BodyText"/>
        <w:spacing w:before="5"/>
        <w:rPr>
          <w:sz w:val="16"/>
        </w:rPr>
      </w:pPr>
    </w:p>
    <w:p w14:paraId="77020D3F" w14:textId="77777777" w:rsidR="00680063" w:rsidRDefault="00000000">
      <w:pPr>
        <w:spacing w:before="91"/>
        <w:ind w:left="479"/>
        <w:rPr>
          <w:sz w:val="20"/>
        </w:rPr>
      </w:pPr>
      <w:r>
        <w:rPr>
          <w:spacing w:val="-2"/>
          <w:sz w:val="20"/>
        </w:rPr>
        <w:t>Rules:</w:t>
      </w:r>
    </w:p>
    <w:p w14:paraId="24C327FE" w14:textId="77777777" w:rsidR="00680063" w:rsidRDefault="00680063">
      <w:pPr>
        <w:pStyle w:val="BodyText"/>
        <w:spacing w:before="6"/>
        <w:rPr>
          <w:sz w:val="22"/>
        </w:rPr>
      </w:pPr>
    </w:p>
    <w:p w14:paraId="6DE209B9" w14:textId="77777777" w:rsidR="00680063" w:rsidRDefault="00000000">
      <w:pPr>
        <w:pStyle w:val="ListParagraph"/>
        <w:numPr>
          <w:ilvl w:val="0"/>
          <w:numId w:val="1"/>
        </w:numPr>
        <w:tabs>
          <w:tab w:val="left" w:pos="1018"/>
          <w:tab w:val="left" w:pos="1019"/>
        </w:tabs>
        <w:rPr>
          <w:sz w:val="20"/>
        </w:rPr>
      </w:pPr>
      <w:r>
        <w:rPr>
          <w:sz w:val="20"/>
        </w:rPr>
        <w:t>If</w:t>
      </w:r>
      <w:r>
        <w:rPr>
          <w:spacing w:val="-3"/>
          <w:sz w:val="20"/>
        </w:rPr>
        <w:t xml:space="preserve"> </w:t>
      </w:r>
      <w:r>
        <w:rPr>
          <w:sz w:val="20"/>
        </w:rPr>
        <w:t>both</w:t>
      </w:r>
      <w:r>
        <w:rPr>
          <w:spacing w:val="-7"/>
          <w:sz w:val="20"/>
        </w:rPr>
        <w:t xml:space="preserve"> </w:t>
      </w:r>
      <w:r>
        <w:rPr>
          <w:sz w:val="20"/>
        </w:rPr>
        <w:t>balances</w:t>
      </w:r>
      <w:r>
        <w:rPr>
          <w:spacing w:val="-4"/>
          <w:sz w:val="20"/>
        </w:rPr>
        <w:t xml:space="preserve"> </w:t>
      </w:r>
      <w:r>
        <w:rPr>
          <w:sz w:val="20"/>
        </w:rPr>
        <w:t>are</w:t>
      </w:r>
      <w:r>
        <w:rPr>
          <w:spacing w:val="-5"/>
          <w:sz w:val="20"/>
        </w:rPr>
        <w:t xml:space="preserve"> </w:t>
      </w:r>
      <w:r>
        <w:rPr>
          <w:sz w:val="20"/>
        </w:rPr>
        <w:t>positive,</w:t>
      </w:r>
      <w:r>
        <w:rPr>
          <w:spacing w:val="-5"/>
          <w:sz w:val="20"/>
        </w:rPr>
        <w:t xml:space="preserve"> </w:t>
      </w:r>
      <w:r>
        <w:rPr>
          <w:sz w:val="20"/>
        </w:rPr>
        <w:t>then</w:t>
      </w:r>
      <w:r>
        <w:rPr>
          <w:spacing w:val="-3"/>
          <w:sz w:val="20"/>
        </w:rPr>
        <w:t xml:space="preserve"> </w:t>
      </w:r>
      <w:r>
        <w:rPr>
          <w:sz w:val="20"/>
        </w:rPr>
        <w:t>report</w:t>
      </w:r>
      <w:r>
        <w:rPr>
          <w:spacing w:val="-3"/>
          <w:sz w:val="20"/>
        </w:rPr>
        <w:t xml:space="preserve"> </w:t>
      </w:r>
      <w:r>
        <w:rPr>
          <w:sz w:val="20"/>
        </w:rPr>
        <w:t>each</w:t>
      </w:r>
      <w:r>
        <w:rPr>
          <w:spacing w:val="-5"/>
          <w:sz w:val="20"/>
        </w:rPr>
        <w:t xml:space="preserve"> </w:t>
      </w:r>
      <w:r>
        <w:rPr>
          <w:sz w:val="20"/>
        </w:rPr>
        <w:t>as</w:t>
      </w:r>
      <w:r>
        <w:rPr>
          <w:spacing w:val="-5"/>
          <w:sz w:val="20"/>
        </w:rPr>
        <w:t xml:space="preserve"> </w:t>
      </w:r>
      <w:r>
        <w:rPr>
          <w:sz w:val="20"/>
        </w:rPr>
        <w:t>aa</w:t>
      </w:r>
      <w:r>
        <w:rPr>
          <w:spacing w:val="-2"/>
          <w:sz w:val="20"/>
        </w:rPr>
        <w:t xml:space="preserve"> </w:t>
      </w:r>
      <w:r>
        <w:rPr>
          <w:sz w:val="20"/>
        </w:rPr>
        <w:t>liability</w:t>
      </w:r>
      <w:r>
        <w:rPr>
          <w:spacing w:val="-3"/>
          <w:sz w:val="20"/>
        </w:rPr>
        <w:t xml:space="preserve"> </w:t>
      </w:r>
      <w:r>
        <w:rPr>
          <w:sz w:val="20"/>
        </w:rPr>
        <w:t>in</w:t>
      </w:r>
      <w:r>
        <w:rPr>
          <w:spacing w:val="-5"/>
          <w:sz w:val="20"/>
        </w:rPr>
        <w:t xml:space="preserve"> </w:t>
      </w:r>
      <w:r>
        <w:rPr>
          <w:sz w:val="20"/>
        </w:rPr>
        <w:t>its</w:t>
      </w:r>
      <w:r>
        <w:rPr>
          <w:spacing w:val="-6"/>
          <w:sz w:val="20"/>
        </w:rPr>
        <w:t xml:space="preserve"> </w:t>
      </w:r>
      <w:r>
        <w:rPr>
          <w:sz w:val="20"/>
        </w:rPr>
        <w:t>respective</w:t>
      </w:r>
      <w:r>
        <w:rPr>
          <w:spacing w:val="4"/>
          <w:sz w:val="20"/>
        </w:rPr>
        <w:t xml:space="preserve"> </w:t>
      </w:r>
      <w:r>
        <w:rPr>
          <w:spacing w:val="-2"/>
          <w:sz w:val="20"/>
        </w:rPr>
        <w:t>statement.</w:t>
      </w:r>
    </w:p>
    <w:p w14:paraId="139BDEDE" w14:textId="77777777" w:rsidR="00680063" w:rsidRDefault="00680063">
      <w:pPr>
        <w:pStyle w:val="BodyText"/>
        <w:spacing w:before="4"/>
        <w:rPr>
          <w:sz w:val="22"/>
        </w:rPr>
      </w:pPr>
    </w:p>
    <w:p w14:paraId="5DC1AA69" w14:textId="77777777" w:rsidR="00680063" w:rsidRDefault="00000000">
      <w:pPr>
        <w:pStyle w:val="ListParagraph"/>
        <w:numPr>
          <w:ilvl w:val="0"/>
          <w:numId w:val="1"/>
        </w:numPr>
        <w:tabs>
          <w:tab w:val="left" w:pos="1019"/>
        </w:tabs>
        <w:spacing w:before="1" w:line="247" w:lineRule="auto"/>
        <w:ind w:right="1214"/>
        <w:jc w:val="both"/>
        <w:rPr>
          <w:sz w:val="20"/>
        </w:rPr>
      </w:pPr>
      <w:r>
        <w:rPr>
          <w:sz w:val="20"/>
        </w:rPr>
        <w:t>If both balances are negative, then no portion of the negative balances is allowable as a negative liability in either statement.</w:t>
      </w:r>
      <w:r>
        <w:rPr>
          <w:spacing w:val="40"/>
          <w:sz w:val="20"/>
        </w:rPr>
        <w:t xml:space="preserve"> </w:t>
      </w:r>
      <w:r>
        <w:rPr>
          <w:sz w:val="20"/>
        </w:rPr>
        <w:t>Report a zero for the IMR liability in each statement and follow the above instructions for handling disallowed negative IMR balances in each statement.</w:t>
      </w:r>
    </w:p>
    <w:p w14:paraId="69B36E16" w14:textId="77777777" w:rsidR="00680063" w:rsidRDefault="00680063">
      <w:pPr>
        <w:pStyle w:val="BodyText"/>
        <w:spacing w:before="9"/>
      </w:pPr>
    </w:p>
    <w:p w14:paraId="23932A12" w14:textId="77777777" w:rsidR="00680063" w:rsidRDefault="00000000">
      <w:pPr>
        <w:pStyle w:val="ListParagraph"/>
        <w:numPr>
          <w:ilvl w:val="0"/>
          <w:numId w:val="1"/>
        </w:numPr>
        <w:tabs>
          <w:tab w:val="left" w:pos="1019"/>
        </w:tabs>
        <w:spacing w:line="247" w:lineRule="auto"/>
        <w:ind w:right="1210"/>
        <w:jc w:val="both"/>
        <w:rPr>
          <w:sz w:val="20"/>
        </w:rPr>
      </w:pPr>
      <w:r>
        <w:rPr>
          <w:sz w:val="20"/>
        </w:rPr>
        <w:t xml:space="preserve">If </w:t>
      </w:r>
      <w:r>
        <w:rPr>
          <w:color w:val="221F1F"/>
          <w:sz w:val="20"/>
        </w:rPr>
        <w:t>the general account balance is positive, the separate accounts balance is negative and the combined net balance is positive, then all of the negative IMR balance is allowable as a negative liability in the Separate Accounts Statement.</w:t>
      </w:r>
    </w:p>
    <w:p w14:paraId="5FC1B37A" w14:textId="77777777" w:rsidR="00680063" w:rsidRDefault="00680063">
      <w:pPr>
        <w:pStyle w:val="BodyText"/>
        <w:rPr>
          <w:sz w:val="25"/>
        </w:rPr>
      </w:pPr>
    </w:p>
    <w:p w14:paraId="250F3F57" w14:textId="77777777" w:rsidR="00680063" w:rsidRDefault="00000000">
      <w:pPr>
        <w:pStyle w:val="ListParagraph"/>
        <w:numPr>
          <w:ilvl w:val="0"/>
          <w:numId w:val="1"/>
        </w:numPr>
        <w:tabs>
          <w:tab w:val="left" w:pos="1019"/>
        </w:tabs>
        <w:spacing w:before="1" w:line="247" w:lineRule="auto"/>
        <w:ind w:right="1201"/>
        <w:jc w:val="both"/>
        <w:rPr>
          <w:sz w:val="20"/>
        </w:rPr>
      </w:pPr>
      <w:r>
        <w:rPr>
          <w:sz w:val="20"/>
        </w:rPr>
        <w:t>I</w:t>
      </w:r>
      <w:r>
        <w:rPr>
          <w:color w:val="221F1F"/>
          <w:sz w:val="20"/>
        </w:rPr>
        <w:t>f the general account balance is positive, the separate account balance is negative, and the combined net balance</w:t>
      </w:r>
      <w:r>
        <w:rPr>
          <w:color w:val="221F1F"/>
          <w:spacing w:val="-6"/>
          <w:sz w:val="20"/>
        </w:rPr>
        <w:t xml:space="preserve"> </w:t>
      </w:r>
      <w:r>
        <w:rPr>
          <w:color w:val="221F1F"/>
          <w:sz w:val="20"/>
        </w:rPr>
        <w:t>is</w:t>
      </w:r>
      <w:r>
        <w:rPr>
          <w:color w:val="221F1F"/>
          <w:spacing w:val="-8"/>
          <w:sz w:val="20"/>
        </w:rPr>
        <w:t xml:space="preserve"> </w:t>
      </w:r>
      <w:r>
        <w:rPr>
          <w:color w:val="221F1F"/>
          <w:sz w:val="20"/>
        </w:rPr>
        <w:t>negative,</w:t>
      </w:r>
      <w:r>
        <w:rPr>
          <w:color w:val="221F1F"/>
          <w:spacing w:val="-4"/>
          <w:sz w:val="20"/>
        </w:rPr>
        <w:t xml:space="preserve"> </w:t>
      </w:r>
      <w:r>
        <w:rPr>
          <w:color w:val="221F1F"/>
          <w:sz w:val="20"/>
        </w:rPr>
        <w:t>then</w:t>
      </w:r>
      <w:r>
        <w:rPr>
          <w:color w:val="221F1F"/>
          <w:spacing w:val="-4"/>
          <w:sz w:val="20"/>
        </w:rPr>
        <w:t xml:space="preserve"> </w:t>
      </w:r>
      <w:r>
        <w:rPr>
          <w:color w:val="221F1F"/>
          <w:sz w:val="20"/>
        </w:rPr>
        <w:t>the</w:t>
      </w:r>
      <w:r>
        <w:rPr>
          <w:color w:val="221F1F"/>
          <w:spacing w:val="-6"/>
          <w:sz w:val="20"/>
        </w:rPr>
        <w:t xml:space="preserve"> </w:t>
      </w:r>
      <w:r>
        <w:rPr>
          <w:color w:val="221F1F"/>
          <w:sz w:val="20"/>
        </w:rPr>
        <w:t>negative</w:t>
      </w:r>
      <w:r>
        <w:rPr>
          <w:color w:val="221F1F"/>
          <w:spacing w:val="-6"/>
          <w:sz w:val="20"/>
        </w:rPr>
        <w:t xml:space="preserve"> </w:t>
      </w:r>
      <w:r>
        <w:rPr>
          <w:color w:val="221F1F"/>
          <w:sz w:val="20"/>
        </w:rPr>
        <w:t>amount</w:t>
      </w:r>
      <w:r>
        <w:rPr>
          <w:color w:val="221F1F"/>
          <w:spacing w:val="-7"/>
          <w:sz w:val="20"/>
        </w:rPr>
        <w:t xml:space="preserve"> </w:t>
      </w:r>
      <w:r>
        <w:rPr>
          <w:color w:val="221F1F"/>
          <w:sz w:val="20"/>
        </w:rPr>
        <w:t>not</w:t>
      </w:r>
      <w:r>
        <w:rPr>
          <w:color w:val="221F1F"/>
          <w:spacing w:val="-5"/>
          <w:sz w:val="20"/>
        </w:rPr>
        <w:t xml:space="preserve"> </w:t>
      </w:r>
      <w:r>
        <w:rPr>
          <w:color w:val="221F1F"/>
          <w:sz w:val="20"/>
        </w:rPr>
        <w:t>covered</w:t>
      </w:r>
      <w:r>
        <w:rPr>
          <w:color w:val="221F1F"/>
          <w:spacing w:val="-6"/>
          <w:sz w:val="20"/>
        </w:rPr>
        <w:t xml:space="preserve"> </w:t>
      </w:r>
      <w:r>
        <w:rPr>
          <w:color w:val="221F1F"/>
          <w:sz w:val="20"/>
        </w:rPr>
        <w:t>by</w:t>
      </w:r>
      <w:r>
        <w:rPr>
          <w:color w:val="221F1F"/>
          <w:spacing w:val="-6"/>
          <w:sz w:val="20"/>
        </w:rPr>
        <w:t xml:space="preserve"> </w:t>
      </w:r>
      <w:r>
        <w:rPr>
          <w:color w:val="221F1F"/>
          <w:sz w:val="20"/>
        </w:rPr>
        <w:t>the</w:t>
      </w:r>
      <w:r>
        <w:rPr>
          <w:color w:val="221F1F"/>
          <w:spacing w:val="-7"/>
          <w:sz w:val="20"/>
        </w:rPr>
        <w:t xml:space="preserve"> </w:t>
      </w:r>
      <w:r>
        <w:rPr>
          <w:color w:val="221F1F"/>
          <w:sz w:val="20"/>
        </w:rPr>
        <w:t>positive</w:t>
      </w:r>
      <w:r>
        <w:rPr>
          <w:color w:val="221F1F"/>
          <w:spacing w:val="-6"/>
          <w:sz w:val="20"/>
        </w:rPr>
        <w:t xml:space="preserve"> </w:t>
      </w:r>
      <w:r>
        <w:rPr>
          <w:color w:val="221F1F"/>
          <w:sz w:val="20"/>
        </w:rPr>
        <w:t>amount</w:t>
      </w:r>
      <w:r>
        <w:rPr>
          <w:color w:val="221F1F"/>
          <w:spacing w:val="-8"/>
          <w:sz w:val="20"/>
        </w:rPr>
        <w:t xml:space="preserve"> </w:t>
      </w:r>
      <w:r>
        <w:rPr>
          <w:color w:val="221F1F"/>
          <w:sz w:val="20"/>
        </w:rPr>
        <w:t>is</w:t>
      </w:r>
      <w:r>
        <w:rPr>
          <w:color w:val="221F1F"/>
          <w:spacing w:val="-6"/>
          <w:sz w:val="20"/>
        </w:rPr>
        <w:t xml:space="preserve"> </w:t>
      </w:r>
      <w:r>
        <w:rPr>
          <w:color w:val="221F1F"/>
          <w:sz w:val="20"/>
        </w:rPr>
        <w:t>not</w:t>
      </w:r>
      <w:r>
        <w:rPr>
          <w:color w:val="221F1F"/>
          <w:spacing w:val="-5"/>
          <w:sz w:val="20"/>
        </w:rPr>
        <w:t xml:space="preserve"> </w:t>
      </w:r>
      <w:r>
        <w:rPr>
          <w:color w:val="221F1F"/>
          <w:sz w:val="20"/>
        </w:rPr>
        <w:t>allowable.</w:t>
      </w:r>
      <w:r>
        <w:rPr>
          <w:color w:val="221F1F"/>
          <w:spacing w:val="-6"/>
          <w:sz w:val="20"/>
        </w:rPr>
        <w:t xml:space="preserve"> </w:t>
      </w:r>
      <w:r>
        <w:rPr>
          <w:color w:val="221F1F"/>
          <w:sz w:val="20"/>
        </w:rPr>
        <w:t>Report</w:t>
      </w:r>
      <w:r>
        <w:rPr>
          <w:color w:val="221F1F"/>
          <w:spacing w:val="-7"/>
          <w:sz w:val="20"/>
        </w:rPr>
        <w:t xml:space="preserve"> </w:t>
      </w:r>
      <w:r>
        <w:rPr>
          <w:color w:val="221F1F"/>
          <w:sz w:val="20"/>
        </w:rPr>
        <w:t>only the allowable portion as a negative liability in the Separate Accounts Statement and follow the above instructions</w:t>
      </w:r>
      <w:r>
        <w:rPr>
          <w:color w:val="221F1F"/>
          <w:spacing w:val="-6"/>
          <w:sz w:val="20"/>
        </w:rPr>
        <w:t xml:space="preserve"> </w:t>
      </w:r>
      <w:r>
        <w:rPr>
          <w:color w:val="221F1F"/>
          <w:sz w:val="20"/>
        </w:rPr>
        <w:t>for</w:t>
      </w:r>
      <w:r>
        <w:rPr>
          <w:color w:val="221F1F"/>
          <w:spacing w:val="-5"/>
          <w:sz w:val="20"/>
        </w:rPr>
        <w:t xml:space="preserve"> </w:t>
      </w:r>
      <w:r>
        <w:rPr>
          <w:color w:val="221F1F"/>
          <w:sz w:val="20"/>
        </w:rPr>
        <w:t>handling</w:t>
      </w:r>
      <w:r>
        <w:rPr>
          <w:color w:val="221F1F"/>
          <w:spacing w:val="-6"/>
          <w:sz w:val="20"/>
        </w:rPr>
        <w:t xml:space="preserve"> </w:t>
      </w:r>
      <w:r>
        <w:rPr>
          <w:color w:val="221F1F"/>
          <w:sz w:val="20"/>
        </w:rPr>
        <w:t>the</w:t>
      </w:r>
      <w:r>
        <w:rPr>
          <w:color w:val="221F1F"/>
          <w:spacing w:val="-8"/>
          <w:sz w:val="20"/>
        </w:rPr>
        <w:t xml:space="preserve"> </w:t>
      </w:r>
      <w:r>
        <w:rPr>
          <w:color w:val="221F1F"/>
          <w:sz w:val="20"/>
        </w:rPr>
        <w:t>disallowed</w:t>
      </w:r>
      <w:r>
        <w:rPr>
          <w:color w:val="221F1F"/>
          <w:spacing w:val="-5"/>
          <w:sz w:val="20"/>
        </w:rPr>
        <w:t xml:space="preserve"> </w:t>
      </w:r>
      <w:r>
        <w:rPr>
          <w:color w:val="221F1F"/>
          <w:sz w:val="20"/>
        </w:rPr>
        <w:t>portion</w:t>
      </w:r>
      <w:r>
        <w:rPr>
          <w:color w:val="221F1F"/>
          <w:spacing w:val="-6"/>
          <w:sz w:val="20"/>
        </w:rPr>
        <w:t xml:space="preserve"> </w:t>
      </w:r>
      <w:r>
        <w:rPr>
          <w:color w:val="221F1F"/>
          <w:sz w:val="20"/>
        </w:rPr>
        <w:t>of</w:t>
      </w:r>
      <w:r>
        <w:rPr>
          <w:color w:val="221F1F"/>
          <w:spacing w:val="-6"/>
          <w:sz w:val="20"/>
        </w:rPr>
        <w:t xml:space="preserve"> </w:t>
      </w:r>
      <w:r>
        <w:rPr>
          <w:color w:val="221F1F"/>
          <w:sz w:val="20"/>
        </w:rPr>
        <w:t>negative</w:t>
      </w:r>
      <w:r>
        <w:rPr>
          <w:color w:val="221F1F"/>
          <w:spacing w:val="-6"/>
          <w:sz w:val="20"/>
        </w:rPr>
        <w:t xml:space="preserve"> </w:t>
      </w:r>
      <w:r>
        <w:rPr>
          <w:color w:val="221F1F"/>
          <w:sz w:val="20"/>
        </w:rPr>
        <w:t>IMR</w:t>
      </w:r>
      <w:r>
        <w:rPr>
          <w:color w:val="221F1F"/>
          <w:spacing w:val="-7"/>
          <w:sz w:val="20"/>
        </w:rPr>
        <w:t xml:space="preserve"> </w:t>
      </w:r>
      <w:r>
        <w:rPr>
          <w:color w:val="221F1F"/>
          <w:sz w:val="20"/>
        </w:rPr>
        <w:t>balances</w:t>
      </w:r>
      <w:r>
        <w:rPr>
          <w:color w:val="221F1F"/>
          <w:spacing w:val="-6"/>
          <w:sz w:val="20"/>
        </w:rPr>
        <w:t xml:space="preserve"> </w:t>
      </w:r>
      <w:r>
        <w:rPr>
          <w:color w:val="221F1F"/>
          <w:sz w:val="20"/>
        </w:rPr>
        <w:t>in</w:t>
      </w:r>
      <w:r>
        <w:rPr>
          <w:color w:val="221F1F"/>
          <w:spacing w:val="-6"/>
          <w:sz w:val="20"/>
        </w:rPr>
        <w:t xml:space="preserve"> </w:t>
      </w:r>
      <w:r>
        <w:rPr>
          <w:color w:val="221F1F"/>
          <w:sz w:val="20"/>
        </w:rPr>
        <w:t>the</w:t>
      </w:r>
      <w:r>
        <w:rPr>
          <w:color w:val="221F1F"/>
          <w:spacing w:val="-5"/>
          <w:sz w:val="20"/>
        </w:rPr>
        <w:t xml:space="preserve"> </w:t>
      </w:r>
      <w:r>
        <w:rPr>
          <w:color w:val="221F1F"/>
          <w:sz w:val="20"/>
        </w:rPr>
        <w:t>Separate</w:t>
      </w:r>
      <w:r>
        <w:rPr>
          <w:color w:val="221F1F"/>
          <w:spacing w:val="-5"/>
          <w:sz w:val="20"/>
        </w:rPr>
        <w:t xml:space="preserve"> </w:t>
      </w:r>
      <w:r>
        <w:rPr>
          <w:color w:val="221F1F"/>
          <w:sz w:val="20"/>
        </w:rPr>
        <w:t>Accounts</w:t>
      </w:r>
      <w:r>
        <w:rPr>
          <w:color w:val="221F1F"/>
          <w:spacing w:val="-6"/>
          <w:sz w:val="20"/>
        </w:rPr>
        <w:t xml:space="preserve"> </w:t>
      </w:r>
      <w:r>
        <w:rPr>
          <w:color w:val="221F1F"/>
          <w:sz w:val="20"/>
        </w:rPr>
        <w:t>Statement.</w:t>
      </w:r>
    </w:p>
    <w:p w14:paraId="54FDB549" w14:textId="77777777" w:rsidR="00680063" w:rsidRDefault="00680063">
      <w:pPr>
        <w:pStyle w:val="BodyText"/>
        <w:spacing w:before="10"/>
      </w:pPr>
    </w:p>
    <w:p w14:paraId="242092B4" w14:textId="77777777" w:rsidR="00680063" w:rsidRDefault="00000000">
      <w:pPr>
        <w:pStyle w:val="ListParagraph"/>
        <w:numPr>
          <w:ilvl w:val="0"/>
          <w:numId w:val="1"/>
        </w:numPr>
        <w:tabs>
          <w:tab w:val="left" w:pos="1019"/>
        </w:tabs>
        <w:spacing w:line="247" w:lineRule="auto"/>
        <w:ind w:right="1215"/>
        <w:jc w:val="both"/>
        <w:rPr>
          <w:sz w:val="20"/>
        </w:rPr>
      </w:pPr>
      <w:r>
        <w:rPr>
          <w:sz w:val="20"/>
        </w:rPr>
        <w:t xml:space="preserve">If </w:t>
      </w:r>
      <w:r>
        <w:rPr>
          <w:color w:val="221F1F"/>
          <w:sz w:val="20"/>
        </w:rPr>
        <w:t>the general account balance is negative, the separate account balance is positive, and the combined net balance is positive, then all of the negative IMR balance is allowable as a negative liability in the General Account Statement.</w:t>
      </w:r>
    </w:p>
    <w:p w14:paraId="10A8CD6C" w14:textId="77777777" w:rsidR="00680063" w:rsidRDefault="00680063">
      <w:pPr>
        <w:pStyle w:val="BodyText"/>
        <w:spacing w:before="9"/>
      </w:pPr>
    </w:p>
    <w:p w14:paraId="36DD6D65" w14:textId="77777777" w:rsidR="00680063" w:rsidRDefault="00000000">
      <w:pPr>
        <w:pStyle w:val="ListParagraph"/>
        <w:numPr>
          <w:ilvl w:val="0"/>
          <w:numId w:val="1"/>
        </w:numPr>
        <w:tabs>
          <w:tab w:val="left" w:pos="1019"/>
        </w:tabs>
        <w:spacing w:before="1" w:line="247" w:lineRule="auto"/>
        <w:ind w:right="1207"/>
        <w:jc w:val="both"/>
        <w:rPr>
          <w:sz w:val="20"/>
        </w:rPr>
      </w:pPr>
      <w:r>
        <w:rPr>
          <w:sz w:val="20"/>
        </w:rPr>
        <w:t xml:space="preserve">If </w:t>
      </w:r>
      <w:r>
        <w:rPr>
          <w:color w:val="221F1F"/>
          <w:sz w:val="20"/>
        </w:rPr>
        <w:t>the general account balance is negative, the separate account balance is positive, and the combined net balance</w:t>
      </w:r>
      <w:r>
        <w:rPr>
          <w:color w:val="221F1F"/>
          <w:spacing w:val="-5"/>
          <w:sz w:val="20"/>
        </w:rPr>
        <w:t xml:space="preserve"> </w:t>
      </w:r>
      <w:r>
        <w:rPr>
          <w:color w:val="221F1F"/>
          <w:sz w:val="20"/>
        </w:rPr>
        <w:t>is</w:t>
      </w:r>
      <w:r>
        <w:rPr>
          <w:color w:val="221F1F"/>
          <w:spacing w:val="-8"/>
          <w:sz w:val="20"/>
        </w:rPr>
        <w:t xml:space="preserve"> </w:t>
      </w:r>
      <w:r>
        <w:rPr>
          <w:color w:val="221F1F"/>
          <w:sz w:val="20"/>
        </w:rPr>
        <w:t>negative,</w:t>
      </w:r>
      <w:r>
        <w:rPr>
          <w:color w:val="221F1F"/>
          <w:spacing w:val="-3"/>
          <w:sz w:val="20"/>
        </w:rPr>
        <w:t xml:space="preserve"> </w:t>
      </w:r>
      <w:r>
        <w:rPr>
          <w:color w:val="221F1F"/>
          <w:sz w:val="20"/>
        </w:rPr>
        <w:t>then</w:t>
      </w:r>
      <w:r>
        <w:rPr>
          <w:color w:val="221F1F"/>
          <w:spacing w:val="-3"/>
          <w:sz w:val="20"/>
        </w:rPr>
        <w:t xml:space="preserve"> </w:t>
      </w:r>
      <w:r>
        <w:rPr>
          <w:color w:val="221F1F"/>
          <w:sz w:val="20"/>
        </w:rPr>
        <w:t>the</w:t>
      </w:r>
      <w:r>
        <w:rPr>
          <w:color w:val="221F1F"/>
          <w:spacing w:val="-5"/>
          <w:sz w:val="20"/>
        </w:rPr>
        <w:t xml:space="preserve"> </w:t>
      </w:r>
      <w:r>
        <w:rPr>
          <w:color w:val="221F1F"/>
          <w:sz w:val="20"/>
        </w:rPr>
        <w:t>negative</w:t>
      </w:r>
      <w:r>
        <w:rPr>
          <w:color w:val="221F1F"/>
          <w:spacing w:val="-5"/>
          <w:sz w:val="20"/>
        </w:rPr>
        <w:t xml:space="preserve"> </w:t>
      </w:r>
      <w:r>
        <w:rPr>
          <w:color w:val="221F1F"/>
          <w:sz w:val="20"/>
        </w:rPr>
        <w:t>amount</w:t>
      </w:r>
      <w:r>
        <w:rPr>
          <w:color w:val="221F1F"/>
          <w:spacing w:val="-6"/>
          <w:sz w:val="20"/>
        </w:rPr>
        <w:t xml:space="preserve"> </w:t>
      </w:r>
      <w:r>
        <w:rPr>
          <w:color w:val="221F1F"/>
          <w:sz w:val="20"/>
        </w:rPr>
        <w:t>not</w:t>
      </w:r>
      <w:r>
        <w:rPr>
          <w:color w:val="221F1F"/>
          <w:spacing w:val="-8"/>
          <w:sz w:val="20"/>
        </w:rPr>
        <w:t xml:space="preserve"> </w:t>
      </w:r>
      <w:r>
        <w:rPr>
          <w:color w:val="221F1F"/>
          <w:sz w:val="20"/>
        </w:rPr>
        <w:t>covered</w:t>
      </w:r>
      <w:r>
        <w:rPr>
          <w:color w:val="221F1F"/>
          <w:spacing w:val="-7"/>
          <w:sz w:val="20"/>
        </w:rPr>
        <w:t xml:space="preserve"> </w:t>
      </w:r>
      <w:r>
        <w:rPr>
          <w:color w:val="221F1F"/>
          <w:sz w:val="20"/>
        </w:rPr>
        <w:t>by</w:t>
      </w:r>
      <w:r>
        <w:rPr>
          <w:color w:val="221F1F"/>
          <w:spacing w:val="-7"/>
          <w:sz w:val="20"/>
        </w:rPr>
        <w:t xml:space="preserve"> </w:t>
      </w:r>
      <w:r>
        <w:rPr>
          <w:color w:val="221F1F"/>
          <w:sz w:val="20"/>
        </w:rPr>
        <w:t>the</w:t>
      </w:r>
      <w:r>
        <w:rPr>
          <w:color w:val="221F1F"/>
          <w:spacing w:val="-7"/>
          <w:sz w:val="20"/>
        </w:rPr>
        <w:t xml:space="preserve"> </w:t>
      </w:r>
      <w:r>
        <w:rPr>
          <w:color w:val="221F1F"/>
          <w:sz w:val="20"/>
        </w:rPr>
        <w:t>positive</w:t>
      </w:r>
      <w:r>
        <w:rPr>
          <w:color w:val="221F1F"/>
          <w:spacing w:val="-3"/>
          <w:sz w:val="20"/>
        </w:rPr>
        <w:t xml:space="preserve"> </w:t>
      </w:r>
      <w:r>
        <w:rPr>
          <w:color w:val="221F1F"/>
          <w:sz w:val="20"/>
        </w:rPr>
        <w:t>amount</w:t>
      </w:r>
      <w:r>
        <w:rPr>
          <w:color w:val="221F1F"/>
          <w:spacing w:val="-8"/>
          <w:sz w:val="20"/>
        </w:rPr>
        <w:t xml:space="preserve"> </w:t>
      </w:r>
      <w:r>
        <w:rPr>
          <w:color w:val="221F1F"/>
          <w:sz w:val="20"/>
        </w:rPr>
        <w:t>is</w:t>
      </w:r>
      <w:r>
        <w:rPr>
          <w:color w:val="221F1F"/>
          <w:spacing w:val="-5"/>
          <w:sz w:val="20"/>
        </w:rPr>
        <w:t xml:space="preserve"> </w:t>
      </w:r>
      <w:r>
        <w:rPr>
          <w:color w:val="221F1F"/>
          <w:sz w:val="20"/>
        </w:rPr>
        <w:t>not</w:t>
      </w:r>
      <w:r>
        <w:rPr>
          <w:color w:val="221F1F"/>
          <w:spacing w:val="-6"/>
          <w:sz w:val="20"/>
        </w:rPr>
        <w:t xml:space="preserve"> </w:t>
      </w:r>
      <w:r>
        <w:rPr>
          <w:color w:val="221F1F"/>
          <w:sz w:val="20"/>
        </w:rPr>
        <w:t>allowable.</w:t>
      </w:r>
      <w:r>
        <w:rPr>
          <w:color w:val="221F1F"/>
          <w:spacing w:val="-5"/>
          <w:sz w:val="20"/>
        </w:rPr>
        <w:t xml:space="preserve"> </w:t>
      </w:r>
      <w:r>
        <w:rPr>
          <w:color w:val="221F1F"/>
          <w:sz w:val="20"/>
        </w:rPr>
        <w:t>Report</w:t>
      </w:r>
      <w:r>
        <w:rPr>
          <w:color w:val="221F1F"/>
          <w:spacing w:val="-8"/>
          <w:sz w:val="20"/>
        </w:rPr>
        <w:t xml:space="preserve"> </w:t>
      </w:r>
      <w:r>
        <w:rPr>
          <w:color w:val="221F1F"/>
          <w:sz w:val="20"/>
        </w:rPr>
        <w:t>only the</w:t>
      </w:r>
      <w:r>
        <w:rPr>
          <w:color w:val="221F1F"/>
          <w:spacing w:val="-9"/>
          <w:sz w:val="20"/>
        </w:rPr>
        <w:t xml:space="preserve"> </w:t>
      </w:r>
      <w:r>
        <w:rPr>
          <w:color w:val="221F1F"/>
          <w:sz w:val="20"/>
        </w:rPr>
        <w:t>allowable</w:t>
      </w:r>
      <w:r>
        <w:rPr>
          <w:color w:val="221F1F"/>
          <w:spacing w:val="-9"/>
          <w:sz w:val="20"/>
        </w:rPr>
        <w:t xml:space="preserve"> </w:t>
      </w:r>
      <w:r>
        <w:rPr>
          <w:color w:val="221F1F"/>
          <w:sz w:val="20"/>
        </w:rPr>
        <w:t>portion</w:t>
      </w:r>
      <w:r>
        <w:rPr>
          <w:color w:val="221F1F"/>
          <w:spacing w:val="-12"/>
          <w:sz w:val="20"/>
        </w:rPr>
        <w:t xml:space="preserve"> </w:t>
      </w:r>
      <w:r>
        <w:rPr>
          <w:color w:val="221F1F"/>
          <w:sz w:val="20"/>
        </w:rPr>
        <w:t>as</w:t>
      </w:r>
      <w:r>
        <w:rPr>
          <w:color w:val="221F1F"/>
          <w:spacing w:val="-11"/>
          <w:sz w:val="20"/>
        </w:rPr>
        <w:t xml:space="preserve"> </w:t>
      </w:r>
      <w:r>
        <w:rPr>
          <w:color w:val="221F1F"/>
          <w:sz w:val="20"/>
        </w:rPr>
        <w:t>a</w:t>
      </w:r>
      <w:r>
        <w:rPr>
          <w:color w:val="221F1F"/>
          <w:spacing w:val="-12"/>
          <w:sz w:val="20"/>
        </w:rPr>
        <w:t xml:space="preserve"> </w:t>
      </w:r>
      <w:r>
        <w:rPr>
          <w:color w:val="221F1F"/>
          <w:sz w:val="20"/>
        </w:rPr>
        <w:t>negative</w:t>
      </w:r>
      <w:r>
        <w:rPr>
          <w:color w:val="221F1F"/>
          <w:spacing w:val="-11"/>
          <w:sz w:val="20"/>
        </w:rPr>
        <w:t xml:space="preserve"> </w:t>
      </w:r>
      <w:r>
        <w:rPr>
          <w:color w:val="221F1F"/>
          <w:sz w:val="20"/>
        </w:rPr>
        <w:t>liability</w:t>
      </w:r>
      <w:r>
        <w:rPr>
          <w:color w:val="221F1F"/>
          <w:spacing w:val="-9"/>
          <w:sz w:val="20"/>
        </w:rPr>
        <w:t xml:space="preserve"> </w:t>
      </w:r>
      <w:r>
        <w:rPr>
          <w:color w:val="221F1F"/>
          <w:sz w:val="20"/>
        </w:rPr>
        <w:t>in</w:t>
      </w:r>
      <w:r>
        <w:rPr>
          <w:color w:val="221F1F"/>
          <w:spacing w:val="-9"/>
          <w:sz w:val="20"/>
        </w:rPr>
        <w:t xml:space="preserve"> </w:t>
      </w:r>
      <w:r>
        <w:rPr>
          <w:color w:val="221F1F"/>
          <w:sz w:val="20"/>
        </w:rPr>
        <w:t>the</w:t>
      </w:r>
      <w:r>
        <w:rPr>
          <w:color w:val="221F1F"/>
          <w:spacing w:val="-11"/>
          <w:sz w:val="20"/>
        </w:rPr>
        <w:t xml:space="preserve"> </w:t>
      </w:r>
      <w:r>
        <w:rPr>
          <w:color w:val="221F1F"/>
          <w:sz w:val="20"/>
        </w:rPr>
        <w:t>General</w:t>
      </w:r>
      <w:r>
        <w:rPr>
          <w:color w:val="221F1F"/>
          <w:spacing w:val="-8"/>
          <w:sz w:val="20"/>
        </w:rPr>
        <w:t xml:space="preserve"> </w:t>
      </w:r>
      <w:r>
        <w:rPr>
          <w:color w:val="221F1F"/>
          <w:sz w:val="20"/>
        </w:rPr>
        <w:t>Account</w:t>
      </w:r>
      <w:r>
        <w:rPr>
          <w:color w:val="221F1F"/>
          <w:spacing w:val="-11"/>
          <w:sz w:val="20"/>
        </w:rPr>
        <w:t xml:space="preserve"> </w:t>
      </w:r>
      <w:r>
        <w:rPr>
          <w:color w:val="221F1F"/>
          <w:sz w:val="20"/>
        </w:rPr>
        <w:t>Statement</w:t>
      </w:r>
      <w:r>
        <w:rPr>
          <w:color w:val="221F1F"/>
          <w:spacing w:val="-11"/>
          <w:sz w:val="20"/>
        </w:rPr>
        <w:t xml:space="preserve"> </w:t>
      </w:r>
      <w:r>
        <w:rPr>
          <w:color w:val="221F1F"/>
          <w:sz w:val="20"/>
        </w:rPr>
        <w:t>and</w:t>
      </w:r>
      <w:r>
        <w:rPr>
          <w:color w:val="221F1F"/>
          <w:spacing w:val="-11"/>
          <w:sz w:val="20"/>
        </w:rPr>
        <w:t xml:space="preserve"> </w:t>
      </w:r>
      <w:r>
        <w:rPr>
          <w:color w:val="221F1F"/>
          <w:sz w:val="20"/>
        </w:rPr>
        <w:t>follow</w:t>
      </w:r>
      <w:r>
        <w:rPr>
          <w:color w:val="221F1F"/>
          <w:spacing w:val="-11"/>
          <w:sz w:val="20"/>
        </w:rPr>
        <w:t xml:space="preserve"> </w:t>
      </w:r>
      <w:r>
        <w:rPr>
          <w:color w:val="221F1F"/>
          <w:sz w:val="20"/>
        </w:rPr>
        <w:t>the</w:t>
      </w:r>
      <w:r>
        <w:rPr>
          <w:color w:val="221F1F"/>
          <w:spacing w:val="-9"/>
          <w:sz w:val="20"/>
        </w:rPr>
        <w:t xml:space="preserve"> </w:t>
      </w:r>
      <w:r>
        <w:rPr>
          <w:color w:val="221F1F"/>
          <w:sz w:val="20"/>
        </w:rPr>
        <w:t>above</w:t>
      </w:r>
      <w:r>
        <w:rPr>
          <w:color w:val="221F1F"/>
          <w:spacing w:val="-12"/>
          <w:sz w:val="20"/>
        </w:rPr>
        <w:t xml:space="preserve"> </w:t>
      </w:r>
      <w:r>
        <w:rPr>
          <w:color w:val="221F1F"/>
          <w:sz w:val="20"/>
        </w:rPr>
        <w:t>instructions for handling the disallowed portion of negative IMR balances in the General Account Statement.</w:t>
      </w:r>
    </w:p>
    <w:p w14:paraId="67BA8844" w14:textId="77777777" w:rsidR="00680063" w:rsidRDefault="00680063">
      <w:pPr>
        <w:spacing w:line="247" w:lineRule="auto"/>
        <w:jc w:val="both"/>
        <w:rPr>
          <w:sz w:val="20"/>
        </w:rPr>
        <w:sectPr w:rsidR="00680063">
          <w:type w:val="continuous"/>
          <w:pgSz w:w="12240" w:h="15840"/>
          <w:pgMar w:top="1500" w:right="240" w:bottom="280" w:left="960" w:header="720" w:footer="720" w:gutter="0"/>
          <w:cols w:space="720"/>
        </w:sectPr>
      </w:pPr>
    </w:p>
    <w:p w14:paraId="7A0A8AF7" w14:textId="77777777" w:rsidR="00680063" w:rsidRDefault="00000000">
      <w:pPr>
        <w:pStyle w:val="BodyText"/>
        <w:spacing w:before="76"/>
        <w:ind w:right="1195"/>
        <w:jc w:val="right"/>
      </w:pPr>
      <w:r>
        <w:lastRenderedPageBreak/>
        <w:t>Attachment</w:t>
      </w:r>
      <w:r>
        <w:rPr>
          <w:spacing w:val="-1"/>
        </w:rPr>
        <w:t xml:space="preserve"> </w:t>
      </w:r>
      <w:r>
        <w:rPr>
          <w:spacing w:val="-5"/>
        </w:rPr>
        <w:t>III</w:t>
      </w:r>
    </w:p>
    <w:p w14:paraId="01822603" w14:textId="77777777" w:rsidR="00680063" w:rsidRDefault="00680063">
      <w:pPr>
        <w:pStyle w:val="BodyText"/>
        <w:rPr>
          <w:sz w:val="20"/>
        </w:rPr>
      </w:pPr>
    </w:p>
    <w:p w14:paraId="78F8F35D" w14:textId="77777777" w:rsidR="00680063" w:rsidRDefault="00000000">
      <w:pPr>
        <w:pStyle w:val="BodyText"/>
        <w:tabs>
          <w:tab w:val="left" w:pos="2193"/>
        </w:tabs>
        <w:spacing w:before="229"/>
        <w:ind w:left="393"/>
      </w:pPr>
      <w:r>
        <w:pict w14:anchorId="2D9C2EB0">
          <v:rect id="docshape41" o:spid="_x0000_s1026" style="position:absolute;left:0;text-align:left;margin-left:148.55pt;margin-top:19.55pt;width:6.35pt;height:.6pt;z-index:-16093696;mso-position-horizontal-relative:page" fillcolor="black" stroked="f">
            <w10:wrap anchorx="page"/>
          </v:rect>
        </w:pict>
      </w:r>
      <w:r>
        <w:rPr>
          <w:u w:val="single"/>
        </w:rPr>
        <w:t>IMR</w:t>
      </w:r>
      <w:r>
        <w:rPr>
          <w:spacing w:val="-1"/>
          <w:u w:val="single"/>
        </w:rPr>
        <w:t xml:space="preserve"> </w:t>
      </w:r>
      <w:r>
        <w:rPr>
          <w:spacing w:val="-2"/>
          <w:u w:val="single"/>
        </w:rPr>
        <w:t>Illustration</w:t>
      </w:r>
      <w:r>
        <w:rPr>
          <w:u w:val="single"/>
        </w:rPr>
        <w:tab/>
        <w:t>Liquidity,</w:t>
      </w:r>
      <w:r>
        <w:rPr>
          <w:spacing w:val="-5"/>
          <w:u w:val="single"/>
        </w:rPr>
        <w:t xml:space="preserve"> </w:t>
      </w:r>
      <w:r>
        <w:rPr>
          <w:u w:val="single"/>
        </w:rPr>
        <w:t>Solvency</w:t>
      </w:r>
      <w:r>
        <w:rPr>
          <w:spacing w:val="-2"/>
          <w:u w:val="single"/>
        </w:rPr>
        <w:t xml:space="preserve"> </w:t>
      </w:r>
      <w:r>
        <w:rPr>
          <w:u w:val="single"/>
        </w:rPr>
        <w:t>and</w:t>
      </w:r>
      <w:r>
        <w:rPr>
          <w:spacing w:val="-2"/>
          <w:u w:val="single"/>
        </w:rPr>
        <w:t xml:space="preserve"> </w:t>
      </w:r>
      <w:r>
        <w:rPr>
          <w:u w:val="single"/>
        </w:rPr>
        <w:t>Claims</w:t>
      </w:r>
      <w:r>
        <w:rPr>
          <w:spacing w:val="-1"/>
          <w:u w:val="single"/>
        </w:rPr>
        <w:t xml:space="preserve"> </w:t>
      </w:r>
      <w:r>
        <w:rPr>
          <w:u w:val="single"/>
        </w:rPr>
        <w:t>Paying</w:t>
      </w:r>
      <w:r>
        <w:rPr>
          <w:spacing w:val="-2"/>
          <w:u w:val="single"/>
        </w:rPr>
        <w:t xml:space="preserve"> Ability</w:t>
      </w:r>
    </w:p>
    <w:p w14:paraId="019D326C" w14:textId="77777777" w:rsidR="00680063" w:rsidRDefault="00680063">
      <w:pPr>
        <w:pStyle w:val="BodyText"/>
        <w:spacing w:before="2"/>
        <w:rPr>
          <w:sz w:val="16"/>
        </w:rPr>
      </w:pPr>
    </w:p>
    <w:p w14:paraId="06A40D03" w14:textId="77777777" w:rsidR="00680063" w:rsidRDefault="00000000">
      <w:pPr>
        <w:pStyle w:val="BodyText"/>
        <w:spacing w:before="90"/>
        <w:ind w:left="388" w:right="1201"/>
        <w:jc w:val="both"/>
      </w:pPr>
      <w:r>
        <w:t>Essentially, a negative IMR balance from an individual trade represents the present value of the future positive interest rate differential, from the new investment compared to the old investment, that puts one in the same economic position, when compared to before the trade, including total liquid assets available to pay claims.</w:t>
      </w:r>
    </w:p>
    <w:p w14:paraId="5E93F345" w14:textId="77777777" w:rsidR="00680063" w:rsidRDefault="00680063">
      <w:pPr>
        <w:pStyle w:val="BodyText"/>
        <w:spacing w:before="10"/>
        <w:rPr>
          <w:sz w:val="23"/>
        </w:rPr>
      </w:pPr>
    </w:p>
    <w:p w14:paraId="6CE898D4" w14:textId="77777777" w:rsidR="00680063" w:rsidRDefault="00000000">
      <w:pPr>
        <w:pStyle w:val="BodyText"/>
        <w:spacing w:before="1"/>
        <w:ind w:left="388" w:right="1204"/>
        <w:jc w:val="both"/>
      </w:pPr>
      <w:r>
        <w:t>This phenomenon can be illustrated in the following table where a 10-year bond is sold, one year after purchase, and immediately reinvested in another 10-year bond with equivalent credit quality in an interest rate environment where market interest rates increased from 2% to 4% in the intervening year.</w:t>
      </w:r>
    </w:p>
    <w:p w14:paraId="323BFA26" w14:textId="77777777" w:rsidR="00680063" w:rsidRDefault="00680063">
      <w:pPr>
        <w:pStyle w:val="BodyText"/>
        <w:spacing w:before="1" w:after="1"/>
      </w:pPr>
    </w:p>
    <w:tbl>
      <w:tblPr>
        <w:tblW w:w="0" w:type="auto"/>
        <w:tblInd w:w="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8"/>
        <w:gridCol w:w="976"/>
        <w:gridCol w:w="1082"/>
        <w:gridCol w:w="885"/>
        <w:gridCol w:w="1144"/>
        <w:gridCol w:w="1079"/>
        <w:gridCol w:w="810"/>
        <w:gridCol w:w="1328"/>
      </w:tblGrid>
      <w:tr w:rsidR="00680063" w14:paraId="5DCEFA28" w14:textId="77777777">
        <w:trPr>
          <w:trHeight w:val="1098"/>
        </w:trPr>
        <w:tc>
          <w:tcPr>
            <w:tcW w:w="1238" w:type="dxa"/>
          </w:tcPr>
          <w:p w14:paraId="41F84478" w14:textId="77777777" w:rsidR="00680063" w:rsidRDefault="00680063">
            <w:pPr>
              <w:pStyle w:val="TableParagraph"/>
            </w:pPr>
          </w:p>
        </w:tc>
        <w:tc>
          <w:tcPr>
            <w:tcW w:w="976" w:type="dxa"/>
          </w:tcPr>
          <w:p w14:paraId="6C678010" w14:textId="77777777" w:rsidR="00680063" w:rsidRDefault="00680063">
            <w:pPr>
              <w:pStyle w:val="TableParagraph"/>
              <w:spacing w:before="9"/>
              <w:rPr>
                <w:sz w:val="21"/>
              </w:rPr>
            </w:pPr>
          </w:p>
          <w:p w14:paraId="59A8E929" w14:textId="77777777" w:rsidR="00680063" w:rsidRDefault="00000000">
            <w:pPr>
              <w:pStyle w:val="TableParagraph"/>
              <w:spacing w:line="270" w:lineRule="atLeast"/>
              <w:ind w:left="104" w:right="93"/>
              <w:jc w:val="both"/>
              <w:rPr>
                <w:sz w:val="24"/>
              </w:rPr>
            </w:pPr>
            <w:r>
              <w:rPr>
                <w:spacing w:val="-2"/>
                <w:sz w:val="24"/>
              </w:rPr>
              <w:t xml:space="preserve">Coupon </w:t>
            </w:r>
            <w:r>
              <w:rPr>
                <w:sz w:val="24"/>
              </w:rPr>
              <w:t xml:space="preserve">Rate of </w:t>
            </w:r>
            <w:r>
              <w:rPr>
                <w:spacing w:val="-4"/>
                <w:sz w:val="24"/>
              </w:rPr>
              <w:t>Bond</w:t>
            </w:r>
          </w:p>
        </w:tc>
        <w:tc>
          <w:tcPr>
            <w:tcW w:w="1082" w:type="dxa"/>
          </w:tcPr>
          <w:p w14:paraId="4005B3C5" w14:textId="77777777" w:rsidR="00680063" w:rsidRDefault="00000000">
            <w:pPr>
              <w:pStyle w:val="TableParagraph"/>
              <w:tabs>
                <w:tab w:val="left" w:pos="750"/>
              </w:tabs>
              <w:ind w:left="105" w:right="92"/>
              <w:rPr>
                <w:sz w:val="24"/>
              </w:rPr>
            </w:pPr>
            <w:r>
              <w:rPr>
                <w:spacing w:val="-2"/>
                <w:sz w:val="24"/>
              </w:rPr>
              <w:t xml:space="preserve">Market Interest </w:t>
            </w:r>
            <w:r>
              <w:rPr>
                <w:spacing w:val="-4"/>
                <w:sz w:val="24"/>
              </w:rPr>
              <w:t>Rate</w:t>
            </w:r>
            <w:r>
              <w:rPr>
                <w:sz w:val="24"/>
              </w:rPr>
              <w:tab/>
            </w:r>
            <w:r>
              <w:rPr>
                <w:spacing w:val="-10"/>
                <w:sz w:val="24"/>
              </w:rPr>
              <w:t>@</w:t>
            </w:r>
          </w:p>
          <w:p w14:paraId="35CE594B" w14:textId="77777777" w:rsidR="00680063" w:rsidRDefault="00000000">
            <w:pPr>
              <w:pStyle w:val="TableParagraph"/>
              <w:spacing w:line="255" w:lineRule="exact"/>
              <w:ind w:left="106"/>
              <w:rPr>
                <w:sz w:val="24"/>
              </w:rPr>
            </w:pPr>
            <w:r>
              <w:rPr>
                <w:spacing w:val="-2"/>
                <w:sz w:val="24"/>
              </w:rPr>
              <w:t>Purchase</w:t>
            </w:r>
          </w:p>
        </w:tc>
        <w:tc>
          <w:tcPr>
            <w:tcW w:w="885" w:type="dxa"/>
          </w:tcPr>
          <w:p w14:paraId="48446C16" w14:textId="77777777" w:rsidR="00680063" w:rsidRDefault="00000000">
            <w:pPr>
              <w:pStyle w:val="TableParagraph"/>
              <w:ind w:left="106" w:right="180"/>
              <w:rPr>
                <w:sz w:val="24"/>
              </w:rPr>
            </w:pPr>
            <w:r>
              <w:rPr>
                <w:spacing w:val="-4"/>
                <w:sz w:val="24"/>
              </w:rPr>
              <w:t xml:space="preserve">Par </w:t>
            </w:r>
            <w:r>
              <w:rPr>
                <w:spacing w:val="-2"/>
                <w:sz w:val="24"/>
              </w:rPr>
              <w:t>Value</w:t>
            </w:r>
          </w:p>
          <w:p w14:paraId="03F359AB" w14:textId="77777777" w:rsidR="00680063" w:rsidRDefault="00000000">
            <w:pPr>
              <w:pStyle w:val="TableParagraph"/>
              <w:spacing w:line="276" w:lineRule="exact"/>
              <w:ind w:left="106" w:right="239"/>
              <w:rPr>
                <w:sz w:val="24"/>
              </w:rPr>
            </w:pPr>
            <w:r>
              <w:rPr>
                <w:spacing w:val="-6"/>
                <w:sz w:val="24"/>
              </w:rPr>
              <w:t xml:space="preserve">of </w:t>
            </w:r>
            <w:r>
              <w:rPr>
                <w:spacing w:val="-4"/>
                <w:sz w:val="24"/>
              </w:rPr>
              <w:t>Bond</w:t>
            </w:r>
          </w:p>
        </w:tc>
        <w:tc>
          <w:tcPr>
            <w:tcW w:w="1144" w:type="dxa"/>
          </w:tcPr>
          <w:p w14:paraId="29C3A826" w14:textId="77777777" w:rsidR="00680063" w:rsidRDefault="00680063">
            <w:pPr>
              <w:pStyle w:val="TableParagraph"/>
              <w:spacing w:before="9"/>
              <w:rPr>
                <w:sz w:val="21"/>
              </w:rPr>
            </w:pPr>
          </w:p>
          <w:p w14:paraId="52168807" w14:textId="77777777" w:rsidR="00680063" w:rsidRDefault="00000000">
            <w:pPr>
              <w:pStyle w:val="TableParagraph"/>
              <w:spacing w:line="276" w:lineRule="exact"/>
              <w:ind w:left="107" w:right="93" w:hanging="2"/>
              <w:rPr>
                <w:sz w:val="24"/>
              </w:rPr>
            </w:pPr>
            <w:r>
              <w:rPr>
                <w:spacing w:val="-4"/>
                <w:sz w:val="24"/>
              </w:rPr>
              <w:t xml:space="preserve">Fair </w:t>
            </w:r>
            <w:r>
              <w:rPr>
                <w:sz w:val="24"/>
              </w:rPr>
              <w:t>Value</w:t>
            </w:r>
            <w:r>
              <w:rPr>
                <w:spacing w:val="34"/>
                <w:sz w:val="24"/>
              </w:rPr>
              <w:t xml:space="preserve"> </w:t>
            </w:r>
            <w:r>
              <w:rPr>
                <w:sz w:val="24"/>
              </w:rPr>
              <w:t xml:space="preserve">@ </w:t>
            </w:r>
            <w:r>
              <w:rPr>
                <w:spacing w:val="-2"/>
                <w:sz w:val="24"/>
              </w:rPr>
              <w:t>Purchase</w:t>
            </w:r>
          </w:p>
        </w:tc>
        <w:tc>
          <w:tcPr>
            <w:tcW w:w="1079" w:type="dxa"/>
          </w:tcPr>
          <w:p w14:paraId="456D66A9" w14:textId="77777777" w:rsidR="00680063" w:rsidRDefault="00000000">
            <w:pPr>
              <w:pStyle w:val="TableParagraph"/>
              <w:ind w:left="110" w:right="85" w:hanging="1"/>
              <w:rPr>
                <w:sz w:val="24"/>
              </w:rPr>
            </w:pPr>
            <w:r>
              <w:rPr>
                <w:spacing w:val="-4"/>
                <w:sz w:val="24"/>
              </w:rPr>
              <w:t xml:space="preserve">Fair </w:t>
            </w:r>
            <w:r>
              <w:rPr>
                <w:sz w:val="24"/>
              </w:rPr>
              <w:t>Value</w:t>
            </w:r>
            <w:r>
              <w:rPr>
                <w:spacing w:val="-15"/>
                <w:sz w:val="24"/>
              </w:rPr>
              <w:t xml:space="preserve"> </w:t>
            </w:r>
            <w:r>
              <w:rPr>
                <w:sz w:val="24"/>
              </w:rPr>
              <w:t>@ Time</w:t>
            </w:r>
            <w:r>
              <w:rPr>
                <w:spacing w:val="66"/>
                <w:w w:val="150"/>
                <w:sz w:val="24"/>
              </w:rPr>
              <w:t xml:space="preserve"> </w:t>
            </w:r>
            <w:r>
              <w:rPr>
                <w:spacing w:val="-7"/>
                <w:sz w:val="24"/>
              </w:rPr>
              <w:t>of</w:t>
            </w:r>
          </w:p>
          <w:p w14:paraId="11082D60" w14:textId="77777777" w:rsidR="00680063" w:rsidRDefault="00000000">
            <w:pPr>
              <w:pStyle w:val="TableParagraph"/>
              <w:spacing w:line="255" w:lineRule="exact"/>
              <w:ind w:left="110"/>
              <w:rPr>
                <w:sz w:val="24"/>
              </w:rPr>
            </w:pPr>
            <w:r>
              <w:rPr>
                <w:spacing w:val="-4"/>
                <w:sz w:val="24"/>
              </w:rPr>
              <w:t>Sale</w:t>
            </w:r>
          </w:p>
        </w:tc>
        <w:tc>
          <w:tcPr>
            <w:tcW w:w="810" w:type="dxa"/>
          </w:tcPr>
          <w:p w14:paraId="01C17666" w14:textId="77777777" w:rsidR="00680063" w:rsidRDefault="00680063">
            <w:pPr>
              <w:pStyle w:val="TableParagraph"/>
              <w:spacing w:before="10"/>
              <w:rPr>
                <w:sz w:val="21"/>
              </w:rPr>
            </w:pPr>
          </w:p>
          <w:p w14:paraId="75E7D535" w14:textId="77777777" w:rsidR="00680063" w:rsidRDefault="00000000">
            <w:pPr>
              <w:pStyle w:val="TableParagraph"/>
              <w:spacing w:line="270" w:lineRule="atLeast"/>
              <w:ind w:left="111" w:right="226"/>
              <w:rPr>
                <w:sz w:val="24"/>
              </w:rPr>
            </w:pPr>
            <w:r>
              <w:rPr>
                <w:spacing w:val="-4"/>
                <w:sz w:val="24"/>
              </w:rPr>
              <w:t xml:space="preserve">Loss </w:t>
            </w:r>
            <w:r>
              <w:rPr>
                <w:spacing w:val="-6"/>
                <w:sz w:val="24"/>
              </w:rPr>
              <w:t xml:space="preserve">on </w:t>
            </w:r>
            <w:r>
              <w:rPr>
                <w:spacing w:val="-4"/>
                <w:sz w:val="24"/>
              </w:rPr>
              <w:t>Sale</w:t>
            </w:r>
          </w:p>
        </w:tc>
        <w:tc>
          <w:tcPr>
            <w:tcW w:w="1328" w:type="dxa"/>
          </w:tcPr>
          <w:p w14:paraId="59EB4E43" w14:textId="77777777" w:rsidR="00680063" w:rsidRDefault="00680063">
            <w:pPr>
              <w:pStyle w:val="TableParagraph"/>
              <w:spacing w:before="10"/>
              <w:rPr>
                <w:sz w:val="21"/>
              </w:rPr>
            </w:pPr>
          </w:p>
          <w:p w14:paraId="3326426C" w14:textId="77777777" w:rsidR="00680063" w:rsidRDefault="00000000">
            <w:pPr>
              <w:pStyle w:val="TableParagraph"/>
              <w:spacing w:line="270" w:lineRule="atLeast"/>
              <w:ind w:left="111"/>
              <w:rPr>
                <w:sz w:val="24"/>
              </w:rPr>
            </w:pPr>
            <w:r>
              <w:rPr>
                <w:spacing w:val="-2"/>
                <w:sz w:val="24"/>
              </w:rPr>
              <w:t>Claims Paying Liquidity</w:t>
            </w:r>
          </w:p>
        </w:tc>
      </w:tr>
      <w:tr w:rsidR="00680063" w14:paraId="4277E429" w14:textId="77777777">
        <w:trPr>
          <w:trHeight w:val="265"/>
        </w:trPr>
        <w:tc>
          <w:tcPr>
            <w:tcW w:w="1238" w:type="dxa"/>
          </w:tcPr>
          <w:p w14:paraId="685FB0F6" w14:textId="77777777" w:rsidR="00680063" w:rsidRDefault="00000000">
            <w:pPr>
              <w:pStyle w:val="TableParagraph"/>
              <w:spacing w:line="245" w:lineRule="exact"/>
              <w:ind w:left="105"/>
              <w:rPr>
                <w:sz w:val="24"/>
              </w:rPr>
            </w:pPr>
            <w:r>
              <w:rPr>
                <w:sz w:val="24"/>
              </w:rPr>
              <w:t>Old</w:t>
            </w:r>
            <w:r>
              <w:rPr>
                <w:spacing w:val="-2"/>
                <w:sz w:val="24"/>
              </w:rPr>
              <w:t xml:space="preserve"> </w:t>
            </w:r>
            <w:r>
              <w:rPr>
                <w:spacing w:val="-4"/>
                <w:sz w:val="24"/>
              </w:rPr>
              <w:t>Bond</w:t>
            </w:r>
          </w:p>
        </w:tc>
        <w:tc>
          <w:tcPr>
            <w:tcW w:w="976" w:type="dxa"/>
          </w:tcPr>
          <w:p w14:paraId="3A14C4CE" w14:textId="77777777" w:rsidR="00680063" w:rsidRDefault="00000000">
            <w:pPr>
              <w:pStyle w:val="TableParagraph"/>
              <w:spacing w:line="245" w:lineRule="exact"/>
              <w:ind w:left="105"/>
              <w:rPr>
                <w:sz w:val="24"/>
              </w:rPr>
            </w:pPr>
            <w:r>
              <w:rPr>
                <w:spacing w:val="-5"/>
                <w:sz w:val="24"/>
              </w:rPr>
              <w:t>2%</w:t>
            </w:r>
          </w:p>
        </w:tc>
        <w:tc>
          <w:tcPr>
            <w:tcW w:w="1082" w:type="dxa"/>
          </w:tcPr>
          <w:p w14:paraId="49CEDAD7" w14:textId="77777777" w:rsidR="00680063" w:rsidRDefault="00000000">
            <w:pPr>
              <w:pStyle w:val="TableParagraph"/>
              <w:spacing w:line="245" w:lineRule="exact"/>
              <w:ind w:left="105"/>
              <w:rPr>
                <w:sz w:val="24"/>
              </w:rPr>
            </w:pPr>
            <w:r>
              <w:rPr>
                <w:spacing w:val="-5"/>
                <w:sz w:val="24"/>
              </w:rPr>
              <w:t>2%</w:t>
            </w:r>
          </w:p>
        </w:tc>
        <w:tc>
          <w:tcPr>
            <w:tcW w:w="885" w:type="dxa"/>
          </w:tcPr>
          <w:p w14:paraId="1FAE594D" w14:textId="77777777" w:rsidR="00680063" w:rsidRDefault="00000000">
            <w:pPr>
              <w:pStyle w:val="TableParagraph"/>
              <w:spacing w:line="245" w:lineRule="exact"/>
              <w:ind w:left="105"/>
              <w:rPr>
                <w:sz w:val="24"/>
              </w:rPr>
            </w:pPr>
            <w:r>
              <w:rPr>
                <w:spacing w:val="-5"/>
                <w:sz w:val="24"/>
              </w:rPr>
              <w:t>100</w:t>
            </w:r>
          </w:p>
        </w:tc>
        <w:tc>
          <w:tcPr>
            <w:tcW w:w="1144" w:type="dxa"/>
          </w:tcPr>
          <w:p w14:paraId="7EA4A7B9" w14:textId="77777777" w:rsidR="00680063" w:rsidRDefault="00000000">
            <w:pPr>
              <w:pStyle w:val="TableParagraph"/>
              <w:spacing w:line="245" w:lineRule="exact"/>
              <w:ind w:left="105"/>
              <w:rPr>
                <w:sz w:val="24"/>
              </w:rPr>
            </w:pPr>
            <w:r>
              <w:rPr>
                <w:spacing w:val="-5"/>
                <w:sz w:val="24"/>
              </w:rPr>
              <w:t>100</w:t>
            </w:r>
          </w:p>
        </w:tc>
        <w:tc>
          <w:tcPr>
            <w:tcW w:w="1079" w:type="dxa"/>
          </w:tcPr>
          <w:p w14:paraId="0DC372B9" w14:textId="77777777" w:rsidR="00680063" w:rsidRDefault="00000000">
            <w:pPr>
              <w:pStyle w:val="TableParagraph"/>
              <w:spacing w:line="245" w:lineRule="exact"/>
              <w:ind w:left="107"/>
              <w:rPr>
                <w:sz w:val="24"/>
              </w:rPr>
            </w:pPr>
            <w:r>
              <w:rPr>
                <w:spacing w:val="-2"/>
                <w:sz w:val="24"/>
              </w:rPr>
              <w:t>85.13</w:t>
            </w:r>
          </w:p>
        </w:tc>
        <w:tc>
          <w:tcPr>
            <w:tcW w:w="810" w:type="dxa"/>
          </w:tcPr>
          <w:p w14:paraId="1E14E944" w14:textId="77777777" w:rsidR="00680063" w:rsidRDefault="00000000">
            <w:pPr>
              <w:pStyle w:val="TableParagraph"/>
              <w:spacing w:line="245" w:lineRule="exact"/>
              <w:ind w:left="108"/>
              <w:rPr>
                <w:sz w:val="24"/>
              </w:rPr>
            </w:pPr>
            <w:r>
              <w:rPr>
                <w:spacing w:val="-2"/>
                <w:sz w:val="24"/>
              </w:rPr>
              <w:t>14.87</w:t>
            </w:r>
          </w:p>
        </w:tc>
        <w:tc>
          <w:tcPr>
            <w:tcW w:w="1328" w:type="dxa"/>
          </w:tcPr>
          <w:p w14:paraId="2345A92D" w14:textId="77777777" w:rsidR="00680063" w:rsidRDefault="00000000">
            <w:pPr>
              <w:pStyle w:val="TableParagraph"/>
              <w:spacing w:line="245" w:lineRule="exact"/>
              <w:ind w:left="108"/>
              <w:rPr>
                <w:sz w:val="24"/>
              </w:rPr>
            </w:pPr>
            <w:r>
              <w:rPr>
                <w:spacing w:val="-2"/>
                <w:sz w:val="24"/>
              </w:rPr>
              <w:t>85.13</w:t>
            </w:r>
          </w:p>
        </w:tc>
      </w:tr>
      <w:tr w:rsidR="00680063" w14:paraId="05F09D5A" w14:textId="77777777">
        <w:trPr>
          <w:trHeight w:val="270"/>
        </w:trPr>
        <w:tc>
          <w:tcPr>
            <w:tcW w:w="1238" w:type="dxa"/>
          </w:tcPr>
          <w:p w14:paraId="0C78D74F" w14:textId="77777777" w:rsidR="00680063" w:rsidRDefault="00000000">
            <w:pPr>
              <w:pStyle w:val="TableParagraph"/>
              <w:spacing w:line="251" w:lineRule="exact"/>
              <w:ind w:left="105"/>
              <w:rPr>
                <w:sz w:val="24"/>
              </w:rPr>
            </w:pPr>
            <w:r>
              <w:rPr>
                <w:sz w:val="24"/>
              </w:rPr>
              <w:t>New</w:t>
            </w:r>
            <w:r>
              <w:rPr>
                <w:spacing w:val="-15"/>
                <w:sz w:val="24"/>
              </w:rPr>
              <w:t xml:space="preserve"> </w:t>
            </w:r>
            <w:r>
              <w:rPr>
                <w:spacing w:val="-4"/>
                <w:sz w:val="24"/>
              </w:rPr>
              <w:t>Bond</w:t>
            </w:r>
          </w:p>
        </w:tc>
        <w:tc>
          <w:tcPr>
            <w:tcW w:w="976" w:type="dxa"/>
          </w:tcPr>
          <w:p w14:paraId="12E8A015" w14:textId="77777777" w:rsidR="00680063" w:rsidRDefault="00000000">
            <w:pPr>
              <w:pStyle w:val="TableParagraph"/>
              <w:spacing w:line="251" w:lineRule="exact"/>
              <w:ind w:left="105"/>
              <w:rPr>
                <w:sz w:val="24"/>
              </w:rPr>
            </w:pPr>
            <w:r>
              <w:rPr>
                <w:spacing w:val="-5"/>
                <w:sz w:val="24"/>
              </w:rPr>
              <w:t>4%</w:t>
            </w:r>
          </w:p>
        </w:tc>
        <w:tc>
          <w:tcPr>
            <w:tcW w:w="1082" w:type="dxa"/>
          </w:tcPr>
          <w:p w14:paraId="015209D1" w14:textId="77777777" w:rsidR="00680063" w:rsidRDefault="00000000">
            <w:pPr>
              <w:pStyle w:val="TableParagraph"/>
              <w:spacing w:line="251" w:lineRule="exact"/>
              <w:ind w:left="105"/>
              <w:rPr>
                <w:sz w:val="24"/>
              </w:rPr>
            </w:pPr>
            <w:r>
              <w:rPr>
                <w:spacing w:val="-5"/>
                <w:sz w:val="24"/>
              </w:rPr>
              <w:t>4%</w:t>
            </w:r>
          </w:p>
        </w:tc>
        <w:tc>
          <w:tcPr>
            <w:tcW w:w="885" w:type="dxa"/>
          </w:tcPr>
          <w:p w14:paraId="434F55A4" w14:textId="77777777" w:rsidR="00680063" w:rsidRDefault="00000000">
            <w:pPr>
              <w:pStyle w:val="TableParagraph"/>
              <w:spacing w:line="251" w:lineRule="exact"/>
              <w:ind w:left="105"/>
              <w:rPr>
                <w:sz w:val="24"/>
              </w:rPr>
            </w:pPr>
            <w:r>
              <w:rPr>
                <w:spacing w:val="-2"/>
                <w:sz w:val="24"/>
              </w:rPr>
              <w:t>85.13</w:t>
            </w:r>
          </w:p>
        </w:tc>
        <w:tc>
          <w:tcPr>
            <w:tcW w:w="1144" w:type="dxa"/>
          </w:tcPr>
          <w:p w14:paraId="55954FB1" w14:textId="77777777" w:rsidR="00680063" w:rsidRDefault="00000000">
            <w:pPr>
              <w:pStyle w:val="TableParagraph"/>
              <w:spacing w:line="251" w:lineRule="exact"/>
              <w:ind w:left="105"/>
              <w:rPr>
                <w:sz w:val="24"/>
              </w:rPr>
            </w:pPr>
            <w:r>
              <w:rPr>
                <w:spacing w:val="-2"/>
                <w:sz w:val="24"/>
              </w:rPr>
              <w:t>85.13</w:t>
            </w:r>
          </w:p>
        </w:tc>
        <w:tc>
          <w:tcPr>
            <w:tcW w:w="1079" w:type="dxa"/>
          </w:tcPr>
          <w:p w14:paraId="5C1F19CF" w14:textId="77777777" w:rsidR="00680063" w:rsidRDefault="00000000">
            <w:pPr>
              <w:pStyle w:val="TableParagraph"/>
              <w:spacing w:line="251" w:lineRule="exact"/>
              <w:ind w:left="107"/>
              <w:rPr>
                <w:sz w:val="24"/>
              </w:rPr>
            </w:pPr>
            <w:r>
              <w:rPr>
                <w:spacing w:val="-2"/>
                <w:sz w:val="24"/>
              </w:rPr>
              <w:t>85.13</w:t>
            </w:r>
          </w:p>
        </w:tc>
        <w:tc>
          <w:tcPr>
            <w:tcW w:w="810" w:type="dxa"/>
          </w:tcPr>
          <w:p w14:paraId="302DF23E" w14:textId="77777777" w:rsidR="00680063" w:rsidRDefault="00000000">
            <w:pPr>
              <w:pStyle w:val="TableParagraph"/>
              <w:spacing w:line="251" w:lineRule="exact"/>
              <w:ind w:left="108"/>
              <w:rPr>
                <w:sz w:val="24"/>
              </w:rPr>
            </w:pPr>
            <w:r>
              <w:rPr>
                <w:spacing w:val="-5"/>
                <w:sz w:val="24"/>
              </w:rPr>
              <w:t>N/A</w:t>
            </w:r>
          </w:p>
        </w:tc>
        <w:tc>
          <w:tcPr>
            <w:tcW w:w="1328" w:type="dxa"/>
          </w:tcPr>
          <w:p w14:paraId="6DB2F868" w14:textId="77777777" w:rsidR="00680063" w:rsidRDefault="00000000">
            <w:pPr>
              <w:pStyle w:val="TableParagraph"/>
              <w:spacing w:line="251" w:lineRule="exact"/>
              <w:ind w:left="108"/>
              <w:rPr>
                <w:sz w:val="24"/>
              </w:rPr>
            </w:pPr>
            <w:r>
              <w:rPr>
                <w:spacing w:val="-2"/>
                <w:sz w:val="24"/>
              </w:rPr>
              <w:t>85.13</w:t>
            </w:r>
          </w:p>
        </w:tc>
      </w:tr>
    </w:tbl>
    <w:p w14:paraId="7AD14B00" w14:textId="77777777" w:rsidR="00680063" w:rsidRDefault="00680063">
      <w:pPr>
        <w:pStyle w:val="BodyText"/>
        <w:spacing w:before="7"/>
        <w:rPr>
          <w:sz w:val="23"/>
        </w:rPr>
      </w:pPr>
    </w:p>
    <w:p w14:paraId="4A373FE0" w14:textId="77777777" w:rsidR="00680063" w:rsidRDefault="00000000">
      <w:pPr>
        <w:pStyle w:val="BodyText"/>
        <w:ind w:left="388" w:right="1197"/>
        <w:jc w:val="both"/>
      </w:pPr>
      <w:r>
        <w:t xml:space="preserve">The short-term acceleration of negative IMR to surplus (e.g., its disallowance) is strictly a timing issue and not a true loss of financial strength or claims paying liquidity, but it does present a temporary and inappropriate optics issue in surplus/financial strength until the IMR is fully </w:t>
      </w:r>
      <w:r>
        <w:rPr>
          <w:spacing w:val="-2"/>
        </w:rPr>
        <w:t>amortized.</w:t>
      </w:r>
    </w:p>
    <w:p w14:paraId="449A5E66" w14:textId="77777777" w:rsidR="00680063" w:rsidRDefault="00680063">
      <w:pPr>
        <w:pStyle w:val="BodyText"/>
        <w:spacing w:before="1"/>
      </w:pPr>
    </w:p>
    <w:p w14:paraId="712449B7" w14:textId="77777777" w:rsidR="00680063" w:rsidRDefault="00000000">
      <w:pPr>
        <w:pStyle w:val="BodyText"/>
        <w:ind w:left="388" w:right="1201"/>
        <w:jc w:val="both"/>
      </w:pPr>
      <w:r>
        <w:t>This phenomenon can further be illustrated by comparing two separate hypothetical companies. Assume Company A and B both have the exact same balance sheets.</w:t>
      </w:r>
      <w:r>
        <w:rPr>
          <w:spacing w:val="40"/>
        </w:rPr>
        <w:t xml:space="preserve"> </w:t>
      </w:r>
      <w:r>
        <w:t>Then assume Company A keeps the old bond and Company B affects the trade mentioned above.</w:t>
      </w:r>
    </w:p>
    <w:p w14:paraId="182CE972" w14:textId="77777777" w:rsidR="00680063" w:rsidRDefault="00680063">
      <w:pPr>
        <w:pStyle w:val="BodyText"/>
      </w:pPr>
    </w:p>
    <w:p w14:paraId="0E04668D" w14:textId="77777777" w:rsidR="00680063" w:rsidRDefault="00000000">
      <w:pPr>
        <w:pStyle w:val="BodyText"/>
        <w:ind w:left="388" w:right="1199"/>
        <w:jc w:val="both"/>
      </w:pPr>
      <w:r>
        <w:t>With</w:t>
      </w:r>
      <w:r>
        <w:rPr>
          <w:spacing w:val="-5"/>
        </w:rPr>
        <w:t xml:space="preserve"> </w:t>
      </w:r>
      <w:r>
        <w:t>the</w:t>
      </w:r>
      <w:r>
        <w:rPr>
          <w:spacing w:val="-6"/>
        </w:rPr>
        <w:t xml:space="preserve"> </w:t>
      </w:r>
      <w:r>
        <w:t>disallowance</w:t>
      </w:r>
      <w:r>
        <w:rPr>
          <w:spacing w:val="-3"/>
        </w:rPr>
        <w:t xml:space="preserve"> </w:t>
      </w:r>
      <w:r>
        <w:t>of</w:t>
      </w:r>
      <w:r>
        <w:rPr>
          <w:spacing w:val="-3"/>
        </w:rPr>
        <w:t xml:space="preserve"> </w:t>
      </w:r>
      <w:r>
        <w:t>a</w:t>
      </w:r>
      <w:r>
        <w:rPr>
          <w:spacing w:val="-6"/>
        </w:rPr>
        <w:t xml:space="preserve"> </w:t>
      </w:r>
      <w:r>
        <w:t>negative</w:t>
      </w:r>
      <w:r>
        <w:rPr>
          <w:spacing w:val="-2"/>
        </w:rPr>
        <w:t xml:space="preserve"> </w:t>
      </w:r>
      <w:r>
        <w:t>IMR</w:t>
      </w:r>
      <w:r>
        <w:rPr>
          <w:spacing w:val="-4"/>
        </w:rPr>
        <w:t xml:space="preserve"> </w:t>
      </w:r>
      <w:r>
        <w:t>balance,</w:t>
      </w:r>
      <w:r>
        <w:rPr>
          <w:spacing w:val="-3"/>
        </w:rPr>
        <w:t xml:space="preserve"> </w:t>
      </w:r>
      <w:r>
        <w:t>Company</w:t>
      </w:r>
      <w:r>
        <w:rPr>
          <w:spacing w:val="-5"/>
        </w:rPr>
        <w:t xml:space="preserve"> </w:t>
      </w:r>
      <w:r>
        <w:t>B</w:t>
      </w:r>
      <w:r>
        <w:rPr>
          <w:spacing w:val="-4"/>
        </w:rPr>
        <w:t xml:space="preserve"> </w:t>
      </w:r>
      <w:r>
        <w:t>now</w:t>
      </w:r>
      <w:r>
        <w:rPr>
          <w:spacing w:val="-3"/>
        </w:rPr>
        <w:t xml:space="preserve"> </w:t>
      </w:r>
      <w:r>
        <w:t>has</w:t>
      </w:r>
      <w:r>
        <w:rPr>
          <w:spacing w:val="-3"/>
        </w:rPr>
        <w:t xml:space="preserve"> </w:t>
      </w:r>
      <w:r>
        <w:t>a</w:t>
      </w:r>
      <w:r>
        <w:rPr>
          <w:spacing w:val="-6"/>
        </w:rPr>
        <w:t xml:space="preserve"> </w:t>
      </w:r>
      <w:r>
        <w:t>balance sheet</w:t>
      </w:r>
      <w:r>
        <w:rPr>
          <w:spacing w:val="-4"/>
        </w:rPr>
        <w:t xml:space="preserve"> </w:t>
      </w:r>
      <w:r>
        <w:t>that</w:t>
      </w:r>
      <w:r>
        <w:rPr>
          <w:spacing w:val="-4"/>
        </w:rPr>
        <w:t xml:space="preserve"> </w:t>
      </w:r>
      <w:r>
        <w:t>shows a</w:t>
      </w:r>
      <w:r>
        <w:rPr>
          <w:spacing w:val="-9"/>
        </w:rPr>
        <w:t xml:space="preserve"> </w:t>
      </w:r>
      <w:r>
        <w:t>relative</w:t>
      </w:r>
      <w:r>
        <w:rPr>
          <w:spacing w:val="-9"/>
        </w:rPr>
        <w:t xml:space="preserve"> </w:t>
      </w:r>
      <w:r>
        <w:t>decline</w:t>
      </w:r>
      <w:r>
        <w:rPr>
          <w:spacing w:val="-9"/>
        </w:rPr>
        <w:t xml:space="preserve"> </w:t>
      </w:r>
      <w:r>
        <w:t>of</w:t>
      </w:r>
      <w:r>
        <w:rPr>
          <w:spacing w:val="-9"/>
        </w:rPr>
        <w:t xml:space="preserve"> </w:t>
      </w:r>
      <w:r>
        <w:t>financial</w:t>
      </w:r>
      <w:r>
        <w:rPr>
          <w:spacing w:val="-8"/>
        </w:rPr>
        <w:t xml:space="preserve"> </w:t>
      </w:r>
      <w:r>
        <w:t>strength</w:t>
      </w:r>
      <w:r>
        <w:rPr>
          <w:spacing w:val="-6"/>
        </w:rPr>
        <w:t xml:space="preserve"> </w:t>
      </w:r>
      <w:r>
        <w:t>of</w:t>
      </w:r>
      <w:r>
        <w:rPr>
          <w:spacing w:val="-9"/>
        </w:rPr>
        <w:t xml:space="preserve"> </w:t>
      </w:r>
      <w:r>
        <w:t>$14.87.</w:t>
      </w:r>
      <w:r>
        <w:rPr>
          <w:spacing w:val="80"/>
        </w:rPr>
        <w:t xml:space="preserve"> </w:t>
      </w:r>
      <w:r>
        <w:t>This</w:t>
      </w:r>
      <w:r>
        <w:rPr>
          <w:spacing w:val="-6"/>
        </w:rPr>
        <w:t xml:space="preserve"> </w:t>
      </w:r>
      <w:r>
        <w:t>weakened</w:t>
      </w:r>
      <w:r>
        <w:rPr>
          <w:spacing w:val="-8"/>
        </w:rPr>
        <w:t xml:space="preserve"> </w:t>
      </w:r>
      <w:r>
        <w:t>balance</w:t>
      </w:r>
      <w:r>
        <w:rPr>
          <w:spacing w:val="-9"/>
        </w:rPr>
        <w:t xml:space="preserve"> </w:t>
      </w:r>
      <w:r>
        <w:t>sheet</w:t>
      </w:r>
      <w:r>
        <w:rPr>
          <w:spacing w:val="-8"/>
        </w:rPr>
        <w:t xml:space="preserve"> </w:t>
      </w:r>
      <w:r>
        <w:t>contrasts</w:t>
      </w:r>
      <w:r>
        <w:rPr>
          <w:spacing w:val="-8"/>
        </w:rPr>
        <w:t xml:space="preserve"> </w:t>
      </w:r>
      <w:r>
        <w:t>with</w:t>
      </w:r>
      <w:r>
        <w:rPr>
          <w:spacing w:val="-8"/>
        </w:rPr>
        <w:t xml:space="preserve"> </w:t>
      </w:r>
      <w:r>
        <w:t>both the principle behind the development of IMR, the relative actual economic financial strength, and claims paying ability of the two entities.</w:t>
      </w:r>
    </w:p>
    <w:p w14:paraId="59DEE22C" w14:textId="77777777" w:rsidR="00680063" w:rsidRDefault="00680063">
      <w:pPr>
        <w:pStyle w:val="BodyText"/>
        <w:spacing w:before="11"/>
        <w:rPr>
          <w:sz w:val="23"/>
        </w:rPr>
      </w:pPr>
    </w:p>
    <w:p w14:paraId="56979F9A" w14:textId="77777777" w:rsidR="00680063" w:rsidRDefault="00000000">
      <w:pPr>
        <w:pStyle w:val="BodyText"/>
        <w:ind w:left="388" w:right="1200"/>
        <w:jc w:val="both"/>
      </w:pPr>
      <w:r>
        <w:t>There is no difference in balance sheet economics of the two entities.</w:t>
      </w:r>
      <w:r>
        <w:rPr>
          <w:spacing w:val="40"/>
        </w:rPr>
        <w:t xml:space="preserve"> </w:t>
      </w:r>
      <w:r>
        <w:t>The negative IMR balance for Company B essentially represents the difference between</w:t>
      </w:r>
      <w:r>
        <w:rPr>
          <w:spacing w:val="-1"/>
        </w:rPr>
        <w:t xml:space="preserve"> </w:t>
      </w:r>
      <w:r>
        <w:t xml:space="preserve">cost and fair value of the investment sold, that is already embedded on </w:t>
      </w:r>
      <w:r>
        <w:rPr>
          <w:noProof/>
          <w:position w:val="-4"/>
        </w:rPr>
        <w:drawing>
          <wp:inline distT="0" distB="0" distL="0" distR="0" wp14:anchorId="5BB7DE51" wp14:editId="37D8B519">
            <wp:extent cx="1551431" cy="138684"/>
            <wp:effectExtent l="0" t="0" r="0" b="0"/>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38" cstate="print"/>
                    <a:stretch>
                      <a:fillRect/>
                    </a:stretch>
                  </pic:blipFill>
                  <pic:spPr>
                    <a:xfrm>
                      <a:off x="0" y="0"/>
                      <a:ext cx="1551431" cy="138684"/>
                    </a:xfrm>
                    <a:prstGeom prst="rect">
                      <a:avLst/>
                    </a:prstGeom>
                  </pic:spPr>
                </pic:pic>
              </a:graphicData>
            </a:graphic>
          </wp:inline>
        </w:drawing>
      </w:r>
      <w:r>
        <w:t>eet based on the existing interest rate environment.</w:t>
      </w:r>
      <w:r>
        <w:rPr>
          <w:spacing w:val="40"/>
        </w:rPr>
        <w:t xml:space="preserve"> </w:t>
      </w:r>
      <w:r>
        <w:t>The</w:t>
      </w:r>
      <w:r>
        <w:rPr>
          <w:spacing w:val="-3"/>
        </w:rPr>
        <w:t xml:space="preserve"> </w:t>
      </w:r>
      <w:r>
        <w:t>negative</w:t>
      </w:r>
      <w:r>
        <w:rPr>
          <w:spacing w:val="-1"/>
        </w:rPr>
        <w:t xml:space="preserve"> </w:t>
      </w:r>
      <w:r>
        <w:t>IMR balance</w:t>
      </w:r>
      <w:r>
        <w:rPr>
          <w:spacing w:val="-1"/>
        </w:rPr>
        <w:t xml:space="preserve"> </w:t>
      </w:r>
      <w:r>
        <w:t>should</w:t>
      </w:r>
      <w:r>
        <w:rPr>
          <w:spacing w:val="-3"/>
        </w:rPr>
        <w:t xml:space="preserve"> </w:t>
      </w:r>
      <w:r>
        <w:t>be</w:t>
      </w:r>
      <w:r>
        <w:rPr>
          <w:spacing w:val="-3"/>
        </w:rPr>
        <w:t xml:space="preserve"> </w:t>
      </w:r>
      <w:r>
        <w:t>recognized as</w:t>
      </w:r>
      <w:r>
        <w:rPr>
          <w:spacing w:val="-2"/>
        </w:rPr>
        <w:t xml:space="preserve"> </w:t>
      </w:r>
      <w:r>
        <w:t>there</w:t>
      </w:r>
      <w:r>
        <w:rPr>
          <w:spacing w:val="-1"/>
        </w:rPr>
        <w:t xml:space="preserve"> </w:t>
      </w:r>
      <w:r>
        <w:t>is</w:t>
      </w:r>
      <w:r>
        <w:rPr>
          <w:spacing w:val="-5"/>
        </w:rPr>
        <w:t xml:space="preserve"> </w:t>
      </w:r>
      <w:r>
        <w:t>no</w:t>
      </w:r>
      <w:r>
        <w:rPr>
          <w:spacing w:val="-3"/>
        </w:rPr>
        <w:t xml:space="preserve"> </w:t>
      </w:r>
      <w:r>
        <w:t>change</w:t>
      </w:r>
      <w:r>
        <w:rPr>
          <w:spacing w:val="-3"/>
        </w:rPr>
        <w:t xml:space="preserve"> </w:t>
      </w:r>
      <w:r>
        <w:t>in</w:t>
      </w:r>
      <w:r>
        <w:rPr>
          <w:spacing w:val="-3"/>
        </w:rPr>
        <w:t xml:space="preserve"> </w:t>
      </w:r>
      <w:r>
        <w:t>economics pre and post trade (or in this instance between Company A and Company B) which is consistent with the overall principle behind IMR.</w:t>
      </w:r>
    </w:p>
    <w:p w14:paraId="11D2CD2F" w14:textId="77777777" w:rsidR="00680063" w:rsidRDefault="00680063">
      <w:pPr>
        <w:jc w:val="both"/>
        <w:sectPr w:rsidR="00680063">
          <w:pgSz w:w="12240" w:h="15840"/>
          <w:pgMar w:top="940" w:right="240" w:bottom="280" w:left="960" w:header="720" w:footer="720" w:gutter="0"/>
          <w:cols w:space="720"/>
        </w:sectPr>
      </w:pPr>
    </w:p>
    <w:p w14:paraId="5F164FAD" w14:textId="77777777" w:rsidR="00680063" w:rsidRDefault="00680063">
      <w:pPr>
        <w:pStyle w:val="BodyText"/>
        <w:rPr>
          <w:sz w:val="20"/>
        </w:rPr>
      </w:pPr>
    </w:p>
    <w:p w14:paraId="75FB8440" w14:textId="77777777" w:rsidR="00680063" w:rsidRDefault="00680063">
      <w:pPr>
        <w:pStyle w:val="BodyText"/>
        <w:rPr>
          <w:sz w:val="20"/>
        </w:rPr>
      </w:pPr>
    </w:p>
    <w:p w14:paraId="4D0D7460" w14:textId="77777777" w:rsidR="00680063" w:rsidRDefault="00680063">
      <w:pPr>
        <w:pStyle w:val="BodyText"/>
        <w:rPr>
          <w:sz w:val="20"/>
        </w:rPr>
      </w:pPr>
    </w:p>
    <w:p w14:paraId="18365AB9" w14:textId="77777777" w:rsidR="00680063" w:rsidRDefault="00680063">
      <w:pPr>
        <w:pStyle w:val="BodyText"/>
        <w:rPr>
          <w:sz w:val="20"/>
        </w:rPr>
      </w:pPr>
    </w:p>
    <w:p w14:paraId="7843287F" w14:textId="77777777" w:rsidR="00680063" w:rsidRDefault="00680063">
      <w:pPr>
        <w:pStyle w:val="BodyText"/>
        <w:rPr>
          <w:sz w:val="20"/>
        </w:rPr>
      </w:pPr>
    </w:p>
    <w:p w14:paraId="4375804E" w14:textId="77777777" w:rsidR="00680063" w:rsidRDefault="00680063">
      <w:pPr>
        <w:pStyle w:val="BodyText"/>
        <w:rPr>
          <w:sz w:val="20"/>
        </w:rPr>
      </w:pPr>
    </w:p>
    <w:p w14:paraId="0DC80708" w14:textId="77777777" w:rsidR="00680063" w:rsidRDefault="00680063">
      <w:pPr>
        <w:pStyle w:val="BodyText"/>
        <w:rPr>
          <w:sz w:val="20"/>
        </w:rPr>
      </w:pPr>
    </w:p>
    <w:p w14:paraId="4DC27773" w14:textId="77777777" w:rsidR="00680063" w:rsidRDefault="00680063">
      <w:pPr>
        <w:pStyle w:val="BodyText"/>
        <w:rPr>
          <w:sz w:val="20"/>
        </w:rPr>
      </w:pPr>
    </w:p>
    <w:p w14:paraId="386D63CC" w14:textId="77777777" w:rsidR="00680063" w:rsidRDefault="00680063">
      <w:pPr>
        <w:pStyle w:val="BodyText"/>
        <w:rPr>
          <w:sz w:val="20"/>
        </w:rPr>
      </w:pPr>
    </w:p>
    <w:p w14:paraId="579A6DF6" w14:textId="77777777" w:rsidR="00680063" w:rsidRDefault="00680063">
      <w:pPr>
        <w:pStyle w:val="BodyText"/>
        <w:rPr>
          <w:sz w:val="20"/>
        </w:rPr>
      </w:pPr>
    </w:p>
    <w:p w14:paraId="5A7962F0" w14:textId="77777777" w:rsidR="00680063" w:rsidRDefault="00680063">
      <w:pPr>
        <w:pStyle w:val="BodyText"/>
        <w:rPr>
          <w:sz w:val="20"/>
        </w:rPr>
      </w:pPr>
    </w:p>
    <w:p w14:paraId="7DD57297" w14:textId="77777777" w:rsidR="00680063" w:rsidRDefault="00680063">
      <w:pPr>
        <w:pStyle w:val="BodyText"/>
        <w:rPr>
          <w:sz w:val="20"/>
        </w:rPr>
      </w:pPr>
    </w:p>
    <w:p w14:paraId="009A1028" w14:textId="77777777" w:rsidR="00680063" w:rsidRDefault="00680063">
      <w:pPr>
        <w:pStyle w:val="BodyText"/>
        <w:rPr>
          <w:sz w:val="20"/>
        </w:rPr>
      </w:pPr>
    </w:p>
    <w:p w14:paraId="316A8767" w14:textId="77777777" w:rsidR="00680063" w:rsidRDefault="00680063">
      <w:pPr>
        <w:pStyle w:val="BodyText"/>
        <w:rPr>
          <w:sz w:val="20"/>
        </w:rPr>
      </w:pPr>
    </w:p>
    <w:p w14:paraId="5ED94F16" w14:textId="77777777" w:rsidR="00680063" w:rsidRDefault="00680063">
      <w:pPr>
        <w:pStyle w:val="BodyText"/>
        <w:rPr>
          <w:sz w:val="20"/>
        </w:rPr>
      </w:pPr>
    </w:p>
    <w:p w14:paraId="51BBEE13" w14:textId="77777777" w:rsidR="00680063" w:rsidRDefault="00680063">
      <w:pPr>
        <w:pStyle w:val="BodyText"/>
        <w:rPr>
          <w:sz w:val="20"/>
        </w:rPr>
      </w:pPr>
    </w:p>
    <w:p w14:paraId="31A9206D" w14:textId="77777777" w:rsidR="00680063" w:rsidRDefault="00680063">
      <w:pPr>
        <w:pStyle w:val="BodyText"/>
        <w:rPr>
          <w:sz w:val="20"/>
        </w:rPr>
      </w:pPr>
    </w:p>
    <w:p w14:paraId="404DC10D" w14:textId="77777777" w:rsidR="00680063" w:rsidRDefault="00000000">
      <w:pPr>
        <w:pStyle w:val="Heading1"/>
      </w:pPr>
      <w:r>
        <w:t>Attachment</w:t>
      </w:r>
      <w:r>
        <w:rPr>
          <w:spacing w:val="35"/>
        </w:rPr>
        <w:t xml:space="preserve"> </w:t>
      </w:r>
      <w:r>
        <w:rPr>
          <w:spacing w:val="-10"/>
        </w:rPr>
        <w:t>2</w:t>
      </w:r>
    </w:p>
    <w:p w14:paraId="01F3E632" w14:textId="77777777" w:rsidR="00680063" w:rsidRDefault="00680063">
      <w:pPr>
        <w:sectPr w:rsidR="00680063">
          <w:pgSz w:w="12240" w:h="15840"/>
          <w:pgMar w:top="1500" w:right="240" w:bottom="280" w:left="960" w:header="720" w:footer="720" w:gutter="0"/>
          <w:cols w:space="720"/>
        </w:sectPr>
      </w:pPr>
    </w:p>
    <w:p w14:paraId="04D2B0CF" w14:textId="77777777" w:rsidR="00680063" w:rsidRDefault="00000000">
      <w:pPr>
        <w:pStyle w:val="BodyText"/>
        <w:spacing w:before="72"/>
        <w:ind w:left="839" w:right="1487"/>
      </w:pPr>
      <w:r>
        <w:lastRenderedPageBreak/>
        <w:t>Some</w:t>
      </w:r>
      <w:r>
        <w:rPr>
          <w:spacing w:val="-4"/>
        </w:rPr>
        <w:t xml:space="preserve"> </w:t>
      </w:r>
      <w:r>
        <w:t>actuaries</w:t>
      </w:r>
      <w:r>
        <w:rPr>
          <w:spacing w:val="-3"/>
        </w:rPr>
        <w:t xml:space="preserve"> </w:t>
      </w:r>
      <w:r>
        <w:t>test</w:t>
      </w:r>
      <w:r>
        <w:rPr>
          <w:spacing w:val="-3"/>
        </w:rPr>
        <w:t xml:space="preserve"> </w:t>
      </w:r>
      <w:r>
        <w:t>the</w:t>
      </w:r>
      <w:r>
        <w:rPr>
          <w:spacing w:val="-4"/>
        </w:rPr>
        <w:t xml:space="preserve"> </w:t>
      </w:r>
      <w:r>
        <w:t>option</w:t>
      </w:r>
      <w:r>
        <w:rPr>
          <w:spacing w:val="-3"/>
        </w:rPr>
        <w:t xml:space="preserve"> </w:t>
      </w:r>
      <w:r>
        <w:t>risk</w:t>
      </w:r>
      <w:r>
        <w:rPr>
          <w:spacing w:val="-3"/>
        </w:rPr>
        <w:t xml:space="preserve"> </w:t>
      </w:r>
      <w:r>
        <w:t>in</w:t>
      </w:r>
      <w:r>
        <w:rPr>
          <w:spacing w:val="-3"/>
        </w:rPr>
        <w:t xml:space="preserve"> </w:t>
      </w:r>
      <w:r>
        <w:t>assets</w:t>
      </w:r>
      <w:r>
        <w:rPr>
          <w:spacing w:val="-3"/>
        </w:rPr>
        <w:t xml:space="preserve"> </w:t>
      </w:r>
      <w:r>
        <w:t>(e.g.,</w:t>
      </w:r>
      <w:r>
        <w:rPr>
          <w:spacing w:val="-1"/>
        </w:rPr>
        <w:t xml:space="preserve"> </w:t>
      </w:r>
      <w:r>
        <w:t>calls)</w:t>
      </w:r>
      <w:r>
        <w:rPr>
          <w:spacing w:val="-4"/>
        </w:rPr>
        <w:t xml:space="preserve"> </w:t>
      </w:r>
      <w:r>
        <w:t>by</w:t>
      </w:r>
      <w:r>
        <w:rPr>
          <w:spacing w:val="-8"/>
        </w:rPr>
        <w:t xml:space="preserve"> </w:t>
      </w:r>
      <w:r>
        <w:t>assuming</w:t>
      </w:r>
      <w:r>
        <w:rPr>
          <w:spacing w:val="-3"/>
        </w:rPr>
        <w:t xml:space="preserve"> </w:t>
      </w:r>
      <w:r>
        <w:t>an</w:t>
      </w:r>
      <w:r>
        <w:rPr>
          <w:spacing w:val="-3"/>
        </w:rPr>
        <w:t xml:space="preserve"> </w:t>
      </w:r>
      <w:r>
        <w:t>immediate</w:t>
      </w:r>
      <w:r>
        <w:rPr>
          <w:spacing w:val="-4"/>
        </w:rPr>
        <w:t xml:space="preserve"> </w:t>
      </w:r>
      <w:r>
        <w:t>drop</w:t>
      </w:r>
      <w:r>
        <w:rPr>
          <w:spacing w:val="-3"/>
        </w:rPr>
        <w:t xml:space="preserve"> </w:t>
      </w:r>
      <w:r>
        <w:t>in the discount rate used in the GPV. The drop test is often set as severe as needed to represent a drop in earned rate that would occur if all options were exercised.</w:t>
      </w:r>
    </w:p>
    <w:p w14:paraId="21D5A1DC" w14:textId="77777777" w:rsidR="00680063" w:rsidRDefault="00680063">
      <w:pPr>
        <w:pStyle w:val="BodyText"/>
        <w:rPr>
          <w:sz w:val="26"/>
        </w:rPr>
      </w:pPr>
    </w:p>
    <w:p w14:paraId="1BAF4949" w14:textId="77777777" w:rsidR="00680063" w:rsidRDefault="00000000">
      <w:pPr>
        <w:pStyle w:val="Heading2"/>
        <w:tabs>
          <w:tab w:val="left" w:pos="1559"/>
        </w:tabs>
        <w:spacing w:before="222"/>
        <w:ind w:left="1559" w:right="1487" w:hanging="720"/>
      </w:pPr>
      <w:r>
        <w:rPr>
          <w:spacing w:val="-4"/>
        </w:rPr>
        <w:t>Q22.</w:t>
      </w:r>
      <w:r>
        <w:tab/>
        <w:t>The</w:t>
      </w:r>
      <w:r>
        <w:rPr>
          <w:spacing w:val="-5"/>
        </w:rPr>
        <w:t xml:space="preserve"> </w:t>
      </w:r>
      <w:r>
        <w:t>AOMR</w:t>
      </w:r>
      <w:r>
        <w:rPr>
          <w:spacing w:val="-5"/>
        </w:rPr>
        <w:t xml:space="preserve"> </w:t>
      </w:r>
      <w:r>
        <w:t>states</w:t>
      </w:r>
      <w:r>
        <w:rPr>
          <w:spacing w:val="-4"/>
        </w:rPr>
        <w:t xml:space="preserve"> </w:t>
      </w:r>
      <w:r>
        <w:t>that</w:t>
      </w:r>
      <w:r>
        <w:rPr>
          <w:spacing w:val="-3"/>
        </w:rPr>
        <w:t xml:space="preserve"> </w:t>
      </w:r>
      <w:r>
        <w:t>the</w:t>
      </w:r>
      <w:r>
        <w:rPr>
          <w:spacing w:val="-5"/>
        </w:rPr>
        <w:t xml:space="preserve"> </w:t>
      </w:r>
      <w:r>
        <w:t>interest</w:t>
      </w:r>
      <w:r>
        <w:rPr>
          <w:spacing w:val="-3"/>
        </w:rPr>
        <w:t xml:space="preserve"> </w:t>
      </w:r>
      <w:r>
        <w:t>maintenance</w:t>
      </w:r>
      <w:r>
        <w:rPr>
          <w:spacing w:val="-5"/>
        </w:rPr>
        <w:t xml:space="preserve"> </w:t>
      </w:r>
      <w:r>
        <w:t>reserve</w:t>
      </w:r>
      <w:r>
        <w:rPr>
          <w:spacing w:val="-3"/>
        </w:rPr>
        <w:t xml:space="preserve"> </w:t>
      </w:r>
      <w:r>
        <w:t>(IMR)</w:t>
      </w:r>
      <w:r>
        <w:rPr>
          <w:spacing w:val="-5"/>
        </w:rPr>
        <w:t xml:space="preserve"> </w:t>
      </w:r>
      <w:r>
        <w:t>should</w:t>
      </w:r>
      <w:r>
        <w:rPr>
          <w:spacing w:val="-4"/>
        </w:rPr>
        <w:t xml:space="preserve"> </w:t>
      </w:r>
      <w:r>
        <w:t>be</w:t>
      </w:r>
      <w:r>
        <w:rPr>
          <w:spacing w:val="-5"/>
        </w:rPr>
        <w:t xml:space="preserve"> </w:t>
      </w:r>
      <w:r>
        <w:t>used in asset adequacy analysis. Why?</w:t>
      </w:r>
    </w:p>
    <w:p w14:paraId="2E9B2DFB" w14:textId="77777777" w:rsidR="00680063" w:rsidRDefault="00680063">
      <w:pPr>
        <w:pStyle w:val="BodyText"/>
        <w:spacing w:before="9"/>
        <w:rPr>
          <w:b/>
          <w:sz w:val="28"/>
        </w:rPr>
      </w:pPr>
    </w:p>
    <w:p w14:paraId="123FB7B6" w14:textId="77777777" w:rsidR="00680063" w:rsidRDefault="00000000">
      <w:pPr>
        <w:pStyle w:val="BodyText"/>
        <w:ind w:left="839" w:right="1501"/>
      </w:pPr>
      <w:r>
        <w:t>The IMR is part of the total reported statutory reserves. The IMR typically defers recognition</w:t>
      </w:r>
      <w:r>
        <w:rPr>
          <w:spacing w:val="-3"/>
        </w:rPr>
        <w:t xml:space="preserve"> </w:t>
      </w:r>
      <w:r>
        <w:t>of</w:t>
      </w:r>
      <w:r>
        <w:rPr>
          <w:spacing w:val="-4"/>
        </w:rPr>
        <w:t xml:space="preserve"> </w:t>
      </w:r>
      <w:r>
        <w:t>the</w:t>
      </w:r>
      <w:r>
        <w:rPr>
          <w:spacing w:val="-4"/>
        </w:rPr>
        <w:t xml:space="preserve"> </w:t>
      </w:r>
      <w:r>
        <w:t>portion</w:t>
      </w:r>
      <w:r>
        <w:rPr>
          <w:spacing w:val="-3"/>
        </w:rPr>
        <w:t xml:space="preserve"> </w:t>
      </w:r>
      <w:r>
        <w:t>of</w:t>
      </w:r>
      <w:r>
        <w:rPr>
          <w:spacing w:val="-4"/>
        </w:rPr>
        <w:t xml:space="preserve"> </w:t>
      </w:r>
      <w:r>
        <w:t>realized</w:t>
      </w:r>
      <w:r>
        <w:rPr>
          <w:spacing w:val="-3"/>
        </w:rPr>
        <w:t xml:space="preserve"> </w:t>
      </w:r>
      <w:r>
        <w:t>capital</w:t>
      </w:r>
      <w:r>
        <w:rPr>
          <w:spacing w:val="-3"/>
        </w:rPr>
        <w:t xml:space="preserve"> </w:t>
      </w:r>
      <w:r>
        <w:t>gains</w:t>
      </w:r>
      <w:r>
        <w:rPr>
          <w:spacing w:val="-3"/>
        </w:rPr>
        <w:t xml:space="preserve"> </w:t>
      </w:r>
      <w:r>
        <w:t>and</w:t>
      </w:r>
      <w:r>
        <w:rPr>
          <w:spacing w:val="-3"/>
        </w:rPr>
        <w:t xml:space="preserve"> </w:t>
      </w:r>
      <w:r>
        <w:t>losses</w:t>
      </w:r>
      <w:r>
        <w:rPr>
          <w:spacing w:val="-3"/>
        </w:rPr>
        <w:t xml:space="preserve"> </w:t>
      </w:r>
      <w:r>
        <w:t>resulting</w:t>
      </w:r>
      <w:r>
        <w:rPr>
          <w:spacing w:val="-3"/>
        </w:rPr>
        <w:t xml:space="preserve"> </w:t>
      </w:r>
      <w:r>
        <w:t>from</w:t>
      </w:r>
      <w:r>
        <w:rPr>
          <w:spacing w:val="-3"/>
        </w:rPr>
        <w:t xml:space="preserve"> </w:t>
      </w:r>
      <w:r>
        <w:t>changes</w:t>
      </w:r>
      <w:r>
        <w:rPr>
          <w:spacing w:val="-3"/>
        </w:rPr>
        <w:t xml:space="preserve"> </w:t>
      </w:r>
      <w:r>
        <w:t>in</w:t>
      </w:r>
      <w:r>
        <w:rPr>
          <w:spacing w:val="-3"/>
        </w:rPr>
        <w:t xml:space="preserve"> </w:t>
      </w:r>
      <w:r>
        <w:t>the general level of interest rates. These gains and losses are amortized into investment income over the expected remaining life of the investments sold, rather than being recognized immediately. This amortization is after tax.</w:t>
      </w:r>
    </w:p>
    <w:p w14:paraId="317781D2" w14:textId="77777777" w:rsidR="00680063" w:rsidRDefault="00680063">
      <w:pPr>
        <w:pStyle w:val="BodyText"/>
      </w:pPr>
    </w:p>
    <w:p w14:paraId="50BC1610" w14:textId="77777777" w:rsidR="00680063" w:rsidRDefault="00000000">
      <w:pPr>
        <w:pStyle w:val="BodyText"/>
        <w:ind w:left="839" w:right="1536"/>
      </w:pPr>
      <w:r>
        <w:t>The purpose of the IMR usually is to maintain the original matching between assets and liabilities that might be weakened by the sale of an asset. Originally, it was anticipated that</w:t>
      </w:r>
      <w:r>
        <w:rPr>
          <w:spacing w:val="-3"/>
        </w:rPr>
        <w:t xml:space="preserve"> </w:t>
      </w:r>
      <w:r>
        <w:t>the</w:t>
      </w:r>
      <w:r>
        <w:rPr>
          <w:spacing w:val="-2"/>
        </w:rPr>
        <w:t xml:space="preserve"> </w:t>
      </w:r>
      <w:r>
        <w:t>IMR</w:t>
      </w:r>
      <w:r>
        <w:rPr>
          <w:spacing w:val="-3"/>
        </w:rPr>
        <w:t xml:space="preserve"> </w:t>
      </w:r>
      <w:r>
        <w:t>would</w:t>
      </w:r>
      <w:r>
        <w:rPr>
          <w:spacing w:val="-3"/>
        </w:rPr>
        <w:t xml:space="preserve"> </w:t>
      </w:r>
      <w:r>
        <w:t>be</w:t>
      </w:r>
      <w:r>
        <w:rPr>
          <w:spacing w:val="-2"/>
        </w:rPr>
        <w:t xml:space="preserve"> </w:t>
      </w:r>
      <w:r>
        <w:t>allowed</w:t>
      </w:r>
      <w:r>
        <w:rPr>
          <w:spacing w:val="-3"/>
        </w:rPr>
        <w:t xml:space="preserve"> </w:t>
      </w:r>
      <w:r>
        <w:t>to</w:t>
      </w:r>
      <w:r>
        <w:rPr>
          <w:spacing w:val="-3"/>
        </w:rPr>
        <w:t xml:space="preserve"> </w:t>
      </w:r>
      <w:r>
        <w:t>become</w:t>
      </w:r>
      <w:r>
        <w:rPr>
          <w:spacing w:val="-4"/>
        </w:rPr>
        <w:t xml:space="preserve"> </w:t>
      </w:r>
      <w:r>
        <w:t>negative,</w:t>
      </w:r>
      <w:r>
        <w:rPr>
          <w:spacing w:val="-3"/>
        </w:rPr>
        <w:t xml:space="preserve"> </w:t>
      </w:r>
      <w:r>
        <w:t>as</w:t>
      </w:r>
      <w:r>
        <w:rPr>
          <w:spacing w:val="-3"/>
        </w:rPr>
        <w:t xml:space="preserve"> </w:t>
      </w:r>
      <w:r>
        <w:t>long</w:t>
      </w:r>
      <w:r>
        <w:rPr>
          <w:spacing w:val="-3"/>
        </w:rPr>
        <w:t xml:space="preserve"> </w:t>
      </w:r>
      <w:r>
        <w:t>as</w:t>
      </w:r>
      <w:r>
        <w:rPr>
          <w:spacing w:val="-3"/>
        </w:rPr>
        <w:t xml:space="preserve"> </w:t>
      </w:r>
      <w:r>
        <w:t>the</w:t>
      </w:r>
      <w:r>
        <w:rPr>
          <w:spacing w:val="-4"/>
        </w:rPr>
        <w:t xml:space="preserve"> </w:t>
      </w:r>
      <w:r>
        <w:t>asset</w:t>
      </w:r>
      <w:r>
        <w:rPr>
          <w:spacing w:val="-3"/>
        </w:rPr>
        <w:t xml:space="preserve"> </w:t>
      </w:r>
      <w:r>
        <w:t>adequacy</w:t>
      </w:r>
      <w:r>
        <w:rPr>
          <w:spacing w:val="-7"/>
        </w:rPr>
        <w:t xml:space="preserve"> </w:t>
      </w:r>
      <w:r>
        <w:t>analysis showed that the total statutory reserves, including the negative IMR, were sufficient to cover the liabilities. However, a negative IMR is not an admitted asset in the annual statement. So, some</w:t>
      </w:r>
      <w:r>
        <w:rPr>
          <w:spacing w:val="-1"/>
        </w:rPr>
        <w:t xml:space="preserve"> </w:t>
      </w:r>
      <w:r>
        <w:t>actuaries do not reflect a</w:t>
      </w:r>
      <w:r>
        <w:rPr>
          <w:spacing w:val="-1"/>
        </w:rPr>
        <w:t xml:space="preserve"> </w:t>
      </w:r>
      <w:r>
        <w:t>negative</w:t>
      </w:r>
      <w:r>
        <w:rPr>
          <w:spacing w:val="-1"/>
        </w:rPr>
        <w:t xml:space="preserve"> </w:t>
      </w:r>
      <w:r>
        <w:t>value</w:t>
      </w:r>
      <w:r>
        <w:rPr>
          <w:spacing w:val="-1"/>
        </w:rPr>
        <w:t xml:space="preserve"> </w:t>
      </w:r>
      <w:r>
        <w:t>of IMR in the liabilities used for asset adequacy analysis.</w:t>
      </w:r>
    </w:p>
    <w:p w14:paraId="5AA751EB" w14:textId="77777777" w:rsidR="00680063" w:rsidRDefault="00680063">
      <w:pPr>
        <w:pStyle w:val="BodyText"/>
      </w:pPr>
    </w:p>
    <w:p w14:paraId="5FFE8E51" w14:textId="77777777" w:rsidR="00680063" w:rsidRDefault="00000000">
      <w:pPr>
        <w:pStyle w:val="BodyText"/>
        <w:ind w:left="839" w:right="1487"/>
      </w:pPr>
      <w:r>
        <w:t>In the 2012 survey of appointed actuaries, more than 80 percent of the respondents indicated they include the IMR in their testing. Some actuaries use a starting IMR of zero if</w:t>
      </w:r>
      <w:r>
        <w:rPr>
          <w:spacing w:val="-2"/>
        </w:rPr>
        <w:t xml:space="preserve"> </w:t>
      </w:r>
      <w:r>
        <w:t>IMR</w:t>
      </w:r>
      <w:r>
        <w:rPr>
          <w:spacing w:val="-3"/>
        </w:rPr>
        <w:t xml:space="preserve"> </w:t>
      </w:r>
      <w:r>
        <w:t>is</w:t>
      </w:r>
      <w:r>
        <w:rPr>
          <w:spacing w:val="-3"/>
        </w:rPr>
        <w:t xml:space="preserve"> </w:t>
      </w:r>
      <w:r>
        <w:t>negative.</w:t>
      </w:r>
      <w:r>
        <w:rPr>
          <w:spacing w:val="-3"/>
        </w:rPr>
        <w:t xml:space="preserve"> </w:t>
      </w:r>
      <w:r>
        <w:t>Other</w:t>
      </w:r>
      <w:r>
        <w:rPr>
          <w:spacing w:val="-2"/>
        </w:rPr>
        <w:t xml:space="preserve"> </w:t>
      </w:r>
      <w:r>
        <w:t>actuaries</w:t>
      </w:r>
      <w:r>
        <w:rPr>
          <w:spacing w:val="-3"/>
        </w:rPr>
        <w:t xml:space="preserve"> </w:t>
      </w:r>
      <w:r>
        <w:t>use</w:t>
      </w:r>
      <w:r>
        <w:rPr>
          <w:spacing w:val="-4"/>
        </w:rPr>
        <w:t xml:space="preserve"> </w:t>
      </w:r>
      <w:r>
        <w:t>negative IMR</w:t>
      </w:r>
      <w:r>
        <w:rPr>
          <w:spacing w:val="-3"/>
        </w:rPr>
        <w:t xml:space="preserve"> </w:t>
      </w:r>
      <w:r>
        <w:t>to</w:t>
      </w:r>
      <w:r>
        <w:rPr>
          <w:spacing w:val="-3"/>
        </w:rPr>
        <w:t xml:space="preserve"> </w:t>
      </w:r>
      <w:r>
        <w:t>adjust</w:t>
      </w:r>
      <w:r>
        <w:rPr>
          <w:spacing w:val="-3"/>
        </w:rPr>
        <w:t xml:space="preserve"> </w:t>
      </w:r>
      <w:r>
        <w:t>starting</w:t>
      </w:r>
      <w:r>
        <w:rPr>
          <w:spacing w:val="-6"/>
        </w:rPr>
        <w:t xml:space="preserve"> </w:t>
      </w:r>
      <w:r>
        <w:t>assets</w:t>
      </w:r>
      <w:r>
        <w:rPr>
          <w:spacing w:val="-3"/>
        </w:rPr>
        <w:t xml:space="preserve"> </w:t>
      </w:r>
      <w:r>
        <w:t>and</w:t>
      </w:r>
      <w:r>
        <w:rPr>
          <w:spacing w:val="-3"/>
        </w:rPr>
        <w:t xml:space="preserve"> </w:t>
      </w:r>
      <w:r>
        <w:t>therefore model future lower asset yields than if zero IMR were assumed. Half of the respondents who indicated they used IMR in testing also indicated they lower assets by the absolute value of a negative IMR balance; the other half indicated they use a value of zero for the starting IMR if it is negative at the beginning of the projection period. There is no prohibition regarding the use of negative IMR within asset adequacy analysis. So, a number of actuaries allow the IMR to fall below zero within the testing period. About 60 percent of actuaries responding to the survey indicated they do not have to deal with a negative IMR.</w:t>
      </w:r>
    </w:p>
    <w:p w14:paraId="43A6B37C" w14:textId="77777777" w:rsidR="00680063" w:rsidRDefault="00680063">
      <w:pPr>
        <w:pStyle w:val="BodyText"/>
        <w:rPr>
          <w:sz w:val="26"/>
        </w:rPr>
      </w:pPr>
    </w:p>
    <w:p w14:paraId="6D4071C3" w14:textId="77777777" w:rsidR="00680063" w:rsidRDefault="00000000">
      <w:pPr>
        <w:pStyle w:val="Heading2"/>
        <w:tabs>
          <w:tab w:val="left" w:pos="1559"/>
        </w:tabs>
        <w:spacing w:before="222"/>
        <w:ind w:left="1559" w:right="1963" w:hanging="720"/>
      </w:pPr>
      <w:r>
        <w:rPr>
          <w:spacing w:val="-4"/>
        </w:rPr>
        <w:t>Q23.</w:t>
      </w:r>
      <w:r>
        <w:tab/>
        <w:t>How</w:t>
      </w:r>
      <w:r>
        <w:rPr>
          <w:spacing w:val="-2"/>
        </w:rPr>
        <w:t xml:space="preserve"> </w:t>
      </w:r>
      <w:r>
        <w:t>does</w:t>
      </w:r>
      <w:r>
        <w:rPr>
          <w:spacing w:val="-3"/>
        </w:rPr>
        <w:t xml:space="preserve"> </w:t>
      </w:r>
      <w:r>
        <w:t>the</w:t>
      </w:r>
      <w:r>
        <w:rPr>
          <w:spacing w:val="-4"/>
        </w:rPr>
        <w:t xml:space="preserve"> </w:t>
      </w:r>
      <w:r>
        <w:t>actuary</w:t>
      </w:r>
      <w:r>
        <w:rPr>
          <w:spacing w:val="-3"/>
        </w:rPr>
        <w:t xml:space="preserve"> </w:t>
      </w:r>
      <w:r>
        <w:t>determine</w:t>
      </w:r>
      <w:r>
        <w:rPr>
          <w:spacing w:val="-4"/>
        </w:rPr>
        <w:t xml:space="preserve"> </w:t>
      </w:r>
      <w:r>
        <w:t>which</w:t>
      </w:r>
      <w:r>
        <w:rPr>
          <w:spacing w:val="-3"/>
        </w:rPr>
        <w:t xml:space="preserve"> </w:t>
      </w:r>
      <w:r>
        <w:t>portion</w:t>
      </w:r>
      <w:r>
        <w:rPr>
          <w:spacing w:val="-5"/>
        </w:rPr>
        <w:t xml:space="preserve"> </w:t>
      </w:r>
      <w:r>
        <w:t>of</w:t>
      </w:r>
      <w:r>
        <w:rPr>
          <w:spacing w:val="-2"/>
        </w:rPr>
        <w:t xml:space="preserve"> </w:t>
      </w:r>
      <w:r>
        <w:t>the</w:t>
      </w:r>
      <w:r>
        <w:rPr>
          <w:spacing w:val="-4"/>
        </w:rPr>
        <w:t xml:space="preserve"> </w:t>
      </w:r>
      <w:r>
        <w:t>IMR</w:t>
      </w:r>
      <w:r>
        <w:rPr>
          <w:spacing w:val="-4"/>
        </w:rPr>
        <w:t xml:space="preserve"> </w:t>
      </w:r>
      <w:r>
        <w:t>can</w:t>
      </w:r>
      <w:r>
        <w:rPr>
          <w:spacing w:val="-3"/>
        </w:rPr>
        <w:t xml:space="preserve"> </w:t>
      </w:r>
      <w:r>
        <w:t>be</w:t>
      </w:r>
      <w:r>
        <w:rPr>
          <w:spacing w:val="-4"/>
        </w:rPr>
        <w:t xml:space="preserve"> </w:t>
      </w:r>
      <w:r>
        <w:t>used</w:t>
      </w:r>
      <w:r>
        <w:rPr>
          <w:spacing w:val="-3"/>
        </w:rPr>
        <w:t xml:space="preserve"> </w:t>
      </w:r>
      <w:r>
        <w:t>to support certain products? How is the portion of the IMR used?</w:t>
      </w:r>
    </w:p>
    <w:p w14:paraId="5C593E40" w14:textId="77777777" w:rsidR="00680063" w:rsidRDefault="00680063">
      <w:pPr>
        <w:pStyle w:val="BodyText"/>
        <w:spacing w:before="9"/>
        <w:rPr>
          <w:b/>
          <w:sz w:val="28"/>
        </w:rPr>
      </w:pPr>
    </w:p>
    <w:p w14:paraId="66B5F331" w14:textId="77777777" w:rsidR="00680063" w:rsidRDefault="00000000">
      <w:pPr>
        <w:pStyle w:val="BodyText"/>
        <w:ind w:left="839" w:right="1619"/>
      </w:pPr>
      <w:r>
        <w:t>If the actuary allocates the assets and IMR by line, then one possible approach is line of business-level</w:t>
      </w:r>
      <w:r>
        <w:rPr>
          <w:spacing w:val="-3"/>
        </w:rPr>
        <w:t xml:space="preserve"> </w:t>
      </w:r>
      <w:r>
        <w:t>inclusion</w:t>
      </w:r>
      <w:r>
        <w:rPr>
          <w:spacing w:val="-3"/>
        </w:rPr>
        <w:t xml:space="preserve"> </w:t>
      </w:r>
      <w:r>
        <w:t>of</w:t>
      </w:r>
      <w:r>
        <w:rPr>
          <w:spacing w:val="-4"/>
        </w:rPr>
        <w:t xml:space="preserve"> </w:t>
      </w:r>
      <w:r>
        <w:t>starting</w:t>
      </w:r>
      <w:r>
        <w:rPr>
          <w:spacing w:val="-3"/>
        </w:rPr>
        <w:t xml:space="preserve"> </w:t>
      </w:r>
      <w:r>
        <w:t>assets</w:t>
      </w:r>
      <w:r>
        <w:rPr>
          <w:spacing w:val="-3"/>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the</w:t>
      </w:r>
      <w:r>
        <w:rPr>
          <w:spacing w:val="-4"/>
        </w:rPr>
        <w:t xml:space="preserve"> </w:t>
      </w:r>
      <w:r>
        <w:t>unamortized</w:t>
      </w:r>
      <w:r>
        <w:rPr>
          <w:spacing w:val="-3"/>
        </w:rPr>
        <w:t xml:space="preserve"> </w:t>
      </w:r>
      <w:r>
        <w:t>portion</w:t>
      </w:r>
      <w:r>
        <w:rPr>
          <w:spacing w:val="-3"/>
        </w:rPr>
        <w:t xml:space="preserve"> </w:t>
      </w:r>
      <w:r>
        <w:t>of</w:t>
      </w:r>
      <w:r>
        <w:rPr>
          <w:spacing w:val="-4"/>
        </w:rPr>
        <w:t xml:space="preserve"> </w:t>
      </w:r>
      <w:r>
        <w:t>the IMR relating to those assets that were owned by the line prior to being sold. Another possible approach is the allocation of company-level IMR proportionately to starting assets. An advantage of this second approach is that it is generally simpler, while a disadvantage is that longer liabilities probably</w:t>
      </w:r>
      <w:r>
        <w:rPr>
          <w:spacing w:val="-3"/>
        </w:rPr>
        <w:t xml:space="preserve"> </w:t>
      </w:r>
      <w:r>
        <w:t>have longer assets, which usually</w:t>
      </w:r>
      <w:r>
        <w:rPr>
          <w:spacing w:val="-3"/>
        </w:rPr>
        <w:t xml:space="preserve"> </w:t>
      </w:r>
      <w:r>
        <w:t>produce higher capital gains when sold, after a given drop in interest rates, than shorter assets do,</w:t>
      </w:r>
    </w:p>
    <w:sectPr w:rsidR="00680063">
      <w:pgSz w:w="12240" w:h="15840"/>
      <w:pgMar w:top="136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A07"/>
    <w:multiLevelType w:val="hybridMultilevel"/>
    <w:tmpl w:val="4F76F424"/>
    <w:lvl w:ilvl="0" w:tplc="C05645DE">
      <w:start w:val="1"/>
      <w:numFmt w:val="lowerLetter"/>
      <w:lvlText w:val="%1."/>
      <w:lvlJc w:val="left"/>
      <w:pPr>
        <w:ind w:left="1019" w:hanging="449"/>
        <w:jc w:val="left"/>
      </w:pPr>
      <w:rPr>
        <w:rFonts w:ascii="Times New Roman" w:eastAsia="Times New Roman" w:hAnsi="Times New Roman" w:cs="Times New Roman" w:hint="default"/>
        <w:b w:val="0"/>
        <w:bCs w:val="0"/>
        <w:i w:val="0"/>
        <w:iCs w:val="0"/>
        <w:spacing w:val="0"/>
        <w:w w:val="99"/>
        <w:sz w:val="20"/>
        <w:szCs w:val="20"/>
      </w:rPr>
    </w:lvl>
    <w:lvl w:ilvl="1" w:tplc="BD0ABB06">
      <w:numFmt w:val="bullet"/>
      <w:lvlText w:val="•"/>
      <w:lvlJc w:val="left"/>
      <w:pPr>
        <w:ind w:left="2022" w:hanging="449"/>
      </w:pPr>
      <w:rPr>
        <w:rFonts w:hint="default"/>
      </w:rPr>
    </w:lvl>
    <w:lvl w:ilvl="2" w:tplc="7366ACCC">
      <w:numFmt w:val="bullet"/>
      <w:lvlText w:val="•"/>
      <w:lvlJc w:val="left"/>
      <w:pPr>
        <w:ind w:left="3024" w:hanging="449"/>
      </w:pPr>
      <w:rPr>
        <w:rFonts w:hint="default"/>
      </w:rPr>
    </w:lvl>
    <w:lvl w:ilvl="3" w:tplc="849840F4">
      <w:numFmt w:val="bullet"/>
      <w:lvlText w:val="•"/>
      <w:lvlJc w:val="left"/>
      <w:pPr>
        <w:ind w:left="4026" w:hanging="449"/>
      </w:pPr>
      <w:rPr>
        <w:rFonts w:hint="default"/>
      </w:rPr>
    </w:lvl>
    <w:lvl w:ilvl="4" w:tplc="2E909EDA">
      <w:numFmt w:val="bullet"/>
      <w:lvlText w:val="•"/>
      <w:lvlJc w:val="left"/>
      <w:pPr>
        <w:ind w:left="5028" w:hanging="449"/>
      </w:pPr>
      <w:rPr>
        <w:rFonts w:hint="default"/>
      </w:rPr>
    </w:lvl>
    <w:lvl w:ilvl="5" w:tplc="8CB8F748">
      <w:numFmt w:val="bullet"/>
      <w:lvlText w:val="•"/>
      <w:lvlJc w:val="left"/>
      <w:pPr>
        <w:ind w:left="6030" w:hanging="449"/>
      </w:pPr>
      <w:rPr>
        <w:rFonts w:hint="default"/>
      </w:rPr>
    </w:lvl>
    <w:lvl w:ilvl="6" w:tplc="3D00933C">
      <w:numFmt w:val="bullet"/>
      <w:lvlText w:val="•"/>
      <w:lvlJc w:val="left"/>
      <w:pPr>
        <w:ind w:left="7032" w:hanging="449"/>
      </w:pPr>
      <w:rPr>
        <w:rFonts w:hint="default"/>
      </w:rPr>
    </w:lvl>
    <w:lvl w:ilvl="7" w:tplc="D16EDDEA">
      <w:numFmt w:val="bullet"/>
      <w:lvlText w:val="•"/>
      <w:lvlJc w:val="left"/>
      <w:pPr>
        <w:ind w:left="8034" w:hanging="449"/>
      </w:pPr>
      <w:rPr>
        <w:rFonts w:hint="default"/>
      </w:rPr>
    </w:lvl>
    <w:lvl w:ilvl="8" w:tplc="F9B6592A">
      <w:numFmt w:val="bullet"/>
      <w:lvlText w:val="•"/>
      <w:lvlJc w:val="left"/>
      <w:pPr>
        <w:ind w:left="9036" w:hanging="449"/>
      </w:pPr>
      <w:rPr>
        <w:rFonts w:hint="default"/>
      </w:rPr>
    </w:lvl>
  </w:abstractNum>
  <w:abstractNum w:abstractNumId="1" w15:restartNumberingAfterBreak="0">
    <w:nsid w:val="1F140C13"/>
    <w:multiLevelType w:val="hybridMultilevel"/>
    <w:tmpl w:val="D2302038"/>
    <w:lvl w:ilvl="0" w:tplc="7CF8AAC4">
      <w:numFmt w:val="bullet"/>
      <w:lvlText w:val="o"/>
      <w:lvlJc w:val="left"/>
      <w:pPr>
        <w:ind w:left="1560" w:hanging="361"/>
      </w:pPr>
      <w:rPr>
        <w:rFonts w:ascii="Courier New" w:eastAsia="Courier New" w:hAnsi="Courier New" w:cs="Courier New" w:hint="default"/>
        <w:b w:val="0"/>
        <w:bCs w:val="0"/>
        <w:i w:val="0"/>
        <w:iCs w:val="0"/>
        <w:w w:val="100"/>
        <w:sz w:val="22"/>
        <w:szCs w:val="22"/>
      </w:rPr>
    </w:lvl>
    <w:lvl w:ilvl="1" w:tplc="BF42E8B0">
      <w:numFmt w:val="bullet"/>
      <w:lvlText w:val="•"/>
      <w:lvlJc w:val="left"/>
      <w:pPr>
        <w:ind w:left="2508" w:hanging="361"/>
      </w:pPr>
      <w:rPr>
        <w:rFonts w:hint="default"/>
      </w:rPr>
    </w:lvl>
    <w:lvl w:ilvl="2" w:tplc="6BD66ED8">
      <w:numFmt w:val="bullet"/>
      <w:lvlText w:val="•"/>
      <w:lvlJc w:val="left"/>
      <w:pPr>
        <w:ind w:left="3456" w:hanging="361"/>
      </w:pPr>
      <w:rPr>
        <w:rFonts w:hint="default"/>
      </w:rPr>
    </w:lvl>
    <w:lvl w:ilvl="3" w:tplc="BE9C1CD6">
      <w:numFmt w:val="bullet"/>
      <w:lvlText w:val="•"/>
      <w:lvlJc w:val="left"/>
      <w:pPr>
        <w:ind w:left="4404" w:hanging="361"/>
      </w:pPr>
      <w:rPr>
        <w:rFonts w:hint="default"/>
      </w:rPr>
    </w:lvl>
    <w:lvl w:ilvl="4" w:tplc="9A5E8980">
      <w:numFmt w:val="bullet"/>
      <w:lvlText w:val="•"/>
      <w:lvlJc w:val="left"/>
      <w:pPr>
        <w:ind w:left="5352" w:hanging="361"/>
      </w:pPr>
      <w:rPr>
        <w:rFonts w:hint="default"/>
      </w:rPr>
    </w:lvl>
    <w:lvl w:ilvl="5" w:tplc="95EE45C4">
      <w:numFmt w:val="bullet"/>
      <w:lvlText w:val="•"/>
      <w:lvlJc w:val="left"/>
      <w:pPr>
        <w:ind w:left="6300" w:hanging="361"/>
      </w:pPr>
      <w:rPr>
        <w:rFonts w:hint="default"/>
      </w:rPr>
    </w:lvl>
    <w:lvl w:ilvl="6" w:tplc="D0B07078">
      <w:numFmt w:val="bullet"/>
      <w:lvlText w:val="•"/>
      <w:lvlJc w:val="left"/>
      <w:pPr>
        <w:ind w:left="7248" w:hanging="361"/>
      </w:pPr>
      <w:rPr>
        <w:rFonts w:hint="default"/>
      </w:rPr>
    </w:lvl>
    <w:lvl w:ilvl="7" w:tplc="44920AE8">
      <w:numFmt w:val="bullet"/>
      <w:lvlText w:val="•"/>
      <w:lvlJc w:val="left"/>
      <w:pPr>
        <w:ind w:left="8196" w:hanging="361"/>
      </w:pPr>
      <w:rPr>
        <w:rFonts w:hint="default"/>
      </w:rPr>
    </w:lvl>
    <w:lvl w:ilvl="8" w:tplc="CAEA2EC4">
      <w:numFmt w:val="bullet"/>
      <w:lvlText w:val="•"/>
      <w:lvlJc w:val="left"/>
      <w:pPr>
        <w:ind w:left="9144" w:hanging="361"/>
      </w:pPr>
      <w:rPr>
        <w:rFonts w:hint="default"/>
      </w:rPr>
    </w:lvl>
  </w:abstractNum>
  <w:num w:numId="1" w16cid:durableId="1439331444">
    <w:abstractNumId w:val="0"/>
  </w:num>
  <w:num w:numId="2" w16cid:durableId="182812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0063"/>
    <w:rsid w:val="000D25B5"/>
    <w:rsid w:val="00680063"/>
    <w:rsid w:val="006E1A44"/>
    <w:rsid w:val="00E7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A20E285"/>
  <w15:docId w15:val="{65E3B1EE-246E-4238-9400-1F99CB60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3"/>
      <w:ind w:left="3265" w:right="3980"/>
      <w:jc w:val="center"/>
      <w:outlineLvl w:val="0"/>
    </w:pPr>
    <w:rPr>
      <w:rFonts w:ascii="Calibri" w:eastAsia="Calibri" w:hAnsi="Calibri" w:cs="Calibri"/>
      <w:sz w:val="67"/>
      <w:szCs w:val="67"/>
    </w:rPr>
  </w:style>
  <w:style w:type="paragraph" w:styleId="Heading2">
    <w:name w:val="heading 2"/>
    <w:basedOn w:val="Normal"/>
    <w:uiPriority w:val="9"/>
    <w:unhideWhenUsed/>
    <w:qFormat/>
    <w:pPr>
      <w:ind w:left="4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44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customXml" Target="../customXml/item2.xml"/><Relationship Id="rId7" Type="http://schemas.openxmlformats.org/officeDocument/2006/relationships/hyperlink" Target="mailto:paulgraham@acli.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mikemonahan@acli.co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4023F-1302-45D5-A0E9-8805D84A2C43}"/>
</file>

<file path=customXml/itemProps2.xml><?xml version="1.0" encoding="utf-8"?>
<ds:datastoreItem xmlns:ds="http://schemas.openxmlformats.org/officeDocument/2006/customXml" ds:itemID="{FCE89DE1-A0B4-490F-8429-487EBABCA1AE}"/>
</file>

<file path=docProps/app.xml><?xml version="1.0" encoding="utf-8"?>
<Properties xmlns="http://schemas.openxmlformats.org/officeDocument/2006/extended-properties" xmlns:vt="http://schemas.openxmlformats.org/officeDocument/2006/docPropsVTypes">
  <Template>Normal.dotm</Template>
  <TotalTime>13</TotalTime>
  <Pages>15</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NAIC Staff Memo to Life Actuarial (A) Task Force on Negative IMR 11_17_22 w_Attachments.pdf</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Staff Memo to Life Actuarial (A) Task Force on Negative IMR 11_17_22 w_Attachments.pdf</dc:title>
  <dc:creator>soneal</dc:creator>
  <cp:lastModifiedBy>Rachel Hemphill</cp:lastModifiedBy>
  <cp:revision>3</cp:revision>
  <dcterms:created xsi:type="dcterms:W3CDTF">2023-05-12T14:12:00Z</dcterms:created>
  <dcterms:modified xsi:type="dcterms:W3CDTF">2023-05-12T14:25:00Z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2023-05-12T00:00:00Z</vt:filetime>
  </property>
</Properties>
</file>