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7DE" w14:textId="77777777" w:rsidR="004554BE" w:rsidRDefault="004554BE" w:rsidP="004554BE">
      <w:pPr>
        <w:shd w:val="clear" w:color="auto" w:fill="FFFFFF"/>
        <w:jc w:val="both"/>
        <w:textAlignment w:val="baseline"/>
        <w:rPr>
          <w:rFonts w:ascii="Arial" w:hAnsi="Arial" w:cs="Arial"/>
          <w:b/>
          <w:bCs/>
        </w:rPr>
      </w:pPr>
      <w:r>
        <w:rPr>
          <w:rFonts w:ascii="Arial" w:hAnsi="Arial" w:cs="Arial"/>
          <w:b/>
          <w:bCs/>
          <w:color w:val="000000"/>
        </w:rPr>
        <w:t>Proposal: Minor Changes to the Definition of Wellness Program in Section 3.</w:t>
      </w:r>
    </w:p>
    <w:p w14:paraId="31E10CC2" w14:textId="77777777" w:rsidR="004554BE" w:rsidRDefault="004554BE" w:rsidP="004554BE">
      <w:pPr>
        <w:shd w:val="clear" w:color="auto" w:fill="FFFFFF"/>
        <w:jc w:val="both"/>
        <w:textAlignment w:val="baseline"/>
        <w:rPr>
          <w:rFonts w:ascii="Arial" w:hAnsi="Arial" w:cs="Arial"/>
          <w:b/>
          <w:bCs/>
        </w:rPr>
      </w:pPr>
    </w:p>
    <w:p w14:paraId="21B32F4B" w14:textId="77777777" w:rsidR="004554BE" w:rsidRDefault="004554BE" w:rsidP="004554BE">
      <w:pPr>
        <w:shd w:val="clear" w:color="auto" w:fill="FFFFFF"/>
        <w:jc w:val="both"/>
        <w:textAlignment w:val="baseline"/>
        <w:rPr>
          <w:rFonts w:ascii="Arial" w:hAnsi="Arial" w:cs="Arial"/>
          <w:b/>
          <w:bCs/>
          <w:sz w:val="20"/>
          <w:szCs w:val="20"/>
        </w:rPr>
      </w:pPr>
      <w:r>
        <w:rPr>
          <w:rFonts w:ascii="Arial" w:hAnsi="Arial" w:cs="Arial"/>
          <w:b/>
          <w:bCs/>
          <w:color w:val="000000"/>
          <w:sz w:val="20"/>
          <w:szCs w:val="20"/>
        </w:rPr>
        <w:t>Section 3         Definitions</w:t>
      </w:r>
    </w:p>
    <w:p w14:paraId="722A084A" w14:textId="77777777" w:rsidR="004554BE" w:rsidRDefault="004554BE" w:rsidP="004554BE">
      <w:pPr>
        <w:shd w:val="clear" w:color="auto" w:fill="FFFFFF"/>
        <w:jc w:val="both"/>
        <w:textAlignment w:val="baseline"/>
        <w:rPr>
          <w:rFonts w:ascii="Arial" w:hAnsi="Arial" w:cs="Arial"/>
          <w:b/>
          <w:bCs/>
          <w:sz w:val="20"/>
          <w:szCs w:val="20"/>
        </w:rPr>
      </w:pPr>
      <w:r>
        <w:rPr>
          <w:rFonts w:ascii="Arial" w:hAnsi="Arial" w:cs="Arial"/>
          <w:b/>
          <w:bCs/>
          <w:color w:val="000000"/>
          <w:sz w:val="20"/>
          <w:szCs w:val="20"/>
        </w:rPr>
        <w:t>…</w:t>
      </w:r>
    </w:p>
    <w:p w14:paraId="518CF9FD" w14:textId="77777777" w:rsidR="004554BE" w:rsidRDefault="004554BE" w:rsidP="004554BE">
      <w:pPr>
        <w:shd w:val="clear" w:color="auto" w:fill="FFFFFF"/>
        <w:jc w:val="both"/>
        <w:textAlignment w:val="baseline"/>
        <w:rPr>
          <w:sz w:val="24"/>
          <w:szCs w:val="24"/>
        </w:rPr>
      </w:pPr>
      <w:r>
        <w:rPr>
          <w:color w:val="000000"/>
          <w:sz w:val="24"/>
          <w:szCs w:val="24"/>
        </w:rPr>
        <w:t xml:space="preserve">(J) “Wellness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w:t>
      </w:r>
      <w:r>
        <w:rPr>
          <w:color w:val="FF0000"/>
          <w:sz w:val="24"/>
          <w:szCs w:val="24"/>
        </w:rPr>
        <w:t>[insert state trigger for insurance contracts, which might include [</w:t>
      </w:r>
      <w:r>
        <w:rPr>
          <w:color w:val="000000"/>
          <w:sz w:val="24"/>
          <w:szCs w:val="24"/>
        </w:rPr>
        <w:t>undertakes to indemnify another</w:t>
      </w:r>
      <w:r>
        <w:rPr>
          <w:color w:val="FF0000"/>
          <w:sz w:val="24"/>
          <w:szCs w:val="24"/>
        </w:rPr>
        <w:t xml:space="preserve">], </w:t>
      </w:r>
      <w:r>
        <w:rPr>
          <w:color w:val="000000"/>
          <w:sz w:val="24"/>
          <w:szCs w:val="24"/>
        </w:rPr>
        <w:t xml:space="preserve">or </w:t>
      </w:r>
      <w:r>
        <w:rPr>
          <w:color w:val="FF0000"/>
          <w:sz w:val="24"/>
          <w:szCs w:val="24"/>
        </w:rPr>
        <w:t>[</w:t>
      </w:r>
      <w:r>
        <w:rPr>
          <w:color w:val="000000"/>
          <w:sz w:val="24"/>
          <w:szCs w:val="24"/>
        </w:rPr>
        <w:t>pay a specified amount upon determinable contingencies</w:t>
      </w:r>
      <w:r>
        <w:rPr>
          <w:color w:val="FF0000"/>
          <w:sz w:val="24"/>
          <w:szCs w:val="24"/>
        </w:rPr>
        <w:t>] or [provides coverage for a fortuitous event]]</w:t>
      </w:r>
      <w:r>
        <w:rPr>
          <w:color w:val="000000"/>
          <w:sz w:val="24"/>
          <w:szCs w:val="24"/>
        </w:rPr>
        <w:t>, it is transacting in the business of insurance and is subject to the insurance code</w:t>
      </w:r>
      <w:r>
        <w:rPr>
          <w:color w:val="4472C4"/>
          <w:sz w:val="24"/>
          <w:szCs w:val="24"/>
        </w:rPr>
        <w:t xml:space="preserve">.  </w:t>
      </w:r>
      <w:r>
        <w:rPr>
          <w:color w:val="FF0000"/>
          <w:sz w:val="24"/>
          <w:szCs w:val="24"/>
        </w:rPr>
        <w:t>This definition is not intended to classify a contract directly between a service provider and a pet owner that only involves the two parties as being “the business of insurance,” unless other indications of insurance also exist.</w:t>
      </w:r>
    </w:p>
    <w:p w14:paraId="285F4989" w14:textId="77777777" w:rsidR="004554BE" w:rsidRDefault="004554BE" w:rsidP="004554BE"/>
    <w:p w14:paraId="25741ECB" w14:textId="77777777" w:rsidR="006418E0" w:rsidRDefault="006418E0"/>
    <w:sectPr w:rsidR="0064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E"/>
    <w:rsid w:val="004554BE"/>
    <w:rsid w:val="0064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B84C"/>
  <w15:chartTrackingRefBased/>
  <w15:docId w15:val="{275F31AE-A3C3-4370-8807-76B11F0A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Brandenburg, Aaron</dc:creator>
  <cp:keywords/>
  <dc:description/>
  <cp:lastModifiedBy>Brandenburg, Aaron</cp:lastModifiedBy>
  <cp:revision>1</cp:revision>
  <dcterms:created xsi:type="dcterms:W3CDTF">2021-08-02T20:52:00Z</dcterms:created>
  <dcterms:modified xsi:type="dcterms:W3CDTF">2021-08-02T20:54:00Z</dcterms:modified>
</cp:coreProperties>
</file>