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74F92" w14:textId="77777777" w:rsidR="00675C94" w:rsidRPr="00675C94" w:rsidRDefault="00675C94" w:rsidP="00675C94">
      <w:r w:rsidRPr="00675C94">
        <w:t xml:space="preserve">From: Helder, Randy </w:t>
      </w:r>
      <w:r w:rsidRPr="00675C94">
        <w:br/>
        <w:t>Sent: Wednesday, June 11, 2025 9:50 AM</w:t>
      </w:r>
      <w:r w:rsidRPr="00675C94">
        <w:br/>
        <w:t>To: 'Stacie Parker' &lt;</w:t>
      </w:r>
      <w:hyperlink r:id="rId5" w:history="1">
        <w:r w:rsidRPr="00675C94">
          <w:rPr>
            <w:rStyle w:val="Hyperlink"/>
          </w:rPr>
          <w:t>Stacie.Parker@tdi.texas.gov</w:t>
        </w:r>
      </w:hyperlink>
      <w:r w:rsidRPr="00675C94">
        <w:t>&gt;</w:t>
      </w:r>
      <w:r w:rsidRPr="00675C94">
        <w:br/>
        <w:t>Cc: Stevens, Bryan &lt;</w:t>
      </w:r>
      <w:hyperlink r:id="rId6" w:history="1">
        <w:r w:rsidRPr="00675C94">
          <w:rPr>
            <w:rStyle w:val="Hyperlink"/>
          </w:rPr>
          <w:t>bryan.stevens@wyo.gov</w:t>
        </w:r>
      </w:hyperlink>
      <w:r w:rsidRPr="00675C94">
        <w:t>&gt;; Patton, Theodore &lt;</w:t>
      </w:r>
      <w:hyperlink r:id="rId7" w:history="1">
        <w:r w:rsidRPr="00675C94">
          <w:rPr>
            <w:rStyle w:val="Hyperlink"/>
          </w:rPr>
          <w:t>theodore.patton@state.mn.us</w:t>
        </w:r>
      </w:hyperlink>
      <w:r w:rsidRPr="00675C94">
        <w:t>&gt;; Tarpley, Matthew &lt;</w:t>
      </w:r>
      <w:hyperlink r:id="rId8" w:history="1">
        <w:r w:rsidRPr="00675C94">
          <w:rPr>
            <w:rStyle w:val="Hyperlink"/>
          </w:rPr>
          <w:t>Matthew.tarpley@tdi.texas.gov</w:t>
        </w:r>
      </w:hyperlink>
      <w:r w:rsidRPr="00675C94">
        <w:t>&gt;</w:t>
      </w:r>
      <w:r w:rsidRPr="00675C94">
        <w:br/>
        <w:t>Subject: RE: Mkt Reg Certification (D) Working Group - Draft Requirement for Market Analysis</w:t>
      </w:r>
    </w:p>
    <w:p w14:paraId="2A0C68C4" w14:textId="77777777" w:rsidR="00675C94" w:rsidRPr="00675C94" w:rsidRDefault="00675C94" w:rsidP="00675C94">
      <w:r w:rsidRPr="00675C94">
        <w:t>Hi Stacie</w:t>
      </w:r>
    </w:p>
    <w:p w14:paraId="7F13BAB0" w14:textId="77777777" w:rsidR="00675C94" w:rsidRPr="00675C94" w:rsidRDefault="00675C94" w:rsidP="00675C94">
      <w:r w:rsidRPr="00675C94">
        <w:t>Great questions and valuable input as the Working Group works on developing the requirement.</w:t>
      </w:r>
    </w:p>
    <w:p w14:paraId="6AF6BD46" w14:textId="77777777" w:rsidR="00675C94" w:rsidRPr="00675C94" w:rsidRDefault="00675C94" w:rsidP="00675C94">
      <w:r w:rsidRPr="00675C94">
        <w:t xml:space="preserve">The draft that was circulated began with the assumption with all FTE’s in the market regulation section. This obviously results in large number of actions being required in large departments. MATS actions were included to not only make the requirement more attainable, but because a department should also be credited for all market analysis work. Your thoughts and concerns on this will certainly be part of the discussion.  </w:t>
      </w:r>
    </w:p>
    <w:p w14:paraId="165C93BD" w14:textId="77777777" w:rsidR="00675C94" w:rsidRPr="00675C94" w:rsidRDefault="00675C94" w:rsidP="00675C94">
      <w:r w:rsidRPr="00675C94">
        <w:t>The reason the MAPWG originally adopted a requirement for MARS Level 1 is because other states use them in their own analyses. The same rationale was applied to continuum actions in this draft requirement. Unless they are in MATS, other states may not be aware of them. Again, I think this a great discussion point.</w:t>
      </w:r>
    </w:p>
    <w:p w14:paraId="253BBC11" w14:textId="77777777" w:rsidR="00675C94" w:rsidRPr="00675C94" w:rsidRDefault="00675C94" w:rsidP="00675C94">
      <w:r w:rsidRPr="00675C94">
        <w:t xml:space="preserve">The original MARS Level 1 requirement credits each separate LOB towards meeting the requirement. I think the same would apply to whatever is adopted by the Certification WG. But this probably needs to be spelled out in the requirement.    </w:t>
      </w:r>
    </w:p>
    <w:p w14:paraId="520EDA0A" w14:textId="77777777" w:rsidR="00675C94" w:rsidRPr="00675C94" w:rsidRDefault="00675C94" w:rsidP="00675C94">
      <w:r w:rsidRPr="00675C94">
        <w:t>Thanks for providing your comments so quickly.</w:t>
      </w:r>
    </w:p>
    <w:p w14:paraId="1ECF8E2C" w14:textId="77777777" w:rsidR="00675C94" w:rsidRPr="00675C94" w:rsidRDefault="00675C94" w:rsidP="00675C94"/>
    <w:tbl>
      <w:tblPr>
        <w:tblW w:w="0" w:type="auto"/>
        <w:tblCellMar>
          <w:left w:w="0" w:type="dxa"/>
          <w:right w:w="0" w:type="dxa"/>
        </w:tblCellMar>
        <w:tblLook w:val="04A0" w:firstRow="1" w:lastRow="0" w:firstColumn="1" w:lastColumn="0" w:noHBand="0" w:noVBand="1"/>
      </w:tblPr>
      <w:tblGrid>
        <w:gridCol w:w="4773"/>
        <w:gridCol w:w="2193"/>
      </w:tblGrid>
      <w:tr w:rsidR="00675C94" w:rsidRPr="00675C94" w14:paraId="18B54691" w14:textId="77777777" w:rsidTr="00675C94">
        <w:tc>
          <w:tcPr>
            <w:tcW w:w="0" w:type="auto"/>
            <w:tcMar>
              <w:top w:w="0" w:type="dxa"/>
              <w:left w:w="0" w:type="dxa"/>
              <w:bottom w:w="0" w:type="dxa"/>
              <w:right w:w="750" w:type="dxa"/>
            </w:tcMar>
            <w:vAlign w:val="center"/>
            <w:hideMark/>
          </w:tcPr>
          <w:p w14:paraId="1B8DEDFA" w14:textId="77777777" w:rsidR="00675C94" w:rsidRPr="00675C94" w:rsidRDefault="00675C94" w:rsidP="00675C94">
            <w:r w:rsidRPr="00675C94">
              <w:t xml:space="preserve">Randy Helder </w:t>
            </w:r>
          </w:p>
          <w:p w14:paraId="2EEF47F1" w14:textId="77777777" w:rsidR="00675C94" w:rsidRPr="00675C94" w:rsidRDefault="00675C94" w:rsidP="00675C94">
            <w:r w:rsidRPr="00675C94">
              <w:t>Assistant Director of Market Regulation</w:t>
            </w:r>
          </w:p>
          <w:p w14:paraId="2CA7C444" w14:textId="77777777" w:rsidR="00675C94" w:rsidRPr="00675C94" w:rsidRDefault="00675C94" w:rsidP="00675C94">
            <w:r w:rsidRPr="00675C94">
              <w:t>Regulatory Services</w:t>
            </w:r>
          </w:p>
          <w:p w14:paraId="3B2124C4" w14:textId="55DF85F2" w:rsidR="00675C94" w:rsidRPr="00675C94" w:rsidRDefault="00675C94" w:rsidP="00675C94">
            <w:r w:rsidRPr="00675C94">
              <w:drawing>
                <wp:inline distT="0" distB="0" distL="0" distR="0" wp14:anchorId="7A721F1F" wp14:editId="3B7D6D86">
                  <wp:extent cx="1193800" cy="546100"/>
                  <wp:effectExtent l="0" t="0" r="6350" b="6350"/>
                  <wp:docPr id="87250261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93800" cy="546100"/>
                          </a:xfrm>
                          <a:prstGeom prst="rect">
                            <a:avLst/>
                          </a:prstGeom>
                          <a:noFill/>
                          <a:ln>
                            <a:noFill/>
                          </a:ln>
                        </pic:spPr>
                      </pic:pic>
                    </a:graphicData>
                  </a:graphic>
                </wp:inline>
              </w:drawing>
            </w:r>
          </w:p>
        </w:tc>
        <w:tc>
          <w:tcPr>
            <w:tcW w:w="0" w:type="auto"/>
            <w:tcBorders>
              <w:top w:val="nil"/>
              <w:left w:val="single" w:sz="8" w:space="0" w:color="000000"/>
              <w:bottom w:val="nil"/>
              <w:right w:val="nil"/>
            </w:tcBorders>
            <w:tcMar>
              <w:top w:w="0" w:type="dxa"/>
              <w:left w:w="225" w:type="dxa"/>
              <w:bottom w:w="0" w:type="dxa"/>
              <w:right w:w="0" w:type="dxa"/>
            </w:tcMar>
            <w:hideMark/>
          </w:tcPr>
          <w:p w14:paraId="018C58A9" w14:textId="77777777" w:rsidR="00675C94" w:rsidRPr="00675C94" w:rsidRDefault="00675C94" w:rsidP="00675C94">
            <w:r w:rsidRPr="00675C94">
              <w:t>O: 816-783-8261</w:t>
            </w:r>
            <w:r w:rsidRPr="00675C94">
              <w:br/>
              <w:t>M: 816-401-2954</w:t>
            </w:r>
            <w:r w:rsidRPr="00675C94">
              <w:br/>
              <w:t>W: </w:t>
            </w:r>
            <w:hyperlink r:id="rId11" w:history="1">
              <w:r w:rsidRPr="00675C94">
                <w:rPr>
                  <w:rStyle w:val="Hyperlink"/>
                </w:rPr>
                <w:t>www.naic.org</w:t>
              </w:r>
            </w:hyperlink>
          </w:p>
          <w:p w14:paraId="0031FCA0" w14:textId="676BB964" w:rsidR="00675C94" w:rsidRPr="00675C94" w:rsidRDefault="00675C94" w:rsidP="00675C94">
            <w:r w:rsidRPr="00675C94">
              <w:t>Follow the NAIC on</w:t>
            </w:r>
            <w:r w:rsidRPr="00675C94">
              <w:br/>
            </w:r>
            <w:r w:rsidRPr="00675C94">
              <w:drawing>
                <wp:inline distT="0" distB="0" distL="0" distR="0" wp14:anchorId="0720E642" wp14:editId="1608B746">
                  <wp:extent cx="190500" cy="190500"/>
                  <wp:effectExtent l="0" t="0" r="0" b="0"/>
                  <wp:docPr id="841372825" name="Picture 11">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75C94">
              <w:t> </w:t>
            </w:r>
            <w:r w:rsidRPr="00675C94">
              <w:drawing>
                <wp:inline distT="0" distB="0" distL="0" distR="0" wp14:anchorId="142E22C2" wp14:editId="41880DFA">
                  <wp:extent cx="190500" cy="190500"/>
                  <wp:effectExtent l="0" t="0" r="0" b="0"/>
                  <wp:docPr id="38864126" name="Picture 10">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75C94">
              <w:t> </w:t>
            </w:r>
            <w:r w:rsidRPr="00675C94">
              <w:drawing>
                <wp:inline distT="0" distB="0" distL="0" distR="0" wp14:anchorId="48F82978" wp14:editId="3503264D">
                  <wp:extent cx="190500" cy="190500"/>
                  <wp:effectExtent l="0" t="0" r="0" b="0"/>
                  <wp:docPr id="1635537876" name="Picture 9">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75C94">
              <w:t> </w:t>
            </w:r>
            <w:r w:rsidRPr="00675C94">
              <w:drawing>
                <wp:inline distT="0" distB="0" distL="0" distR="0" wp14:anchorId="735BB4E3" wp14:editId="49B40252">
                  <wp:extent cx="190500" cy="190500"/>
                  <wp:effectExtent l="0" t="0" r="0" b="0"/>
                  <wp:docPr id="584274909" name="Picture 8">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75C94">
              <w:t xml:space="preserve"> </w:t>
            </w:r>
          </w:p>
        </w:tc>
      </w:tr>
    </w:tbl>
    <w:p w14:paraId="69E077DA" w14:textId="77777777" w:rsidR="00675C94" w:rsidRDefault="00675C94" w:rsidP="00054DD8">
      <w:pPr>
        <w:rPr>
          <w:b/>
          <w:bCs/>
        </w:rPr>
      </w:pPr>
    </w:p>
    <w:p w14:paraId="5FC6DB6C" w14:textId="77777777" w:rsidR="00675C94" w:rsidRDefault="00675C94" w:rsidP="00054DD8">
      <w:pPr>
        <w:rPr>
          <w:b/>
          <w:bCs/>
        </w:rPr>
      </w:pPr>
    </w:p>
    <w:p w14:paraId="47D6CDAB" w14:textId="6362C906" w:rsidR="00054DD8" w:rsidRPr="00054DD8" w:rsidRDefault="00054DD8" w:rsidP="00054DD8">
      <w:r w:rsidRPr="00054DD8">
        <w:rPr>
          <w:b/>
          <w:bCs/>
        </w:rPr>
        <w:lastRenderedPageBreak/>
        <w:t>From:</w:t>
      </w:r>
      <w:r w:rsidRPr="00054DD8">
        <w:t xml:space="preserve"> Stacie Parker &lt;</w:t>
      </w:r>
      <w:hyperlink r:id="rId24" w:history="1">
        <w:r w:rsidRPr="00054DD8">
          <w:rPr>
            <w:rStyle w:val="Hyperlink"/>
          </w:rPr>
          <w:t>Stacie.Parker@tdi.texas.gov</w:t>
        </w:r>
      </w:hyperlink>
      <w:r w:rsidRPr="00054DD8">
        <w:t xml:space="preserve">&gt; </w:t>
      </w:r>
      <w:r w:rsidRPr="00054DD8">
        <w:br/>
      </w:r>
      <w:r w:rsidRPr="00054DD8">
        <w:rPr>
          <w:b/>
          <w:bCs/>
        </w:rPr>
        <w:t>Sent:</w:t>
      </w:r>
      <w:r w:rsidRPr="00054DD8">
        <w:t xml:space="preserve"> Wednesday, June 11, 2025 9:04 AM</w:t>
      </w:r>
      <w:r w:rsidRPr="00054DD8">
        <w:br/>
      </w:r>
      <w:r w:rsidRPr="00054DD8">
        <w:rPr>
          <w:b/>
          <w:bCs/>
        </w:rPr>
        <w:t>To:</w:t>
      </w:r>
      <w:r w:rsidRPr="00054DD8">
        <w:t xml:space="preserve"> Helder, Randy &lt;</w:t>
      </w:r>
      <w:hyperlink r:id="rId25" w:history="1">
        <w:r w:rsidRPr="00054DD8">
          <w:rPr>
            <w:rStyle w:val="Hyperlink"/>
          </w:rPr>
          <w:t>RHelder@naic.org</w:t>
        </w:r>
      </w:hyperlink>
      <w:r w:rsidRPr="00054DD8">
        <w:t>&gt;</w:t>
      </w:r>
      <w:r w:rsidRPr="00054DD8">
        <w:br/>
      </w:r>
      <w:r w:rsidRPr="00054DD8">
        <w:rPr>
          <w:b/>
          <w:bCs/>
        </w:rPr>
        <w:t>Cc:</w:t>
      </w:r>
      <w:r w:rsidRPr="00054DD8">
        <w:t xml:space="preserve"> Stevens, Bryan &lt;</w:t>
      </w:r>
      <w:hyperlink r:id="rId26" w:history="1">
        <w:r w:rsidRPr="00054DD8">
          <w:rPr>
            <w:rStyle w:val="Hyperlink"/>
          </w:rPr>
          <w:t>bryan.stevens@wyo.gov</w:t>
        </w:r>
      </w:hyperlink>
      <w:r w:rsidRPr="00054DD8">
        <w:t>&gt;; Patton, Theodore &lt;</w:t>
      </w:r>
      <w:hyperlink r:id="rId27" w:history="1">
        <w:r w:rsidRPr="00054DD8">
          <w:rPr>
            <w:rStyle w:val="Hyperlink"/>
          </w:rPr>
          <w:t>theodore.patton@state.mn.us</w:t>
        </w:r>
      </w:hyperlink>
      <w:r w:rsidRPr="00054DD8">
        <w:t>&gt;; Tarpley, Matthew &lt;</w:t>
      </w:r>
      <w:hyperlink r:id="rId28" w:history="1">
        <w:r w:rsidRPr="00054DD8">
          <w:rPr>
            <w:rStyle w:val="Hyperlink"/>
          </w:rPr>
          <w:t>Matthew.tarpley@tdi.texas.gov</w:t>
        </w:r>
      </w:hyperlink>
      <w:r w:rsidRPr="00054DD8">
        <w:t>&gt;</w:t>
      </w:r>
      <w:r w:rsidRPr="00054DD8">
        <w:br/>
      </w:r>
      <w:r w:rsidRPr="00054DD8">
        <w:rPr>
          <w:b/>
          <w:bCs/>
        </w:rPr>
        <w:t>Subject:</w:t>
      </w:r>
      <w:r w:rsidRPr="00054DD8">
        <w:t xml:space="preserve"> RE: Mkt Reg Certification (D) Working Group - Draft Requirement for Market Analysis</w:t>
      </w:r>
    </w:p>
    <w:p w14:paraId="398D5369" w14:textId="77777777" w:rsidR="00054DD8" w:rsidRPr="00054DD8" w:rsidRDefault="00054DD8" w:rsidP="00054DD8">
      <w:r w:rsidRPr="00054DD8">
        <w:t xml:space="preserve">Thank you Randy for the opportunity to comment on the market analysis proposal requirement. We have some questions and concerns with the proposal. </w:t>
      </w:r>
    </w:p>
    <w:p w14:paraId="2382FD28" w14:textId="77777777" w:rsidR="00054DD8" w:rsidRPr="00054DD8" w:rsidRDefault="00054DD8" w:rsidP="00054DD8">
      <w:r w:rsidRPr="00054DD8">
        <w:t>Texas has 24 full-time employees in our market regulation section which includes:</w:t>
      </w:r>
    </w:p>
    <w:p w14:paraId="1204E078" w14:textId="77777777" w:rsidR="00054DD8" w:rsidRPr="00054DD8" w:rsidRDefault="00054DD8" w:rsidP="00054DD8">
      <w:pPr>
        <w:numPr>
          <w:ilvl w:val="0"/>
          <w:numId w:val="1"/>
        </w:numPr>
      </w:pPr>
      <w:r w:rsidRPr="00054DD8">
        <w:t xml:space="preserve">1 Chief Market Conduct Examiner </w:t>
      </w:r>
    </w:p>
    <w:p w14:paraId="602418A9" w14:textId="77777777" w:rsidR="00054DD8" w:rsidRPr="00054DD8" w:rsidRDefault="00054DD8" w:rsidP="00054DD8">
      <w:pPr>
        <w:numPr>
          <w:ilvl w:val="0"/>
          <w:numId w:val="1"/>
        </w:numPr>
      </w:pPr>
      <w:r w:rsidRPr="00054DD8">
        <w:t>2 Assistant Chief Market Conduct Examiners</w:t>
      </w:r>
    </w:p>
    <w:p w14:paraId="63D2E6A8" w14:textId="77777777" w:rsidR="00054DD8" w:rsidRPr="00054DD8" w:rsidRDefault="00054DD8" w:rsidP="00054DD8">
      <w:pPr>
        <w:numPr>
          <w:ilvl w:val="0"/>
          <w:numId w:val="1"/>
        </w:numPr>
      </w:pPr>
      <w:r w:rsidRPr="00054DD8">
        <w:t>1 Program Specialist (our support staff member)</w:t>
      </w:r>
    </w:p>
    <w:p w14:paraId="2CE79E03" w14:textId="77777777" w:rsidR="00054DD8" w:rsidRPr="00054DD8" w:rsidRDefault="00054DD8" w:rsidP="00054DD8">
      <w:pPr>
        <w:numPr>
          <w:ilvl w:val="0"/>
          <w:numId w:val="1"/>
        </w:numPr>
      </w:pPr>
      <w:r w:rsidRPr="00054DD8">
        <w:t>18 Examiners (completes exams only)</w:t>
      </w:r>
    </w:p>
    <w:p w14:paraId="4CA5B0E8" w14:textId="77777777" w:rsidR="00054DD8" w:rsidRPr="00054DD8" w:rsidRDefault="00054DD8" w:rsidP="00054DD8">
      <w:pPr>
        <w:numPr>
          <w:ilvl w:val="0"/>
          <w:numId w:val="1"/>
        </w:numPr>
      </w:pPr>
      <w:r w:rsidRPr="00054DD8">
        <w:t>2 Market Analysts (completes market analysis reviews only and a potential of one/two exams per year)</w:t>
      </w:r>
    </w:p>
    <w:p w14:paraId="5D2C94B1" w14:textId="77777777" w:rsidR="00054DD8" w:rsidRPr="00054DD8" w:rsidRDefault="00054DD8" w:rsidP="00054DD8">
      <w:r w:rsidRPr="00054DD8">
        <w:t>Which full-time employees would be included to determine how many market analysis actions should be completed?</w:t>
      </w:r>
    </w:p>
    <w:p w14:paraId="50626E0A" w14:textId="77777777" w:rsidR="00054DD8" w:rsidRPr="00054DD8" w:rsidRDefault="00054DD8" w:rsidP="00054DD8">
      <w:r w:rsidRPr="00054DD8">
        <w:t>Texas conducts market analysis reviews, targeted exams, statutorily required exams, and other market actions such as inquiry letters. Using the definition for market analysis actions “actions that have been uploaded into MARS and/or MATS,” below is our actions for the past three years.</w:t>
      </w:r>
    </w:p>
    <w:tbl>
      <w:tblPr>
        <w:tblW w:w="6389" w:type="dxa"/>
        <w:tblCellMar>
          <w:left w:w="0" w:type="dxa"/>
          <w:right w:w="0" w:type="dxa"/>
        </w:tblCellMar>
        <w:tblLook w:val="04A0" w:firstRow="1" w:lastRow="0" w:firstColumn="1" w:lastColumn="0" w:noHBand="0" w:noVBand="1"/>
      </w:tblPr>
      <w:tblGrid>
        <w:gridCol w:w="2210"/>
        <w:gridCol w:w="1393"/>
        <w:gridCol w:w="1393"/>
        <w:gridCol w:w="1393"/>
      </w:tblGrid>
      <w:tr w:rsidR="00054DD8" w:rsidRPr="00054DD8" w14:paraId="47391F74" w14:textId="77777777" w:rsidTr="00054DD8">
        <w:trPr>
          <w:trHeight w:val="406"/>
        </w:trPr>
        <w:tc>
          <w:tcPr>
            <w:tcW w:w="2210" w:type="dxa"/>
            <w:noWrap/>
            <w:tcMar>
              <w:top w:w="0" w:type="dxa"/>
              <w:left w:w="108" w:type="dxa"/>
              <w:bottom w:w="0" w:type="dxa"/>
              <w:right w:w="108" w:type="dxa"/>
            </w:tcMar>
            <w:vAlign w:val="bottom"/>
            <w:hideMark/>
          </w:tcPr>
          <w:p w14:paraId="6BD89D51" w14:textId="77777777" w:rsidR="00054DD8" w:rsidRPr="00054DD8" w:rsidRDefault="00054DD8" w:rsidP="00054DD8"/>
        </w:tc>
        <w:tc>
          <w:tcPr>
            <w:tcW w:w="1393" w:type="dxa"/>
            <w:noWrap/>
            <w:tcMar>
              <w:top w:w="0" w:type="dxa"/>
              <w:left w:w="108" w:type="dxa"/>
              <w:bottom w:w="0" w:type="dxa"/>
              <w:right w:w="108" w:type="dxa"/>
            </w:tcMar>
            <w:vAlign w:val="bottom"/>
            <w:hideMark/>
          </w:tcPr>
          <w:p w14:paraId="70181027" w14:textId="77777777" w:rsidR="00054DD8" w:rsidRPr="00054DD8" w:rsidRDefault="00054DD8" w:rsidP="00054DD8">
            <w:r w:rsidRPr="00054DD8">
              <w:t>2022</w:t>
            </w:r>
          </w:p>
        </w:tc>
        <w:tc>
          <w:tcPr>
            <w:tcW w:w="1393" w:type="dxa"/>
            <w:noWrap/>
            <w:tcMar>
              <w:top w:w="0" w:type="dxa"/>
              <w:left w:w="108" w:type="dxa"/>
              <w:bottom w:w="0" w:type="dxa"/>
              <w:right w:w="108" w:type="dxa"/>
            </w:tcMar>
            <w:vAlign w:val="bottom"/>
            <w:hideMark/>
          </w:tcPr>
          <w:p w14:paraId="66309F60" w14:textId="77777777" w:rsidR="00054DD8" w:rsidRPr="00054DD8" w:rsidRDefault="00054DD8" w:rsidP="00054DD8">
            <w:r w:rsidRPr="00054DD8">
              <w:t>2023</w:t>
            </w:r>
          </w:p>
        </w:tc>
        <w:tc>
          <w:tcPr>
            <w:tcW w:w="1393" w:type="dxa"/>
            <w:noWrap/>
            <w:tcMar>
              <w:top w:w="0" w:type="dxa"/>
              <w:left w:w="108" w:type="dxa"/>
              <w:bottom w:w="0" w:type="dxa"/>
              <w:right w:w="108" w:type="dxa"/>
            </w:tcMar>
            <w:vAlign w:val="bottom"/>
            <w:hideMark/>
          </w:tcPr>
          <w:p w14:paraId="725F25C6" w14:textId="77777777" w:rsidR="00054DD8" w:rsidRPr="00054DD8" w:rsidRDefault="00054DD8" w:rsidP="00054DD8">
            <w:r w:rsidRPr="00054DD8">
              <w:t>2024</w:t>
            </w:r>
          </w:p>
        </w:tc>
      </w:tr>
      <w:tr w:rsidR="00054DD8" w:rsidRPr="00054DD8" w14:paraId="5BED8219" w14:textId="77777777" w:rsidTr="00054DD8">
        <w:trPr>
          <w:trHeight w:val="406"/>
        </w:trPr>
        <w:tc>
          <w:tcPr>
            <w:tcW w:w="2210" w:type="dxa"/>
            <w:noWrap/>
            <w:tcMar>
              <w:top w:w="0" w:type="dxa"/>
              <w:left w:w="108" w:type="dxa"/>
              <w:bottom w:w="0" w:type="dxa"/>
              <w:right w:w="108" w:type="dxa"/>
            </w:tcMar>
            <w:vAlign w:val="bottom"/>
            <w:hideMark/>
          </w:tcPr>
          <w:p w14:paraId="75788F29" w14:textId="77777777" w:rsidR="00054DD8" w:rsidRPr="00054DD8" w:rsidRDefault="00054DD8" w:rsidP="00054DD8">
            <w:r w:rsidRPr="00054DD8">
              <w:t>Exams</w:t>
            </w:r>
          </w:p>
        </w:tc>
        <w:tc>
          <w:tcPr>
            <w:tcW w:w="1393" w:type="dxa"/>
            <w:noWrap/>
            <w:tcMar>
              <w:top w:w="0" w:type="dxa"/>
              <w:left w:w="108" w:type="dxa"/>
              <w:bottom w:w="0" w:type="dxa"/>
              <w:right w:w="108" w:type="dxa"/>
            </w:tcMar>
            <w:vAlign w:val="bottom"/>
            <w:hideMark/>
          </w:tcPr>
          <w:p w14:paraId="2D1918EC" w14:textId="77777777" w:rsidR="00054DD8" w:rsidRPr="00054DD8" w:rsidRDefault="00054DD8" w:rsidP="00054DD8">
            <w:r w:rsidRPr="00054DD8">
              <w:t>43</w:t>
            </w:r>
          </w:p>
        </w:tc>
        <w:tc>
          <w:tcPr>
            <w:tcW w:w="1393" w:type="dxa"/>
            <w:noWrap/>
            <w:tcMar>
              <w:top w:w="0" w:type="dxa"/>
              <w:left w:w="108" w:type="dxa"/>
              <w:bottom w:w="0" w:type="dxa"/>
              <w:right w:w="108" w:type="dxa"/>
            </w:tcMar>
            <w:vAlign w:val="bottom"/>
            <w:hideMark/>
          </w:tcPr>
          <w:p w14:paraId="36DDE77B" w14:textId="77777777" w:rsidR="00054DD8" w:rsidRPr="00054DD8" w:rsidRDefault="00054DD8" w:rsidP="00054DD8">
            <w:r w:rsidRPr="00054DD8">
              <w:t>39</w:t>
            </w:r>
          </w:p>
        </w:tc>
        <w:tc>
          <w:tcPr>
            <w:tcW w:w="1393" w:type="dxa"/>
            <w:noWrap/>
            <w:tcMar>
              <w:top w:w="0" w:type="dxa"/>
              <w:left w:w="108" w:type="dxa"/>
              <w:bottom w:w="0" w:type="dxa"/>
              <w:right w:w="108" w:type="dxa"/>
            </w:tcMar>
            <w:vAlign w:val="bottom"/>
            <w:hideMark/>
          </w:tcPr>
          <w:p w14:paraId="7A063A0A" w14:textId="77777777" w:rsidR="00054DD8" w:rsidRPr="00054DD8" w:rsidRDefault="00054DD8" w:rsidP="00054DD8">
            <w:r w:rsidRPr="00054DD8">
              <w:t>38</w:t>
            </w:r>
          </w:p>
        </w:tc>
      </w:tr>
      <w:tr w:rsidR="00054DD8" w:rsidRPr="00054DD8" w14:paraId="0799F503" w14:textId="77777777" w:rsidTr="00054DD8">
        <w:trPr>
          <w:trHeight w:val="406"/>
        </w:trPr>
        <w:tc>
          <w:tcPr>
            <w:tcW w:w="2210" w:type="dxa"/>
            <w:noWrap/>
            <w:tcMar>
              <w:top w:w="0" w:type="dxa"/>
              <w:left w:w="108" w:type="dxa"/>
              <w:bottom w:w="0" w:type="dxa"/>
              <w:right w:w="108" w:type="dxa"/>
            </w:tcMar>
            <w:vAlign w:val="bottom"/>
            <w:hideMark/>
          </w:tcPr>
          <w:p w14:paraId="41A4EBA6" w14:textId="77777777" w:rsidR="00054DD8" w:rsidRPr="00054DD8" w:rsidRDefault="00054DD8" w:rsidP="00054DD8">
            <w:r w:rsidRPr="00054DD8">
              <w:t>Analysis Reviews</w:t>
            </w:r>
          </w:p>
        </w:tc>
        <w:tc>
          <w:tcPr>
            <w:tcW w:w="1393" w:type="dxa"/>
            <w:noWrap/>
            <w:tcMar>
              <w:top w:w="0" w:type="dxa"/>
              <w:left w:w="108" w:type="dxa"/>
              <w:bottom w:w="0" w:type="dxa"/>
              <w:right w:w="108" w:type="dxa"/>
            </w:tcMar>
            <w:vAlign w:val="bottom"/>
            <w:hideMark/>
          </w:tcPr>
          <w:p w14:paraId="6EF10EBA" w14:textId="77777777" w:rsidR="00054DD8" w:rsidRPr="00054DD8" w:rsidRDefault="00054DD8" w:rsidP="00054DD8">
            <w:r w:rsidRPr="00054DD8">
              <w:t>43</w:t>
            </w:r>
          </w:p>
        </w:tc>
        <w:tc>
          <w:tcPr>
            <w:tcW w:w="1393" w:type="dxa"/>
            <w:noWrap/>
            <w:tcMar>
              <w:top w:w="0" w:type="dxa"/>
              <w:left w:w="108" w:type="dxa"/>
              <w:bottom w:w="0" w:type="dxa"/>
              <w:right w:w="108" w:type="dxa"/>
            </w:tcMar>
            <w:vAlign w:val="bottom"/>
            <w:hideMark/>
          </w:tcPr>
          <w:p w14:paraId="30CEE417" w14:textId="77777777" w:rsidR="00054DD8" w:rsidRPr="00054DD8" w:rsidRDefault="00054DD8" w:rsidP="00054DD8">
            <w:r w:rsidRPr="00054DD8">
              <w:t>42</w:t>
            </w:r>
          </w:p>
        </w:tc>
        <w:tc>
          <w:tcPr>
            <w:tcW w:w="1393" w:type="dxa"/>
            <w:noWrap/>
            <w:tcMar>
              <w:top w:w="0" w:type="dxa"/>
              <w:left w:w="108" w:type="dxa"/>
              <w:bottom w:w="0" w:type="dxa"/>
              <w:right w:w="108" w:type="dxa"/>
            </w:tcMar>
            <w:vAlign w:val="bottom"/>
            <w:hideMark/>
          </w:tcPr>
          <w:p w14:paraId="0C111D33" w14:textId="77777777" w:rsidR="00054DD8" w:rsidRPr="00054DD8" w:rsidRDefault="00054DD8" w:rsidP="00054DD8">
            <w:r w:rsidRPr="00054DD8">
              <w:t>36</w:t>
            </w:r>
          </w:p>
        </w:tc>
      </w:tr>
      <w:tr w:rsidR="00054DD8" w:rsidRPr="00054DD8" w14:paraId="1A63C6F4" w14:textId="77777777" w:rsidTr="00054DD8">
        <w:trPr>
          <w:trHeight w:val="406"/>
        </w:trPr>
        <w:tc>
          <w:tcPr>
            <w:tcW w:w="2210" w:type="dxa"/>
            <w:noWrap/>
            <w:tcMar>
              <w:top w:w="0" w:type="dxa"/>
              <w:left w:w="108" w:type="dxa"/>
              <w:bottom w:w="0" w:type="dxa"/>
              <w:right w:w="108" w:type="dxa"/>
            </w:tcMar>
            <w:vAlign w:val="bottom"/>
            <w:hideMark/>
          </w:tcPr>
          <w:p w14:paraId="38593282" w14:textId="77777777" w:rsidR="00054DD8" w:rsidRPr="00054DD8" w:rsidRDefault="00054DD8" w:rsidP="00054DD8">
            <w:r w:rsidRPr="00054DD8">
              <w:t>Inquiry Letters</w:t>
            </w:r>
          </w:p>
        </w:tc>
        <w:tc>
          <w:tcPr>
            <w:tcW w:w="1393" w:type="dxa"/>
            <w:noWrap/>
            <w:tcMar>
              <w:top w:w="0" w:type="dxa"/>
              <w:left w:w="108" w:type="dxa"/>
              <w:bottom w:w="0" w:type="dxa"/>
              <w:right w:w="108" w:type="dxa"/>
            </w:tcMar>
            <w:vAlign w:val="bottom"/>
            <w:hideMark/>
          </w:tcPr>
          <w:p w14:paraId="50F36477" w14:textId="77777777" w:rsidR="00054DD8" w:rsidRPr="00054DD8" w:rsidRDefault="00054DD8" w:rsidP="00054DD8">
            <w:r w:rsidRPr="00054DD8">
              <w:t>2</w:t>
            </w:r>
          </w:p>
        </w:tc>
        <w:tc>
          <w:tcPr>
            <w:tcW w:w="1393" w:type="dxa"/>
            <w:noWrap/>
            <w:tcMar>
              <w:top w:w="0" w:type="dxa"/>
              <w:left w:w="108" w:type="dxa"/>
              <w:bottom w:w="0" w:type="dxa"/>
              <w:right w:w="108" w:type="dxa"/>
            </w:tcMar>
            <w:vAlign w:val="bottom"/>
            <w:hideMark/>
          </w:tcPr>
          <w:p w14:paraId="24620EC3" w14:textId="77777777" w:rsidR="00054DD8" w:rsidRPr="00054DD8" w:rsidRDefault="00054DD8" w:rsidP="00054DD8">
            <w:r w:rsidRPr="00054DD8">
              <w:t>1</w:t>
            </w:r>
          </w:p>
        </w:tc>
        <w:tc>
          <w:tcPr>
            <w:tcW w:w="1393" w:type="dxa"/>
            <w:noWrap/>
            <w:tcMar>
              <w:top w:w="0" w:type="dxa"/>
              <w:left w:w="108" w:type="dxa"/>
              <w:bottom w:w="0" w:type="dxa"/>
              <w:right w:w="108" w:type="dxa"/>
            </w:tcMar>
            <w:vAlign w:val="bottom"/>
            <w:hideMark/>
          </w:tcPr>
          <w:p w14:paraId="60DD0709" w14:textId="77777777" w:rsidR="00054DD8" w:rsidRPr="00054DD8" w:rsidRDefault="00054DD8" w:rsidP="00054DD8">
            <w:r w:rsidRPr="00054DD8">
              <w:t>5</w:t>
            </w:r>
          </w:p>
        </w:tc>
      </w:tr>
      <w:tr w:rsidR="00054DD8" w:rsidRPr="00054DD8" w14:paraId="3F32281A" w14:textId="77777777" w:rsidTr="00054DD8">
        <w:trPr>
          <w:trHeight w:val="406"/>
        </w:trPr>
        <w:tc>
          <w:tcPr>
            <w:tcW w:w="2210" w:type="dxa"/>
            <w:noWrap/>
            <w:tcMar>
              <w:top w:w="0" w:type="dxa"/>
              <w:left w:w="108" w:type="dxa"/>
              <w:bottom w:w="0" w:type="dxa"/>
              <w:right w:w="108" w:type="dxa"/>
            </w:tcMar>
            <w:vAlign w:val="bottom"/>
            <w:hideMark/>
          </w:tcPr>
          <w:p w14:paraId="00D43A96" w14:textId="77777777" w:rsidR="00054DD8" w:rsidRPr="00054DD8" w:rsidRDefault="00054DD8" w:rsidP="00054DD8">
            <w:r w:rsidRPr="00054DD8">
              <w:t>Total</w:t>
            </w:r>
          </w:p>
        </w:tc>
        <w:tc>
          <w:tcPr>
            <w:tcW w:w="1393" w:type="dxa"/>
            <w:noWrap/>
            <w:tcMar>
              <w:top w:w="0" w:type="dxa"/>
              <w:left w:w="108" w:type="dxa"/>
              <w:bottom w:w="0" w:type="dxa"/>
              <w:right w:w="108" w:type="dxa"/>
            </w:tcMar>
            <w:vAlign w:val="bottom"/>
            <w:hideMark/>
          </w:tcPr>
          <w:p w14:paraId="68D84BF4" w14:textId="77777777" w:rsidR="00054DD8" w:rsidRPr="00054DD8" w:rsidRDefault="00054DD8" w:rsidP="00054DD8">
            <w:r w:rsidRPr="00054DD8">
              <w:t>88</w:t>
            </w:r>
          </w:p>
        </w:tc>
        <w:tc>
          <w:tcPr>
            <w:tcW w:w="1393" w:type="dxa"/>
            <w:noWrap/>
            <w:tcMar>
              <w:top w:w="0" w:type="dxa"/>
              <w:left w:w="108" w:type="dxa"/>
              <w:bottom w:w="0" w:type="dxa"/>
              <w:right w:w="108" w:type="dxa"/>
            </w:tcMar>
            <w:vAlign w:val="bottom"/>
            <w:hideMark/>
          </w:tcPr>
          <w:p w14:paraId="4CE6CA13" w14:textId="77777777" w:rsidR="00054DD8" w:rsidRPr="00054DD8" w:rsidRDefault="00054DD8" w:rsidP="00054DD8">
            <w:r w:rsidRPr="00054DD8">
              <w:t>82</w:t>
            </w:r>
          </w:p>
        </w:tc>
        <w:tc>
          <w:tcPr>
            <w:tcW w:w="1393" w:type="dxa"/>
            <w:noWrap/>
            <w:tcMar>
              <w:top w:w="0" w:type="dxa"/>
              <w:left w:w="108" w:type="dxa"/>
              <w:bottom w:w="0" w:type="dxa"/>
              <w:right w:w="108" w:type="dxa"/>
            </w:tcMar>
            <w:vAlign w:val="bottom"/>
            <w:hideMark/>
          </w:tcPr>
          <w:p w14:paraId="4CE31890" w14:textId="77777777" w:rsidR="00054DD8" w:rsidRPr="00054DD8" w:rsidRDefault="00054DD8" w:rsidP="00054DD8">
            <w:r w:rsidRPr="00054DD8">
              <w:t>79</w:t>
            </w:r>
          </w:p>
        </w:tc>
      </w:tr>
    </w:tbl>
    <w:p w14:paraId="679F0DA6" w14:textId="77777777" w:rsidR="00054DD8" w:rsidRPr="00054DD8" w:rsidRDefault="00054DD8" w:rsidP="00054DD8">
      <w:r w:rsidRPr="00054DD8">
        <w:t xml:space="preserve">We also conduct exams on premium finance companies, managing general agents, and qualifying exams on new health insurers and HMOs. They do not have NAIC Cocode numbers, therefore they are not entered into MATS. This may result in an additional 4 to 6 </w:t>
      </w:r>
      <w:r w:rsidRPr="00054DD8">
        <w:lastRenderedPageBreak/>
        <w:t>market analysis actions. How will these exams be considered in the market analysis action counts?</w:t>
      </w:r>
    </w:p>
    <w:p w14:paraId="12551C23" w14:textId="77777777" w:rsidR="00054DD8" w:rsidRPr="00054DD8" w:rsidRDefault="00054DD8" w:rsidP="00054DD8">
      <w:r w:rsidRPr="00054DD8">
        <w:t>Will each line of business reviewed per carrier still count as a market analysis review? Do we get credit for two actions if we perform a market analysis review and an exam on the same company?</w:t>
      </w:r>
    </w:p>
    <w:p w14:paraId="3B87F281" w14:textId="77777777" w:rsidR="00054DD8" w:rsidRPr="00054DD8" w:rsidRDefault="00054DD8" w:rsidP="00054DD8">
      <w:r w:rsidRPr="00054DD8">
        <w:t>We are concerned with how many market analysis actions Texas would need to complete to satisfy the requirement based on six actions per full-time employee. Depending on who would be considered a “full-time employees in the market regulation section” this could result in Texas doing up to 144 market analysis actions.</w:t>
      </w:r>
    </w:p>
    <w:p w14:paraId="65A647FA" w14:textId="77777777" w:rsidR="00054DD8" w:rsidRPr="00054DD8" w:rsidRDefault="00054DD8" w:rsidP="00054DD8">
      <w:r w:rsidRPr="00054DD8">
        <w:t xml:space="preserve">Assigning a number of expected actions per full-time employee seems arbitrary as it does not appear it is based on any type of risk-analysis or consideration of state specific needs. Additionally, implementing such a standard could significantly increase the workload of departments. That likely results in states declining to participate in the certification process or reduced quality work products as states try to meet these expected numbers. </w:t>
      </w:r>
    </w:p>
    <w:p w14:paraId="7FAD6F68" w14:textId="77777777" w:rsidR="00054DD8" w:rsidRPr="00054DD8" w:rsidRDefault="00054DD8" w:rsidP="00054DD8">
      <w:r w:rsidRPr="00054DD8">
        <w:t>Lastly, we believe some commissioners may see this as an overreach because this could be interpreted as the NAIC directing state departments on how to use their market regulation staff.   </w:t>
      </w:r>
    </w:p>
    <w:p w14:paraId="4E841546" w14:textId="77777777" w:rsidR="00054DD8" w:rsidRPr="00054DD8" w:rsidRDefault="00054DD8" w:rsidP="00054DD8">
      <w:r w:rsidRPr="00054DD8">
        <w:t xml:space="preserve">Let me know if the working group needs more information to discuss. </w:t>
      </w:r>
    </w:p>
    <w:p w14:paraId="409F7EFC" w14:textId="77777777" w:rsidR="00054DD8" w:rsidRPr="00054DD8" w:rsidRDefault="00054DD8" w:rsidP="00054DD8">
      <w:r w:rsidRPr="00054DD8">
        <w:t>Thanks,</w:t>
      </w:r>
    </w:p>
    <w:p w14:paraId="41D76183" w14:textId="77777777" w:rsidR="00054DD8" w:rsidRPr="00054DD8" w:rsidRDefault="00054DD8" w:rsidP="00054DD8">
      <w:pPr>
        <w:rPr>
          <w:b/>
          <w:bCs/>
        </w:rPr>
      </w:pPr>
      <w:r w:rsidRPr="00054DD8">
        <w:rPr>
          <w:b/>
          <w:bCs/>
        </w:rPr>
        <w:t>Stacie Parker, CIE, CPCU, MCM</w:t>
      </w:r>
    </w:p>
    <w:p w14:paraId="7EC4C1DE" w14:textId="77777777" w:rsidR="00054DD8" w:rsidRPr="00054DD8" w:rsidRDefault="00054DD8" w:rsidP="00054DD8">
      <w:r w:rsidRPr="00054DD8">
        <w:t xml:space="preserve">Chief Market Conduct Examiner </w:t>
      </w:r>
    </w:p>
    <w:p w14:paraId="5D4E5556" w14:textId="77777777" w:rsidR="00054DD8" w:rsidRPr="00054DD8" w:rsidRDefault="00054DD8" w:rsidP="00054DD8">
      <w:r w:rsidRPr="00054DD8">
        <w:t>Financial Regulation Division – Examinations Section</w:t>
      </w:r>
    </w:p>
    <w:p w14:paraId="212CAF77" w14:textId="77777777" w:rsidR="00054DD8" w:rsidRPr="00054DD8" w:rsidRDefault="00054DD8" w:rsidP="00054DD8">
      <w:r w:rsidRPr="00054DD8">
        <w:t>512-676-6836</w:t>
      </w:r>
    </w:p>
    <w:p w14:paraId="4A543F4C" w14:textId="77777777" w:rsidR="00054DD8" w:rsidRPr="00054DD8" w:rsidRDefault="00054DD8" w:rsidP="00054DD8">
      <w:r w:rsidRPr="00054DD8">
        <w:t xml:space="preserve">Stay connected with the </w:t>
      </w:r>
      <w:hyperlink r:id="rId29" w:history="1">
        <w:r w:rsidRPr="00054DD8">
          <w:rPr>
            <w:rStyle w:val="Hyperlink"/>
          </w:rPr>
          <w:t>Texas Department of Insurance</w:t>
        </w:r>
      </w:hyperlink>
      <w:r w:rsidRPr="00054DD8">
        <w:t>:</w:t>
      </w:r>
    </w:p>
    <w:p w14:paraId="1D0D2300" w14:textId="77777777" w:rsidR="00054DD8" w:rsidRPr="00054DD8" w:rsidRDefault="00054DD8" w:rsidP="00054DD8">
      <w:hyperlink r:id="rId30" w:tgtFrame="_blank" w:tooltip="https://gcc02.safelinks.protection.outlook.com/?url=https%3a%2f%2ftwitter.com%2ftexastdi&amp;data=05%7c02%7cruby.cortez%40tdi.texas.gov%7cb04e9a3cc9f0416e5fdb08dc65f9f867%7c6c600c887a50421a9817a970a01aed2a%7c0%7c0%7c638497371507352583%7cunknown%7ctwfpbgzsb3d8" w:history="1">
        <w:r w:rsidRPr="00054DD8">
          <w:rPr>
            <w:rStyle w:val="Hyperlink"/>
          </w:rPr>
          <w:t>X</w:t>
        </w:r>
      </w:hyperlink>
      <w:r w:rsidRPr="00054DD8">
        <w:t xml:space="preserve"> | </w:t>
      </w:r>
      <w:hyperlink r:id="rId31" w:tgtFrame="_blank" w:tooltip="https://gcc02.safelinks.protection.outlook.com/?url=https%3a%2f%2fwww.facebook.com%2ftexasdepartmentofinsurance%2f&amp;data=05%7c02%7cruby.cortez%40tdi.texas.gov%7cb04e9a3cc9f0416e5fdb08dc65f9f867%7c6c600c887a50421a9817a970a01aed2a%7c0%7c0%7c63849737150736008" w:history="1">
        <w:r w:rsidRPr="00054DD8">
          <w:rPr>
            <w:rStyle w:val="Hyperlink"/>
          </w:rPr>
          <w:t>Facebook</w:t>
        </w:r>
      </w:hyperlink>
      <w:r w:rsidRPr="00054DD8">
        <w:t xml:space="preserve"> | </w:t>
      </w:r>
      <w:hyperlink r:id="rId32" w:tgtFrame="_blank" w:tooltip="https://gcc02.safelinks.protection.outlook.com/?url=https%3a%2f%2fwww.linkedin.com%2fcompany%2ftexas-department-of-insurance%2f&amp;data=05%7c02%7cruby.cortez%40tdi.texas.gov%7cb04e9a3cc9f0416e5fdb08dc65f9f867%7c6c600c887a50421a9817a970a01aed2a%7c0%7c0%7c6384" w:history="1">
        <w:r w:rsidRPr="00054DD8">
          <w:rPr>
            <w:rStyle w:val="Hyperlink"/>
          </w:rPr>
          <w:t>LinkedIn</w:t>
        </w:r>
      </w:hyperlink>
      <w:r w:rsidRPr="00054DD8">
        <w:t xml:space="preserve"> | </w:t>
      </w:r>
      <w:hyperlink r:id="rId33" w:tgtFrame="_blank" w:tooltip="https://gcc02.safelinks.protection.outlook.com/?url=https%3a%2f%2fwww.youtube.com%2fchannel%2fuc0rojmnku2zhd6d0mi2gjtw&amp;data=05%7c02%7cruby.cortez%40tdi.texas.gov%7cb04e9a3cc9f0416e5fdb08dc65f9f867%7c6c600c887a50421a9817a970a01aed2a%7c0%7c0%7c6384973715073" w:history="1">
        <w:r w:rsidRPr="00054DD8">
          <w:rPr>
            <w:rStyle w:val="Hyperlink"/>
          </w:rPr>
          <w:t>YouTube</w:t>
        </w:r>
      </w:hyperlink>
      <w:r w:rsidRPr="00054DD8">
        <w:t xml:space="preserve"> | </w:t>
      </w:r>
      <w:hyperlink r:id="rId34" w:tgtFrame="_blank" w:tooltip="https://gcc02.safelinks.protection.outlook.com/?url=https%3a%2f%2fpublic.govdelivery.com%2faccounts%2ftxinsur%2fsubscriber%2fnew&amp;data=05%7c02%7cruby.cortez%40tdi.texas.gov%7cb04e9a3cc9f0416e5fdb08dc65f9f867%7c6c600c887a50421a9817a970a01aed2a%7c0%7c0%7c638" w:history="1">
        <w:r w:rsidRPr="00054DD8">
          <w:rPr>
            <w:rStyle w:val="Hyperlink"/>
          </w:rPr>
          <w:t>Subscribe</w:t>
        </w:r>
      </w:hyperlink>
    </w:p>
    <w:p w14:paraId="1C04690E" w14:textId="77777777" w:rsidR="00054DD8" w:rsidRPr="00054DD8" w:rsidRDefault="00054DD8" w:rsidP="00054DD8"/>
    <w:p w14:paraId="703EFE72" w14:textId="45435D20" w:rsidR="00054DD8" w:rsidRPr="00054DD8" w:rsidRDefault="00054DD8" w:rsidP="00054DD8">
      <w:r w:rsidRPr="00054DD8">
        <w:drawing>
          <wp:inline distT="0" distB="0" distL="0" distR="0" wp14:anchorId="1A9100C2" wp14:editId="36325DC0">
            <wp:extent cx="952500" cy="457200"/>
            <wp:effectExtent l="0" t="0" r="0" b="0"/>
            <wp:docPr id="11484629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5872232"/>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0" cy="457200"/>
                    </a:xfrm>
                    <a:prstGeom prst="rect">
                      <a:avLst/>
                    </a:prstGeom>
                    <a:noFill/>
                    <a:ln>
                      <a:noFill/>
                    </a:ln>
                  </pic:spPr>
                </pic:pic>
              </a:graphicData>
            </a:graphic>
          </wp:inline>
        </w:drawing>
      </w:r>
    </w:p>
    <w:p w14:paraId="15677B88" w14:textId="77777777" w:rsidR="00D4507A" w:rsidRDefault="00D4507A"/>
    <w:sectPr w:rsidR="00D450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E28C7"/>
    <w:multiLevelType w:val="hybridMultilevel"/>
    <w:tmpl w:val="4C8CE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87238030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DD8"/>
    <w:rsid w:val="00054DD8"/>
    <w:rsid w:val="00246192"/>
    <w:rsid w:val="00545C9B"/>
    <w:rsid w:val="00675C94"/>
    <w:rsid w:val="007758F7"/>
    <w:rsid w:val="00CB765D"/>
    <w:rsid w:val="00D45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B803C"/>
  <w15:chartTrackingRefBased/>
  <w15:docId w15:val="{FBE8D771-6869-46FE-9763-E2647C736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4D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4D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4D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4D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4D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4D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4D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4D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4D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D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4D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4D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4D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4D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4D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D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D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DD8"/>
    <w:rPr>
      <w:rFonts w:eastAsiaTheme="majorEastAsia" w:cstheme="majorBidi"/>
      <w:color w:val="272727" w:themeColor="text1" w:themeTint="D8"/>
    </w:rPr>
  </w:style>
  <w:style w:type="paragraph" w:styleId="Title">
    <w:name w:val="Title"/>
    <w:basedOn w:val="Normal"/>
    <w:next w:val="Normal"/>
    <w:link w:val="TitleChar"/>
    <w:uiPriority w:val="10"/>
    <w:qFormat/>
    <w:rsid w:val="00054D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4D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D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4D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DD8"/>
    <w:pPr>
      <w:spacing w:before="160"/>
      <w:jc w:val="center"/>
    </w:pPr>
    <w:rPr>
      <w:i/>
      <w:iCs/>
      <w:color w:val="404040" w:themeColor="text1" w:themeTint="BF"/>
    </w:rPr>
  </w:style>
  <w:style w:type="character" w:customStyle="1" w:styleId="QuoteChar">
    <w:name w:val="Quote Char"/>
    <w:basedOn w:val="DefaultParagraphFont"/>
    <w:link w:val="Quote"/>
    <w:uiPriority w:val="29"/>
    <w:rsid w:val="00054DD8"/>
    <w:rPr>
      <w:i/>
      <w:iCs/>
      <w:color w:val="404040" w:themeColor="text1" w:themeTint="BF"/>
    </w:rPr>
  </w:style>
  <w:style w:type="paragraph" w:styleId="ListParagraph">
    <w:name w:val="List Paragraph"/>
    <w:basedOn w:val="Normal"/>
    <w:uiPriority w:val="34"/>
    <w:qFormat/>
    <w:rsid w:val="00054DD8"/>
    <w:pPr>
      <w:ind w:left="720"/>
      <w:contextualSpacing/>
    </w:pPr>
  </w:style>
  <w:style w:type="character" w:styleId="IntenseEmphasis">
    <w:name w:val="Intense Emphasis"/>
    <w:basedOn w:val="DefaultParagraphFont"/>
    <w:uiPriority w:val="21"/>
    <w:qFormat/>
    <w:rsid w:val="00054DD8"/>
    <w:rPr>
      <w:i/>
      <w:iCs/>
      <w:color w:val="0F4761" w:themeColor="accent1" w:themeShade="BF"/>
    </w:rPr>
  </w:style>
  <w:style w:type="paragraph" w:styleId="IntenseQuote">
    <w:name w:val="Intense Quote"/>
    <w:basedOn w:val="Normal"/>
    <w:next w:val="Normal"/>
    <w:link w:val="IntenseQuoteChar"/>
    <w:uiPriority w:val="30"/>
    <w:qFormat/>
    <w:rsid w:val="00054D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4DD8"/>
    <w:rPr>
      <w:i/>
      <w:iCs/>
      <w:color w:val="0F4761" w:themeColor="accent1" w:themeShade="BF"/>
    </w:rPr>
  </w:style>
  <w:style w:type="character" w:styleId="IntenseReference">
    <w:name w:val="Intense Reference"/>
    <w:basedOn w:val="DefaultParagraphFont"/>
    <w:uiPriority w:val="32"/>
    <w:qFormat/>
    <w:rsid w:val="00054DD8"/>
    <w:rPr>
      <w:b/>
      <w:bCs/>
      <w:smallCaps/>
      <w:color w:val="0F4761" w:themeColor="accent1" w:themeShade="BF"/>
      <w:spacing w:val="5"/>
    </w:rPr>
  </w:style>
  <w:style w:type="character" w:styleId="Hyperlink">
    <w:name w:val="Hyperlink"/>
    <w:basedOn w:val="DefaultParagraphFont"/>
    <w:uiPriority w:val="99"/>
    <w:unhideWhenUsed/>
    <w:rsid w:val="00054DD8"/>
    <w:rPr>
      <w:color w:val="467886" w:themeColor="hyperlink"/>
      <w:u w:val="single"/>
    </w:rPr>
  </w:style>
  <w:style w:type="character" w:styleId="UnresolvedMention">
    <w:name w:val="Unresolved Mention"/>
    <w:basedOn w:val="DefaultParagraphFont"/>
    <w:uiPriority w:val="99"/>
    <w:semiHidden/>
    <w:unhideWhenUsed/>
    <w:rsid w:val="00054D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238953">
      <w:bodyDiv w:val="1"/>
      <w:marLeft w:val="0"/>
      <w:marRight w:val="0"/>
      <w:marTop w:val="0"/>
      <w:marBottom w:val="0"/>
      <w:divBdr>
        <w:top w:val="none" w:sz="0" w:space="0" w:color="auto"/>
        <w:left w:val="none" w:sz="0" w:space="0" w:color="auto"/>
        <w:bottom w:val="none" w:sz="0" w:space="0" w:color="auto"/>
        <w:right w:val="none" w:sz="0" w:space="0" w:color="auto"/>
      </w:divBdr>
    </w:div>
    <w:div w:id="843015094">
      <w:bodyDiv w:val="1"/>
      <w:marLeft w:val="0"/>
      <w:marRight w:val="0"/>
      <w:marTop w:val="0"/>
      <w:marBottom w:val="0"/>
      <w:divBdr>
        <w:top w:val="none" w:sz="0" w:space="0" w:color="auto"/>
        <w:left w:val="none" w:sz="0" w:space="0" w:color="auto"/>
        <w:bottom w:val="none" w:sz="0" w:space="0" w:color="auto"/>
        <w:right w:val="none" w:sz="0" w:space="0" w:color="auto"/>
      </w:divBdr>
    </w:div>
    <w:div w:id="1501234223">
      <w:bodyDiv w:val="1"/>
      <w:marLeft w:val="0"/>
      <w:marRight w:val="0"/>
      <w:marTop w:val="0"/>
      <w:marBottom w:val="0"/>
      <w:divBdr>
        <w:top w:val="none" w:sz="0" w:space="0" w:color="auto"/>
        <w:left w:val="none" w:sz="0" w:space="0" w:color="auto"/>
        <w:bottom w:val="none" w:sz="0" w:space="0" w:color="auto"/>
        <w:right w:val="none" w:sz="0" w:space="0" w:color="auto"/>
      </w:divBdr>
    </w:div>
    <w:div w:id="1858158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urldefense.com/v3/__https:/www.youtube.com/user/NAICCommunications__;!!EErPFA7f--AJOw!A52L5zw97-bvN99Lvwt9rJYbFV3zL_rShk-UJ5zJNhxCtp-KaXD5X761ORWkTQTvbq59bb3ayCYqzSsA8UUEPY8nTd4$" TargetMode="External"/><Relationship Id="rId26" Type="http://schemas.openxmlformats.org/officeDocument/2006/relationships/hyperlink" Target="mailto:bryan.stevens@wyo.gov" TargetMode="External"/><Relationship Id="rId39" Type="http://schemas.openxmlformats.org/officeDocument/2006/relationships/customXml" Target="../customXml/item1.xml"/><Relationship Id="rId21" Type="http://schemas.openxmlformats.org/officeDocument/2006/relationships/hyperlink" Target="https://urldefense.com/v3/__https:/www.linkedin.com/company/naic/__;!!EErPFA7f--AJOw!A52L5zw97-bvN99Lvwt9rJYbFV3zL_rShk-UJ5zJNhxCtp-KaXD5X761ORWkTQTvbq59bb3ayCYqzSsA8UUEB8tQVXI$" TargetMode="External"/><Relationship Id="rId34" Type="http://schemas.openxmlformats.org/officeDocument/2006/relationships/hyperlink" Target="https://public.govdelivery.com/accounts/TXINSUR/subscriber/new" TargetMode="External"/><Relationship Id="rId7" Type="http://schemas.openxmlformats.org/officeDocument/2006/relationships/hyperlink" Target="mailto:theodore.patton@state.mn.us" TargetMode="Externa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cid:image005.png@01DBDAB4.5D6EEA00" TargetMode="External"/><Relationship Id="rId29" Type="http://schemas.openxmlformats.org/officeDocument/2006/relationships/hyperlink" Target="http://www.tdi.texas.gov/" TargetMode="External"/><Relationship Id="rId41"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yperlink" Target="mailto:bryan.stevens@wyo.gov" TargetMode="External"/><Relationship Id="rId11" Type="http://schemas.openxmlformats.org/officeDocument/2006/relationships/hyperlink" Target="https://urldefense.com/v3/__https:/www.naic.org/__;!!EErPFA7f--AJOw!A52L5zw97-bvN99Lvwt9rJYbFV3zL_rShk-UJ5zJNhxCtp-KaXD5X761ORWkTQTvbq59bb3ayCYqzSsA8UUEPvTm8f0$" TargetMode="External"/><Relationship Id="rId24" Type="http://schemas.openxmlformats.org/officeDocument/2006/relationships/hyperlink" Target="mailto:Stacie.Parker@tdi.texas.gov" TargetMode="External"/><Relationship Id="rId32" Type="http://schemas.openxmlformats.org/officeDocument/2006/relationships/hyperlink" Target="https://www.linkedin.com/company/texas-department-of-insurance/" TargetMode="External"/><Relationship Id="rId37" Type="http://schemas.openxmlformats.org/officeDocument/2006/relationships/fontTable" Target="fontTable.xml"/><Relationship Id="rId40" Type="http://schemas.openxmlformats.org/officeDocument/2006/relationships/customXml" Target="../customXml/item2.xml"/><Relationship Id="rId5" Type="http://schemas.openxmlformats.org/officeDocument/2006/relationships/hyperlink" Target="mailto:Stacie.Parker@tdi.texas.gov" TargetMode="External"/><Relationship Id="rId15" Type="http://schemas.openxmlformats.org/officeDocument/2006/relationships/hyperlink" Target="https://urldefense.com/v3/__https:/twitter.com/NAIC__;!!EErPFA7f--AJOw!A52L5zw97-bvN99Lvwt9rJYbFV3zL_rShk-UJ5zJNhxCtp-KaXD5X761ORWkTQTvbq59bb3ayCYqzSsA8UUE9cMIHbg$" TargetMode="External"/><Relationship Id="rId23" Type="http://schemas.openxmlformats.org/officeDocument/2006/relationships/image" Target="cid:image006.png@01DBDAB4.5D6EEA00" TargetMode="External"/><Relationship Id="rId28" Type="http://schemas.openxmlformats.org/officeDocument/2006/relationships/hyperlink" Target="mailto:Matthew.tarpley@tdi.texas.gov" TargetMode="External"/><Relationship Id="rId36" Type="http://schemas.openxmlformats.org/officeDocument/2006/relationships/image" Target="cid:image001.jpg@01DBDAAF.B8289180" TargetMode="External"/><Relationship Id="rId10" Type="http://schemas.openxmlformats.org/officeDocument/2006/relationships/image" Target="cid:image002.png@01DBDAB4.5D6EEA00" TargetMode="External"/><Relationship Id="rId19" Type="http://schemas.openxmlformats.org/officeDocument/2006/relationships/image" Target="media/image4.png"/><Relationship Id="rId31" Type="http://schemas.openxmlformats.org/officeDocument/2006/relationships/hyperlink" Target="https://www.facebook.com/TexasDepartmentofInsurance/"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cid:image003.png@01DBDAB4.5D6EEA00" TargetMode="External"/><Relationship Id="rId22" Type="http://schemas.openxmlformats.org/officeDocument/2006/relationships/image" Target="media/image5.png"/><Relationship Id="rId27" Type="http://schemas.openxmlformats.org/officeDocument/2006/relationships/hyperlink" Target="mailto:theodore.patton@state.mn.us" TargetMode="External"/><Relationship Id="rId30" Type="http://schemas.openxmlformats.org/officeDocument/2006/relationships/hyperlink" Target="https://twitter.com/texastdi" TargetMode="External"/><Relationship Id="rId35" Type="http://schemas.openxmlformats.org/officeDocument/2006/relationships/image" Target="media/image6.jpeg"/><Relationship Id="rId8" Type="http://schemas.openxmlformats.org/officeDocument/2006/relationships/hyperlink" Target="mailto:Matthew.tarpley@tdi.texas.gov" TargetMode="External"/><Relationship Id="rId3" Type="http://schemas.openxmlformats.org/officeDocument/2006/relationships/settings" Target="settings.xml"/><Relationship Id="rId12" Type="http://schemas.openxmlformats.org/officeDocument/2006/relationships/hyperlink" Target="https://urldefense.com/v3/__https:/www.facebook.com/NAIC.News__;!!EErPFA7f--AJOw!A52L5zw97-bvN99Lvwt9rJYbFV3zL_rShk-UJ5zJNhxCtp-KaXD5X761ORWkTQTvbq59bb3ayCYqzSsA8UUEjICVGG8$" TargetMode="External"/><Relationship Id="rId17" Type="http://schemas.openxmlformats.org/officeDocument/2006/relationships/image" Target="cid:image004.png@01DBDAB4.5D6EEA00" TargetMode="External"/><Relationship Id="rId25" Type="http://schemas.openxmlformats.org/officeDocument/2006/relationships/hyperlink" Target="mailto:RHelder@naic.org" TargetMode="External"/><Relationship Id="rId33" Type="http://schemas.openxmlformats.org/officeDocument/2006/relationships/hyperlink" Target="https://www.youtube.com/channel/UC0ROJMNKu2zHd6D0Mi2Gjtw" TargetMode="External"/><Relationship Id="rId3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3" ma:contentTypeDescription="Create a new document." ma:contentTypeScope="" ma:versionID="c2a53018661d2d35647e3e684c165d03">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1f6dc6efd9d21f64aa3096b01f32c3f3"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rtDate xmlns="http://schemas.microsoft.com/sharepoint/v3">2025-07-01T11:30:03+00:00</StartDate>
    <_EndDate xmlns="http://schemas.microsoft.com/sharepoint/v3/fields">2025-07-01T11:30:03+00:00</_EndDate>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Location xmlns="http://schemas.microsoft.com/sharepoint/v3/fields" xsi:nil="true"/>
    <Meeting_x0020_Type xmlns="734dc620-9a3c-4363-b6b2-552d0a5c0ad8" xsi:nil="true"/>
  </documentManagement>
</p:properties>
</file>

<file path=customXml/itemProps1.xml><?xml version="1.0" encoding="utf-8"?>
<ds:datastoreItem xmlns:ds="http://schemas.openxmlformats.org/officeDocument/2006/customXml" ds:itemID="{6F73CA2A-B367-4BE2-86F4-533C820BDFE6}"/>
</file>

<file path=customXml/itemProps2.xml><?xml version="1.0" encoding="utf-8"?>
<ds:datastoreItem xmlns:ds="http://schemas.openxmlformats.org/officeDocument/2006/customXml" ds:itemID="{BCEDE1AE-F516-468A-BEE3-EA4F61315B6F}"/>
</file>

<file path=customXml/itemProps3.xml><?xml version="1.0" encoding="utf-8"?>
<ds:datastoreItem xmlns:ds="http://schemas.openxmlformats.org/officeDocument/2006/customXml" ds:itemID="{74D244C1-970A-48DE-98D0-C8E4B41C009A}"/>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4</TotalTime>
  <Pages>3</Pages>
  <Words>1066</Words>
  <Characters>6077</Characters>
  <Application>Microsoft Office Word</Application>
  <DocSecurity>0</DocSecurity>
  <Lines>50</Lines>
  <Paragraphs>14</Paragraphs>
  <ScaleCrop>false</ScaleCrop>
  <Company/>
  <LinksUpToDate>false</LinksUpToDate>
  <CharactersWithSpaces>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Helder, Randy</dc:creator>
  <cp:keywords/>
  <dc:description/>
  <cp:lastModifiedBy>Helder, Randy</cp:lastModifiedBy>
  <cp:revision>3</cp:revision>
  <dcterms:created xsi:type="dcterms:W3CDTF">2025-07-01T16:28:00Z</dcterms:created>
  <dcterms:modified xsi:type="dcterms:W3CDTF">2025-07-01T16:32:00Z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0x010100376674D47D81254AAE898D727025BAAD</vt:lpwstr>
  </property>
  <property fmtid="{D5CDD505-2E9C-101B-9397-08002B2CF9AE}" pid="3" name="MediaServiceImageTags">
    <vt:lpwstr/>
  </property>
</Properties>
</file>