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8D32" w14:textId="3C8FD378" w:rsidR="001D1342" w:rsidRDefault="00E268B0" w:rsidP="00782213">
      <w:pPr>
        <w:jc w:val="center"/>
        <w:rPr>
          <w:b/>
          <w:bCs/>
          <w:sz w:val="24"/>
          <w:szCs w:val="24"/>
        </w:rPr>
      </w:pPr>
      <w:r w:rsidRPr="003568CE">
        <w:rPr>
          <w:b/>
          <w:bCs/>
          <w:sz w:val="24"/>
          <w:szCs w:val="24"/>
        </w:rPr>
        <w:t>Generator of Economic Scenarios (GOES) Unaggregated Field Test</w:t>
      </w:r>
      <w:r w:rsidR="004B7B6F" w:rsidRPr="003568CE">
        <w:rPr>
          <w:b/>
          <w:bCs/>
          <w:sz w:val="24"/>
          <w:szCs w:val="24"/>
        </w:rPr>
        <w:t xml:space="preserve"> </w:t>
      </w:r>
      <w:r w:rsidR="00022EAD">
        <w:rPr>
          <w:b/>
          <w:bCs/>
          <w:sz w:val="24"/>
          <w:szCs w:val="24"/>
        </w:rPr>
        <w:t>Questions</w:t>
      </w:r>
    </w:p>
    <w:p w14:paraId="2D737BAC" w14:textId="7BD2CF42" w:rsidR="00646F5E" w:rsidRDefault="00646F5E" w:rsidP="00DF339D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</w:t>
      </w:r>
      <w:r w:rsidR="00C5046E">
        <w:rPr>
          <w:rFonts w:asciiTheme="minorHAnsi" w:hAnsiTheme="minorHAnsi" w:cstheme="minorHAnsi"/>
        </w:rPr>
        <w:t>the focus of the field test be</w:t>
      </w:r>
      <w:r>
        <w:rPr>
          <w:rFonts w:asciiTheme="minorHAnsi" w:hAnsiTheme="minorHAnsi" w:cstheme="minorHAnsi"/>
        </w:rPr>
        <w:t xml:space="preserve"> on a limited set of field test runs that are all mandatory for participants, or </w:t>
      </w:r>
      <w:r w:rsidR="00C5046E">
        <w:rPr>
          <w:rFonts w:asciiTheme="minorHAnsi" w:hAnsiTheme="minorHAnsi" w:cstheme="minorHAnsi"/>
        </w:rPr>
        <w:t xml:space="preserve">should </w:t>
      </w:r>
      <w:r>
        <w:rPr>
          <w:rFonts w:asciiTheme="minorHAnsi" w:hAnsiTheme="minorHAnsi" w:cstheme="minorHAnsi"/>
        </w:rPr>
        <w:t xml:space="preserve">additional scenario </w:t>
      </w:r>
      <w:proofErr w:type="gramStart"/>
      <w:r>
        <w:rPr>
          <w:rFonts w:asciiTheme="minorHAnsi" w:hAnsiTheme="minorHAnsi" w:cstheme="minorHAnsi"/>
        </w:rPr>
        <w:t>sets</w:t>
      </w:r>
      <w:proofErr w:type="gramEnd"/>
      <w:r w:rsidR="00AF0784">
        <w:rPr>
          <w:rFonts w:asciiTheme="minorHAnsi" w:hAnsiTheme="minorHAnsi" w:cstheme="minorHAnsi"/>
        </w:rPr>
        <w:t xml:space="preserve"> </w:t>
      </w:r>
      <w:r w:rsidR="002701F6">
        <w:rPr>
          <w:rFonts w:asciiTheme="minorHAnsi" w:hAnsiTheme="minorHAnsi" w:cstheme="minorHAnsi"/>
        </w:rPr>
        <w:t xml:space="preserve">on top of the mandatory scenario sets be provided </w:t>
      </w:r>
      <w:r w:rsidR="00AF0784">
        <w:rPr>
          <w:rFonts w:asciiTheme="minorHAnsi" w:hAnsiTheme="minorHAnsi" w:cstheme="minorHAnsi"/>
        </w:rPr>
        <w:t>to allow some companies to do more analysis as desired?</w:t>
      </w:r>
    </w:p>
    <w:p w14:paraId="7D4E8C25" w14:textId="13773FB7" w:rsidR="001D1342" w:rsidRDefault="001D1342" w:rsidP="00DF339D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3E0527">
        <w:rPr>
          <w:rFonts w:asciiTheme="minorHAnsi" w:hAnsiTheme="minorHAnsi" w:cstheme="minorHAnsi"/>
        </w:rPr>
        <w:t xml:space="preserve">What </w:t>
      </w:r>
      <w:r w:rsidR="003E0527" w:rsidRPr="003E0527">
        <w:rPr>
          <w:rFonts w:asciiTheme="minorHAnsi" w:hAnsiTheme="minorHAnsi" w:cstheme="minorHAnsi"/>
        </w:rPr>
        <w:t>valuation date</w:t>
      </w:r>
      <w:r w:rsidR="001160F4">
        <w:rPr>
          <w:rFonts w:asciiTheme="minorHAnsi" w:hAnsiTheme="minorHAnsi" w:cstheme="minorHAnsi"/>
        </w:rPr>
        <w:t>/starting condition</w:t>
      </w:r>
      <w:r w:rsidR="00E36558">
        <w:rPr>
          <w:rFonts w:asciiTheme="minorHAnsi" w:hAnsiTheme="minorHAnsi" w:cstheme="minorHAnsi"/>
        </w:rPr>
        <w:t>(</w:t>
      </w:r>
      <w:r w:rsidR="003E0527" w:rsidRPr="003E0527">
        <w:rPr>
          <w:rFonts w:asciiTheme="minorHAnsi" w:hAnsiTheme="minorHAnsi" w:cstheme="minorHAnsi"/>
        </w:rPr>
        <w:t>s</w:t>
      </w:r>
      <w:r w:rsidR="00E36558">
        <w:rPr>
          <w:rFonts w:asciiTheme="minorHAnsi" w:hAnsiTheme="minorHAnsi" w:cstheme="minorHAnsi"/>
        </w:rPr>
        <w:t>)</w:t>
      </w:r>
      <w:r w:rsidR="003E0527" w:rsidRPr="003E0527">
        <w:rPr>
          <w:rFonts w:asciiTheme="minorHAnsi" w:hAnsiTheme="minorHAnsi" w:cstheme="minorHAnsi"/>
        </w:rPr>
        <w:t xml:space="preserve"> should be included</w:t>
      </w:r>
      <w:r w:rsidR="003E0527">
        <w:rPr>
          <w:rFonts w:asciiTheme="minorHAnsi" w:hAnsiTheme="minorHAnsi" w:cstheme="minorHAnsi"/>
        </w:rPr>
        <w:t>?</w:t>
      </w:r>
    </w:p>
    <w:p w14:paraId="1385D91B" w14:textId="265E522B" w:rsidR="00E36558" w:rsidRDefault="00E36558" w:rsidP="00DF339D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F342D">
        <w:rPr>
          <w:rFonts w:asciiTheme="minorHAnsi" w:hAnsiTheme="minorHAnsi" w:cstheme="minorHAnsi"/>
        </w:rPr>
        <w:t>hat types of economic environments need to be tested</w:t>
      </w:r>
      <w:r w:rsidR="00FD1922">
        <w:rPr>
          <w:rFonts w:asciiTheme="minorHAnsi" w:hAnsiTheme="minorHAnsi" w:cstheme="minorHAnsi"/>
        </w:rPr>
        <w:t>?</w:t>
      </w:r>
    </w:p>
    <w:p w14:paraId="3DCFCD91" w14:textId="669A8E2A" w:rsidR="00FD1922" w:rsidRDefault="00FD1922" w:rsidP="00DF339D">
      <w:pPr>
        <w:pStyle w:val="ListParagraph"/>
        <w:numPr>
          <w:ilvl w:val="2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High/low starting interest rate levels</w:t>
      </w:r>
    </w:p>
    <w:p w14:paraId="67C05C93" w14:textId="0F6D8FE4" w:rsidR="00FD1922" w:rsidRDefault="00835571" w:rsidP="00DF339D">
      <w:pPr>
        <w:pStyle w:val="ListParagraph"/>
        <w:numPr>
          <w:ilvl w:val="2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High/low spread environments</w:t>
      </w:r>
    </w:p>
    <w:p w14:paraId="20B13A41" w14:textId="13351DE4" w:rsidR="00835571" w:rsidRDefault="00835571" w:rsidP="00DF339D">
      <w:pPr>
        <w:pStyle w:val="ListParagraph"/>
        <w:numPr>
          <w:ilvl w:val="2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Other?</w:t>
      </w:r>
    </w:p>
    <w:p w14:paraId="5FBF7B08" w14:textId="0B5BB489" w:rsidR="00835571" w:rsidRDefault="00C8727E" w:rsidP="00DF339D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="00BE2C4C">
        <w:rPr>
          <w:rFonts w:asciiTheme="minorHAnsi" w:hAnsiTheme="minorHAnsi" w:cstheme="minorHAnsi"/>
        </w:rPr>
        <w:t>itial Recommendation: 12/31/23</w:t>
      </w:r>
      <w:r w:rsidR="00F5363C">
        <w:rPr>
          <w:rFonts w:asciiTheme="minorHAnsi" w:hAnsiTheme="minorHAnsi" w:cstheme="minorHAnsi"/>
        </w:rPr>
        <w:t xml:space="preserve"> and 12/31/21 with </w:t>
      </w:r>
      <w:proofErr w:type="spellStart"/>
      <w:r w:rsidR="00F5363C">
        <w:rPr>
          <w:rFonts w:asciiTheme="minorHAnsi" w:hAnsiTheme="minorHAnsi" w:cstheme="minorHAnsi"/>
        </w:rPr>
        <w:t>inforce</w:t>
      </w:r>
      <w:proofErr w:type="spellEnd"/>
      <w:r w:rsidR="00F5363C">
        <w:rPr>
          <w:rFonts w:asciiTheme="minorHAnsi" w:hAnsiTheme="minorHAnsi" w:cstheme="minorHAnsi"/>
        </w:rPr>
        <w:t xml:space="preserve"> from 12/31/23 adjusted as necessary for other valuation dates.</w:t>
      </w:r>
      <w:r w:rsidR="00AA4EB0">
        <w:rPr>
          <w:rFonts w:asciiTheme="minorHAnsi" w:hAnsiTheme="minorHAnsi" w:cstheme="minorHAnsi"/>
        </w:rPr>
        <w:t xml:space="preserve"> SERT scenarios will also be included with these starting conditions.</w:t>
      </w:r>
    </w:p>
    <w:p w14:paraId="316EC253" w14:textId="7406B59E" w:rsidR="00022EAD" w:rsidRDefault="00703E75" w:rsidP="00DF339D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</w:t>
      </w:r>
      <w:r w:rsidR="00DE6EEF">
        <w:rPr>
          <w:rFonts w:asciiTheme="minorHAnsi" w:hAnsiTheme="minorHAnsi" w:cstheme="minorHAnsi"/>
        </w:rPr>
        <w:t xml:space="preserve"> any </w:t>
      </w:r>
      <w:r w:rsidR="00C5046E">
        <w:rPr>
          <w:rFonts w:asciiTheme="minorHAnsi" w:hAnsiTheme="minorHAnsi" w:cstheme="minorHAnsi"/>
        </w:rPr>
        <w:t xml:space="preserve">variations other than valuation date </w:t>
      </w:r>
      <w:r>
        <w:rPr>
          <w:rFonts w:asciiTheme="minorHAnsi" w:hAnsiTheme="minorHAnsi" w:cstheme="minorHAnsi"/>
        </w:rPr>
        <w:t>be included in the field test runs</w:t>
      </w:r>
      <w:r w:rsidR="00C5046E">
        <w:rPr>
          <w:rFonts w:asciiTheme="minorHAnsi" w:hAnsiTheme="minorHAnsi" w:cstheme="minorHAnsi"/>
        </w:rPr>
        <w:t>?</w:t>
      </w:r>
    </w:p>
    <w:p w14:paraId="3071EBF9" w14:textId="5889D544" w:rsidR="00966614" w:rsidRDefault="00966614" w:rsidP="00DF339D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Original field test included runs with multiple calibrations, UST Floor designs, and attribution analysis.</w:t>
      </w:r>
    </w:p>
    <w:p w14:paraId="100C9590" w14:textId="56CEDEFF" w:rsidR="00162B6D" w:rsidRDefault="00162B6D" w:rsidP="00DF339D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Initial Recommendation: No</w:t>
      </w:r>
    </w:p>
    <w:p w14:paraId="32105540" w14:textId="3FCFD3E3" w:rsidR="00BE2C4C" w:rsidRDefault="0010537D" w:rsidP="00DF339D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FE1B5C">
        <w:rPr>
          <w:rFonts w:asciiTheme="minorHAnsi" w:hAnsiTheme="minorHAnsi" w:cstheme="minorHAnsi"/>
        </w:rPr>
        <w:t>scenario subsets should be utilized?</w:t>
      </w:r>
    </w:p>
    <w:p w14:paraId="4C99AC2B" w14:textId="58E6A815" w:rsidR="005333F0" w:rsidRDefault="007B3EE1" w:rsidP="00DF339D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 Recommendation: Companies should use a consistent scenario selection approach </w:t>
      </w:r>
      <w:r w:rsidR="00E465A7">
        <w:rPr>
          <w:rFonts w:asciiTheme="minorHAnsi" w:hAnsiTheme="minorHAnsi" w:cstheme="minorHAnsi"/>
        </w:rPr>
        <w:t xml:space="preserve">and number of scenarios between a field test scenario set and </w:t>
      </w:r>
      <w:r w:rsidR="00C66FBE">
        <w:rPr>
          <w:rFonts w:asciiTheme="minorHAnsi" w:hAnsiTheme="minorHAnsi" w:cstheme="minorHAnsi"/>
        </w:rPr>
        <w:t>the scenario set used in the baseline.</w:t>
      </w:r>
    </w:p>
    <w:p w14:paraId="2660C80E" w14:textId="665B5135" w:rsidR="002A53F5" w:rsidRDefault="00162B6D" w:rsidP="002C7111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="002A53F5">
        <w:rPr>
          <w:rFonts w:asciiTheme="minorHAnsi" w:hAnsiTheme="minorHAnsi" w:cstheme="minorHAnsi"/>
        </w:rPr>
        <w:t>Conning excel tool to create subsets will be made available</w:t>
      </w:r>
      <w:r>
        <w:rPr>
          <w:rFonts w:asciiTheme="minorHAnsi" w:hAnsiTheme="minorHAnsi" w:cstheme="minorHAnsi"/>
        </w:rPr>
        <w:t xml:space="preserve"> for companies to create desired subsets from full 10k scenario set.</w:t>
      </w:r>
    </w:p>
    <w:p w14:paraId="6D0C8880" w14:textId="44A86C96" w:rsidR="00737CF1" w:rsidRDefault="006A59A3" w:rsidP="002C711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other</w:t>
      </w:r>
      <w:r w:rsidR="00F77FAE">
        <w:rPr>
          <w:rFonts w:asciiTheme="minorHAnsi" w:hAnsiTheme="minorHAnsi" w:cstheme="minorHAnsi"/>
        </w:rPr>
        <w:t xml:space="preserve"> features of the unaggregated field test need to be defined?</w:t>
      </w:r>
    </w:p>
    <w:p w14:paraId="077CF448" w14:textId="78FB97E2" w:rsidR="00F77FAE" w:rsidRPr="003E0527" w:rsidRDefault="00F77FAE" w:rsidP="002C7111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 Recommendation: </w:t>
      </w:r>
      <w:r w:rsidR="007063FF">
        <w:rPr>
          <w:rFonts w:asciiTheme="minorHAnsi" w:hAnsiTheme="minorHAnsi" w:cstheme="minorHAnsi"/>
        </w:rPr>
        <w:t>As the first GOES field test was designed to be aggregated across companies, the characteristics were well defined</w:t>
      </w:r>
      <w:r w:rsidR="005B4C13">
        <w:rPr>
          <w:rFonts w:asciiTheme="minorHAnsi" w:hAnsiTheme="minorHAnsi" w:cstheme="minorHAnsi"/>
        </w:rPr>
        <w:t xml:space="preserve"> </w:t>
      </w:r>
      <w:proofErr w:type="gramStart"/>
      <w:r w:rsidR="005B4C13">
        <w:rPr>
          <w:rFonts w:asciiTheme="minorHAnsi" w:hAnsiTheme="minorHAnsi" w:cstheme="minorHAnsi"/>
        </w:rPr>
        <w:t>in order to</w:t>
      </w:r>
      <w:proofErr w:type="gramEnd"/>
      <w:r w:rsidR="005B4C13">
        <w:rPr>
          <w:rFonts w:asciiTheme="minorHAnsi" w:hAnsiTheme="minorHAnsi" w:cstheme="minorHAnsi"/>
        </w:rPr>
        <w:t xml:space="preserve"> support comparisons</w:t>
      </w:r>
      <w:r w:rsidR="002823C6">
        <w:rPr>
          <w:rFonts w:asciiTheme="minorHAnsi" w:hAnsiTheme="minorHAnsi" w:cstheme="minorHAnsi"/>
        </w:rPr>
        <w:t>. The emphasis this time will be on</w:t>
      </w:r>
      <w:r w:rsidR="00905DAC">
        <w:rPr>
          <w:rFonts w:asciiTheme="minorHAnsi" w:hAnsiTheme="minorHAnsi" w:cstheme="minorHAnsi"/>
        </w:rPr>
        <w:t xml:space="preserve"> each company sharing</w:t>
      </w:r>
      <w:r w:rsidR="007D68E6">
        <w:rPr>
          <w:rFonts w:asciiTheme="minorHAnsi" w:hAnsiTheme="minorHAnsi" w:cstheme="minorHAnsi"/>
        </w:rPr>
        <w:t xml:space="preserve"> the results of the field testing that they feel are most crucial to communicate </w:t>
      </w:r>
      <w:proofErr w:type="gramStart"/>
      <w:r w:rsidR="007D68E6">
        <w:rPr>
          <w:rFonts w:asciiTheme="minorHAnsi" w:hAnsiTheme="minorHAnsi" w:cstheme="minorHAnsi"/>
        </w:rPr>
        <w:t>to</w:t>
      </w:r>
      <w:proofErr w:type="gramEnd"/>
      <w:r w:rsidR="007D68E6">
        <w:rPr>
          <w:rFonts w:asciiTheme="minorHAnsi" w:hAnsiTheme="minorHAnsi" w:cstheme="minorHAnsi"/>
        </w:rPr>
        <w:t xml:space="preserve"> regulators. Therefore, less </w:t>
      </w:r>
      <w:r w:rsidR="002F16B5">
        <w:rPr>
          <w:rFonts w:asciiTheme="minorHAnsi" w:hAnsiTheme="minorHAnsi" w:cstheme="minorHAnsi"/>
        </w:rPr>
        <w:t>s</w:t>
      </w:r>
      <w:r w:rsidR="00B51C4D">
        <w:rPr>
          <w:rFonts w:asciiTheme="minorHAnsi" w:hAnsiTheme="minorHAnsi" w:cstheme="minorHAnsi"/>
        </w:rPr>
        <w:t>pecifications are needed for the unaggregated field test.</w:t>
      </w:r>
    </w:p>
    <w:sectPr w:rsidR="00F77FAE" w:rsidRPr="003E0527" w:rsidSect="007C77F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0A27" w14:textId="77777777" w:rsidR="007C77FB" w:rsidRDefault="007C77FB" w:rsidP="007B033C">
      <w:pPr>
        <w:spacing w:after="0" w:line="240" w:lineRule="auto"/>
      </w:pPr>
      <w:r>
        <w:separator/>
      </w:r>
    </w:p>
  </w:endnote>
  <w:endnote w:type="continuationSeparator" w:id="0">
    <w:p w14:paraId="1558305E" w14:textId="77777777" w:rsidR="007C77FB" w:rsidRDefault="007C77FB" w:rsidP="007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66432" behindDoc="1" locked="0" layoutInCell="1" allowOverlap="1" wp14:anchorId="42ACE61E" wp14:editId="68A3339A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4572000" cy="6858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AEEB" w14:textId="0F348480" w:rsidR="00393E4E" w:rsidRPr="00CB7C45" w:rsidRDefault="00393E4E" w:rsidP="0058796E">
    <w:pPr>
      <w:pStyle w:val="Footer"/>
      <w:jc w:val="right"/>
      <w:rPr>
        <w:rFonts w:ascii="Times New Roman" w:hAnsi="Times New Roman" w:cs="Times New Roman"/>
        <w:color w:val="8A8B8C"/>
        <w:sz w:val="20"/>
        <w:szCs w:val="20"/>
      </w:rPr>
    </w:pPr>
  </w:p>
  <w:p w14:paraId="20CE11C0" w14:textId="77777777" w:rsidR="00393E4E" w:rsidRDefault="0039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94EA" w14:textId="77777777" w:rsidR="007C77FB" w:rsidRDefault="007C77FB" w:rsidP="007B033C">
      <w:pPr>
        <w:spacing w:after="0" w:line="240" w:lineRule="auto"/>
      </w:pPr>
      <w:r>
        <w:separator/>
      </w:r>
    </w:p>
  </w:footnote>
  <w:footnote w:type="continuationSeparator" w:id="0">
    <w:p w14:paraId="5799A344" w14:textId="77777777" w:rsidR="007C77FB" w:rsidRDefault="007C77FB" w:rsidP="007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EF7" w14:textId="652ED6A5" w:rsidR="00494574" w:rsidRDefault="00494574">
    <w:pPr>
      <w:pStyle w:val="Header"/>
    </w:pPr>
  </w:p>
  <w:p w14:paraId="50ED6BA1" w14:textId="3F46EAB6" w:rsidR="00494574" w:rsidRDefault="00494574">
    <w:pPr>
      <w:pStyle w:val="Header"/>
    </w:pPr>
  </w:p>
  <w:p w14:paraId="1EA71F30" w14:textId="71F0CBBD" w:rsidR="00494574" w:rsidRDefault="00494574" w:rsidP="004945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4F1BA0B3" w:rsidR="00393E4E" w:rsidRPr="0022783C" w:rsidRDefault="0058796E" w:rsidP="00021CDC">
    <w:pPr>
      <w:pStyle w:val="Header"/>
      <w:rPr>
        <w:rFonts w:ascii="AvenirNext LT Pro Regular" w:hAnsi="AvenirNext LT Pro Regular"/>
        <w:sz w:val="20"/>
        <w:szCs w:val="20"/>
      </w:rPr>
    </w:pPr>
    <w:r w:rsidRPr="0022783C">
      <w:rPr>
        <w:rFonts w:ascii="AvenirNext LT Pro Regular" w:hAnsi="AvenirNext LT Pro Regular"/>
        <w:noProof/>
        <w:sz w:val="20"/>
        <w:szCs w:val="20"/>
      </w:rPr>
      <w:drawing>
        <wp:anchor distT="0" distB="301625" distL="0" distR="0" simplePos="0" relativeHeight="251658240" behindDoc="1" locked="1" layoutInCell="1" allowOverlap="0" wp14:anchorId="276F2217" wp14:editId="403CDC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58768" cy="1024128"/>
          <wp:effectExtent l="0" t="0" r="2540" b="508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C332D"/>
    <w:multiLevelType w:val="hybridMultilevel"/>
    <w:tmpl w:val="5C48976A"/>
    <w:lvl w:ilvl="0" w:tplc="2F761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28884">
    <w:abstractNumId w:val="4"/>
  </w:num>
  <w:num w:numId="2" w16cid:durableId="92748102">
    <w:abstractNumId w:val="0"/>
  </w:num>
  <w:num w:numId="3" w16cid:durableId="298264739">
    <w:abstractNumId w:val="6"/>
  </w:num>
  <w:num w:numId="4" w16cid:durableId="742065376">
    <w:abstractNumId w:val="3"/>
  </w:num>
  <w:num w:numId="5" w16cid:durableId="1255359863">
    <w:abstractNumId w:val="5"/>
  </w:num>
  <w:num w:numId="6" w16cid:durableId="131758562">
    <w:abstractNumId w:val="9"/>
  </w:num>
  <w:num w:numId="7" w16cid:durableId="1490099739">
    <w:abstractNumId w:val="2"/>
  </w:num>
  <w:num w:numId="8" w16cid:durableId="22097368">
    <w:abstractNumId w:val="1"/>
  </w:num>
  <w:num w:numId="9" w16cid:durableId="1170020797">
    <w:abstractNumId w:val="8"/>
  </w:num>
  <w:num w:numId="10" w16cid:durableId="1028678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10B1C"/>
    <w:rsid w:val="00021CDC"/>
    <w:rsid w:val="00022EAD"/>
    <w:rsid w:val="00027727"/>
    <w:rsid w:val="00053A56"/>
    <w:rsid w:val="0006224C"/>
    <w:rsid w:val="00070005"/>
    <w:rsid w:val="00080F66"/>
    <w:rsid w:val="0009430C"/>
    <w:rsid w:val="000A266C"/>
    <w:rsid w:val="000D76E2"/>
    <w:rsid w:val="0010537D"/>
    <w:rsid w:val="001160F4"/>
    <w:rsid w:val="0012302F"/>
    <w:rsid w:val="0012752F"/>
    <w:rsid w:val="00162B6D"/>
    <w:rsid w:val="00162E05"/>
    <w:rsid w:val="001B2AD4"/>
    <w:rsid w:val="001B5933"/>
    <w:rsid w:val="001D1342"/>
    <w:rsid w:val="001F10B1"/>
    <w:rsid w:val="001F7821"/>
    <w:rsid w:val="00224460"/>
    <w:rsid w:val="0022465A"/>
    <w:rsid w:val="002264C5"/>
    <w:rsid w:val="0022783C"/>
    <w:rsid w:val="002515C7"/>
    <w:rsid w:val="002701F6"/>
    <w:rsid w:val="002822E6"/>
    <w:rsid w:val="002823C6"/>
    <w:rsid w:val="002915ED"/>
    <w:rsid w:val="00296D57"/>
    <w:rsid w:val="002A53F5"/>
    <w:rsid w:val="002B06C5"/>
    <w:rsid w:val="002B2F6F"/>
    <w:rsid w:val="002C1E86"/>
    <w:rsid w:val="002C29E0"/>
    <w:rsid w:val="002C7111"/>
    <w:rsid w:val="002F1062"/>
    <w:rsid w:val="002F16B5"/>
    <w:rsid w:val="003264C1"/>
    <w:rsid w:val="00345CAE"/>
    <w:rsid w:val="003568CE"/>
    <w:rsid w:val="0036056A"/>
    <w:rsid w:val="00393E4E"/>
    <w:rsid w:val="003955B0"/>
    <w:rsid w:val="003B0DAB"/>
    <w:rsid w:val="003B3E07"/>
    <w:rsid w:val="003B4222"/>
    <w:rsid w:val="003C16A4"/>
    <w:rsid w:val="003E0527"/>
    <w:rsid w:val="003E0F8F"/>
    <w:rsid w:val="003F03A5"/>
    <w:rsid w:val="004009A2"/>
    <w:rsid w:val="00403838"/>
    <w:rsid w:val="00406699"/>
    <w:rsid w:val="00421683"/>
    <w:rsid w:val="00443807"/>
    <w:rsid w:val="00472A46"/>
    <w:rsid w:val="00494574"/>
    <w:rsid w:val="004A62BE"/>
    <w:rsid w:val="004B7B6F"/>
    <w:rsid w:val="004C720C"/>
    <w:rsid w:val="004D27A9"/>
    <w:rsid w:val="005129F3"/>
    <w:rsid w:val="00520450"/>
    <w:rsid w:val="005218D9"/>
    <w:rsid w:val="005333F0"/>
    <w:rsid w:val="005357B1"/>
    <w:rsid w:val="0055552B"/>
    <w:rsid w:val="0055649C"/>
    <w:rsid w:val="00564EE5"/>
    <w:rsid w:val="005703E4"/>
    <w:rsid w:val="0057575E"/>
    <w:rsid w:val="00576B43"/>
    <w:rsid w:val="0058796E"/>
    <w:rsid w:val="005A7A3C"/>
    <w:rsid w:val="005B2524"/>
    <w:rsid w:val="005B4C13"/>
    <w:rsid w:val="005D579F"/>
    <w:rsid w:val="005F10E5"/>
    <w:rsid w:val="00615430"/>
    <w:rsid w:val="00617A35"/>
    <w:rsid w:val="00621822"/>
    <w:rsid w:val="00646F5E"/>
    <w:rsid w:val="00670E30"/>
    <w:rsid w:val="00686005"/>
    <w:rsid w:val="006A59A3"/>
    <w:rsid w:val="006B35F9"/>
    <w:rsid w:val="006C1F92"/>
    <w:rsid w:val="006D780F"/>
    <w:rsid w:val="00703E75"/>
    <w:rsid w:val="007063FF"/>
    <w:rsid w:val="00717CA4"/>
    <w:rsid w:val="007203B8"/>
    <w:rsid w:val="007322A9"/>
    <w:rsid w:val="00734322"/>
    <w:rsid w:val="00737CF1"/>
    <w:rsid w:val="00744E52"/>
    <w:rsid w:val="00751F4A"/>
    <w:rsid w:val="00782213"/>
    <w:rsid w:val="00792E2F"/>
    <w:rsid w:val="007937AB"/>
    <w:rsid w:val="007A49EB"/>
    <w:rsid w:val="007A5591"/>
    <w:rsid w:val="007A7F2F"/>
    <w:rsid w:val="007B033C"/>
    <w:rsid w:val="007B07CF"/>
    <w:rsid w:val="007B3EE1"/>
    <w:rsid w:val="007C18F6"/>
    <w:rsid w:val="007C77FB"/>
    <w:rsid w:val="007D2DEB"/>
    <w:rsid w:val="007D68E6"/>
    <w:rsid w:val="007E2A2C"/>
    <w:rsid w:val="007E2F04"/>
    <w:rsid w:val="00800C8D"/>
    <w:rsid w:val="0080204B"/>
    <w:rsid w:val="00835539"/>
    <w:rsid w:val="00835571"/>
    <w:rsid w:val="0084212A"/>
    <w:rsid w:val="00851B2E"/>
    <w:rsid w:val="0087642E"/>
    <w:rsid w:val="008E48F7"/>
    <w:rsid w:val="008F3144"/>
    <w:rsid w:val="008F342D"/>
    <w:rsid w:val="00905DAC"/>
    <w:rsid w:val="00913C83"/>
    <w:rsid w:val="009225BA"/>
    <w:rsid w:val="00923D29"/>
    <w:rsid w:val="0093723D"/>
    <w:rsid w:val="00957BBB"/>
    <w:rsid w:val="00966614"/>
    <w:rsid w:val="009727F8"/>
    <w:rsid w:val="009A02CC"/>
    <w:rsid w:val="009A3412"/>
    <w:rsid w:val="009A7148"/>
    <w:rsid w:val="009A7D4A"/>
    <w:rsid w:val="009A7FF4"/>
    <w:rsid w:val="009E5D89"/>
    <w:rsid w:val="009F6B4D"/>
    <w:rsid w:val="009F7C1D"/>
    <w:rsid w:val="00A12AA5"/>
    <w:rsid w:val="00A1676D"/>
    <w:rsid w:val="00A560B3"/>
    <w:rsid w:val="00A779B0"/>
    <w:rsid w:val="00A801A3"/>
    <w:rsid w:val="00AA4EB0"/>
    <w:rsid w:val="00AC0FC3"/>
    <w:rsid w:val="00AD517C"/>
    <w:rsid w:val="00AE52C8"/>
    <w:rsid w:val="00AF0784"/>
    <w:rsid w:val="00AF0D4E"/>
    <w:rsid w:val="00AF3022"/>
    <w:rsid w:val="00B023DC"/>
    <w:rsid w:val="00B51503"/>
    <w:rsid w:val="00B51C4D"/>
    <w:rsid w:val="00B63DAC"/>
    <w:rsid w:val="00B64CB5"/>
    <w:rsid w:val="00B72D72"/>
    <w:rsid w:val="00B81C3E"/>
    <w:rsid w:val="00B8472C"/>
    <w:rsid w:val="00BA23CF"/>
    <w:rsid w:val="00BA3ACA"/>
    <w:rsid w:val="00BE2C4C"/>
    <w:rsid w:val="00BF48A8"/>
    <w:rsid w:val="00C13164"/>
    <w:rsid w:val="00C5046E"/>
    <w:rsid w:val="00C5246A"/>
    <w:rsid w:val="00C66FBE"/>
    <w:rsid w:val="00C70C74"/>
    <w:rsid w:val="00C7326D"/>
    <w:rsid w:val="00C735BA"/>
    <w:rsid w:val="00C8727E"/>
    <w:rsid w:val="00CA12B1"/>
    <w:rsid w:val="00CB6AD2"/>
    <w:rsid w:val="00CB7C45"/>
    <w:rsid w:val="00CC46EA"/>
    <w:rsid w:val="00D01CC0"/>
    <w:rsid w:val="00D0369C"/>
    <w:rsid w:val="00D10F19"/>
    <w:rsid w:val="00D12BE9"/>
    <w:rsid w:val="00D16B73"/>
    <w:rsid w:val="00D73EE9"/>
    <w:rsid w:val="00D86079"/>
    <w:rsid w:val="00D86C1C"/>
    <w:rsid w:val="00DB0A98"/>
    <w:rsid w:val="00DB328F"/>
    <w:rsid w:val="00DD1999"/>
    <w:rsid w:val="00DE6EEF"/>
    <w:rsid w:val="00DE7D8A"/>
    <w:rsid w:val="00DF339D"/>
    <w:rsid w:val="00DF5F21"/>
    <w:rsid w:val="00E00C6E"/>
    <w:rsid w:val="00E10A7B"/>
    <w:rsid w:val="00E14876"/>
    <w:rsid w:val="00E268B0"/>
    <w:rsid w:val="00E26D76"/>
    <w:rsid w:val="00E36558"/>
    <w:rsid w:val="00E465A7"/>
    <w:rsid w:val="00E465AD"/>
    <w:rsid w:val="00E60427"/>
    <w:rsid w:val="00E945DD"/>
    <w:rsid w:val="00E97234"/>
    <w:rsid w:val="00EA2EBD"/>
    <w:rsid w:val="00EB2DC8"/>
    <w:rsid w:val="00EB615C"/>
    <w:rsid w:val="00EE05A5"/>
    <w:rsid w:val="00EE6100"/>
    <w:rsid w:val="00F03CC8"/>
    <w:rsid w:val="00F477A4"/>
    <w:rsid w:val="00F526A0"/>
    <w:rsid w:val="00F5363C"/>
    <w:rsid w:val="00F77FAE"/>
    <w:rsid w:val="00FB75BC"/>
    <w:rsid w:val="00FD1922"/>
    <w:rsid w:val="00FE1B5C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],"formDataEntries":[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2024-02-20T14:02:27+00:00</_EndDate>
    <StartDate xmlns="http://schemas.microsoft.com/sharepoint/v3">2024-02-20T14:02:27+00:00</StartDate>
    <Location xmlns="http://schemas.microsoft.com/sharepoint/v3/fields" xsi:nil="true"/>
    <Meeting_x0020_Type xmlns="734dc620-9a3c-4363-b6b2-552d0a5c0a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],"isBaseTemplate":false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9E48927-6A44-4135-A152-29084DA23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8F1D2-0953-4AF3-86E6-7E2F0393B36D}">
  <ds:schemaRefs/>
</ds:datastoreItem>
</file>

<file path=customXml/itemProps3.xml><?xml version="1.0" encoding="utf-8"?>
<ds:datastoreItem xmlns:ds="http://schemas.openxmlformats.org/officeDocument/2006/customXml" ds:itemID="{5BDA942E-A2F5-4F34-9DC5-6180EF966D54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46EE355E-FEDD-49A5-9EA5-F3AE917F9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6331CD-B1A5-4B41-865D-672690EA79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MANTAINING SOLVENT MARKETS THROUGH COVID</dc:title>
  <dc:subject/>
  <dc:creator>Scott O'Neal</dc:creator>
  <cp:keywords/>
  <dc:description/>
  <cp:lastModifiedBy>O'Neal, Scott</cp:lastModifiedBy>
  <cp:revision>53</cp:revision>
  <cp:lastPrinted>2020-03-11T17:37:00Z</cp:lastPrinted>
  <dcterms:created xsi:type="dcterms:W3CDTF">2024-02-20T14:02:00Z</dcterms:created>
  <dcterms:modified xsi:type="dcterms:W3CDTF">2024-02-20T17:20:00Z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