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C593" w14:textId="005A60F7" w:rsidR="00B54B27" w:rsidRDefault="00B54B27" w:rsidP="00B54B27">
      <w:pPr>
        <w:pStyle w:val="Heading1"/>
      </w:pPr>
      <w:r>
        <w:t>Treasury Model</w:t>
      </w:r>
    </w:p>
    <w:p w14:paraId="0FB08FB3" w14:textId="77777777" w:rsidR="00B54B27" w:rsidRDefault="00B54B27" w:rsidP="00B54B27">
      <w:pPr>
        <w:rPr>
          <w:rFonts w:ascii="Segoe UI" w:hAnsi="Segoe UI"/>
          <w:sz w:val="24"/>
        </w:rPr>
      </w:pPr>
    </w:p>
    <w:p w14:paraId="2A4D3270" w14:textId="3E1BBE4E" w:rsidR="00B54B27" w:rsidRPr="003404AF" w:rsidRDefault="00BD436A" w:rsidP="00B54B27">
      <w:pPr>
        <w:rPr>
          <w:rFonts w:ascii="Segoe UI" w:hAnsi="Segoe UI"/>
          <w:sz w:val="24"/>
        </w:rPr>
      </w:pPr>
      <w:r w:rsidRPr="003404AF">
        <w:rPr>
          <w:rFonts w:ascii="Segoe UI" w:hAnsi="Segoe UI"/>
          <w:sz w:val="24"/>
        </w:rPr>
        <w:t>T</w:t>
      </w:r>
      <w:r w:rsidR="00B54B27" w:rsidRPr="003404AF">
        <w:rPr>
          <w:rFonts w:ascii="Segoe UI" w:hAnsi="Segoe UI"/>
          <w:sz w:val="24"/>
        </w:rPr>
        <w:t>argeting criteria T1.T:</w:t>
      </w:r>
    </w:p>
    <w:p w14:paraId="6E94BFDC" w14:textId="29956CDF" w:rsidR="00B54B27" w:rsidRPr="003404AF" w:rsidRDefault="00BD436A" w:rsidP="00B54B27">
      <w:pPr>
        <w:autoSpaceDE w:val="0"/>
        <w:autoSpaceDN w:val="0"/>
        <w:adjustRightInd w:val="0"/>
        <w:rPr>
          <w:rFonts w:ascii="Segoe UI" w:hAnsi="Segoe UI"/>
          <w:sz w:val="24"/>
        </w:rPr>
      </w:pPr>
      <w:r w:rsidRPr="003404AF">
        <w:rPr>
          <w:rFonts w:ascii="Segoe UI" w:hAnsi="Segoe UI"/>
          <w:sz w:val="24"/>
        </w:rPr>
        <w:t xml:space="preserve">a) </w:t>
      </w:r>
      <w:r w:rsidR="00B54B27" w:rsidRPr="003404AF">
        <w:rPr>
          <w:rFonts w:ascii="Segoe UI" w:hAnsi="Segoe UI"/>
          <w:sz w:val="24"/>
        </w:rPr>
        <w:t>The scenario set should reasonably reflect history, with some allowance for more extreme high and low interest rate environments</w:t>
      </w:r>
    </w:p>
    <w:p w14:paraId="5B915E92" w14:textId="5539D15E" w:rsidR="00B54B27" w:rsidRPr="003404AF" w:rsidRDefault="00B54B27" w:rsidP="00B54B27">
      <w:pPr>
        <w:autoSpaceDE w:val="0"/>
        <w:autoSpaceDN w:val="0"/>
        <w:adjustRightInd w:val="0"/>
        <w:rPr>
          <w:rFonts w:ascii="Segoe UI" w:hAnsi="Segoe UI"/>
          <w:sz w:val="24"/>
        </w:rPr>
      </w:pPr>
      <w:r w:rsidRPr="003404AF">
        <w:rPr>
          <w:rFonts w:ascii="Segoe UI" w:hAnsi="Segoe UI"/>
          <w:sz w:val="24"/>
        </w:rPr>
        <w:t>b) Upper Bound:</w:t>
      </w:r>
    </w:p>
    <w:p w14:paraId="72E5E66C" w14:textId="748A1E85" w:rsidR="00B54B27" w:rsidRPr="003404AF" w:rsidRDefault="00B54B27" w:rsidP="00B54B27">
      <w:pPr>
        <w:autoSpaceDE w:val="0"/>
        <w:autoSpaceDN w:val="0"/>
        <w:adjustRightInd w:val="0"/>
        <w:rPr>
          <w:rFonts w:ascii="Segoe UI" w:hAnsi="Segoe UI"/>
          <w:sz w:val="24"/>
        </w:rPr>
      </w:pPr>
      <w:r w:rsidRPr="003404AF">
        <w:rPr>
          <w:rFonts w:ascii="Segoe UI" w:hAnsi="Segoe UI"/>
          <w:sz w:val="24"/>
        </w:rPr>
        <w:t>i. [1</w:t>
      </w:r>
      <w:r w:rsidR="00DE3B7A" w:rsidRPr="003404AF">
        <w:rPr>
          <w:rFonts w:ascii="Segoe UI" w:hAnsi="Segoe UI"/>
          <w:sz w:val="24"/>
        </w:rPr>
        <w:t>8</w:t>
      </w:r>
      <w:r w:rsidRPr="003404AF">
        <w:rPr>
          <w:rFonts w:ascii="Segoe UI" w:hAnsi="Segoe UI"/>
          <w:sz w:val="24"/>
        </w:rPr>
        <w:t>%] is &gt;= [99.5%]-tile on the 1Y yield fan chart, and no more than [0.5%] of scenarios have 1Y yields that go above [1</w:t>
      </w:r>
      <w:r w:rsidR="00DE3B7A" w:rsidRPr="003404AF">
        <w:rPr>
          <w:rFonts w:ascii="Segoe UI" w:hAnsi="Segoe UI"/>
          <w:sz w:val="24"/>
        </w:rPr>
        <w:t>8</w:t>
      </w:r>
      <w:r w:rsidRPr="003404AF">
        <w:rPr>
          <w:rFonts w:ascii="Segoe UI" w:hAnsi="Segoe UI"/>
          <w:sz w:val="24"/>
        </w:rPr>
        <w:t>%] in the first 30 years</w:t>
      </w:r>
    </w:p>
    <w:p w14:paraId="78C59FD6" w14:textId="3292D49E" w:rsidR="00B54B27" w:rsidRPr="003404AF" w:rsidRDefault="00B54B27" w:rsidP="00B54B27">
      <w:pPr>
        <w:autoSpaceDE w:val="0"/>
        <w:autoSpaceDN w:val="0"/>
        <w:adjustRightInd w:val="0"/>
        <w:rPr>
          <w:rFonts w:ascii="Segoe UI" w:hAnsi="Segoe UI"/>
          <w:sz w:val="24"/>
        </w:rPr>
      </w:pPr>
      <w:r w:rsidRPr="003404AF">
        <w:rPr>
          <w:rFonts w:ascii="Segoe UI" w:hAnsi="Segoe UI"/>
          <w:sz w:val="24"/>
        </w:rPr>
        <w:t>ii. [1</w:t>
      </w:r>
      <w:r w:rsidR="00DE3B7A" w:rsidRPr="003404AF">
        <w:rPr>
          <w:rFonts w:ascii="Segoe UI" w:hAnsi="Segoe UI"/>
          <w:sz w:val="24"/>
        </w:rPr>
        <w:t>7</w:t>
      </w:r>
      <w:r w:rsidRPr="003404AF">
        <w:rPr>
          <w:rFonts w:ascii="Segoe UI" w:hAnsi="Segoe UI"/>
          <w:sz w:val="24"/>
        </w:rPr>
        <w:t>%] is &gt;= [99.5%]-tile on the 20Y yield fan chart, and no more than [0.5%] of scenarios have 20Y yields that go above [1</w:t>
      </w:r>
      <w:r w:rsidR="00DE3B7A" w:rsidRPr="003404AF">
        <w:rPr>
          <w:rFonts w:ascii="Segoe UI" w:hAnsi="Segoe UI"/>
          <w:sz w:val="24"/>
        </w:rPr>
        <w:t>7</w:t>
      </w:r>
      <w:r w:rsidRPr="003404AF">
        <w:rPr>
          <w:rFonts w:ascii="Segoe UI" w:hAnsi="Segoe UI"/>
          <w:sz w:val="24"/>
        </w:rPr>
        <w:t>%] in the first 30 years</w:t>
      </w:r>
    </w:p>
    <w:p w14:paraId="5091D671" w14:textId="77777777" w:rsidR="00B54B27" w:rsidRPr="003404AF" w:rsidRDefault="00B54B27" w:rsidP="00B54B27">
      <w:pPr>
        <w:rPr>
          <w:rFonts w:ascii="Segoe UI" w:hAnsi="Segoe UI"/>
          <w:sz w:val="24"/>
        </w:rPr>
      </w:pPr>
    </w:p>
    <w:p w14:paraId="05DC9714" w14:textId="498B15EE" w:rsidR="00B54B27" w:rsidRPr="003404AF" w:rsidRDefault="00BD436A" w:rsidP="00B54B27">
      <w:pPr>
        <w:rPr>
          <w:rFonts w:ascii="Segoe UI" w:hAnsi="Segoe UI"/>
          <w:sz w:val="24"/>
        </w:rPr>
      </w:pPr>
      <w:r w:rsidRPr="003404AF">
        <w:rPr>
          <w:rFonts w:ascii="Segoe UI" w:hAnsi="Segoe UI"/>
          <w:sz w:val="24"/>
        </w:rPr>
        <w:t>E</w:t>
      </w:r>
      <w:r w:rsidR="00B54B27" w:rsidRPr="003404AF">
        <w:rPr>
          <w:rFonts w:ascii="Segoe UI" w:hAnsi="Segoe UI"/>
          <w:sz w:val="24"/>
        </w:rPr>
        <w:t xml:space="preserve">valuation </w:t>
      </w:r>
      <w:r w:rsidRPr="003404AF">
        <w:rPr>
          <w:rFonts w:ascii="Segoe UI" w:hAnsi="Segoe UI"/>
          <w:sz w:val="24"/>
        </w:rPr>
        <w:t>statistics</w:t>
      </w:r>
      <w:r w:rsidR="00B54B27" w:rsidRPr="003404AF">
        <w:rPr>
          <w:rFonts w:ascii="Segoe UI" w:hAnsi="Segoe UI"/>
          <w:sz w:val="24"/>
        </w:rPr>
        <w:t xml:space="preserve"> T1.E:</w:t>
      </w:r>
    </w:p>
    <w:p w14:paraId="4C719C58" w14:textId="23EF6953" w:rsidR="00B54B27" w:rsidRPr="003404AF" w:rsidRDefault="00B54B27" w:rsidP="00BD436A">
      <w:pPr>
        <w:autoSpaceDE w:val="0"/>
        <w:autoSpaceDN w:val="0"/>
        <w:adjustRightInd w:val="0"/>
        <w:rPr>
          <w:rFonts w:asciiTheme="majorHAnsi" w:eastAsiaTheme="majorEastAsia" w:hAnsiTheme="majorHAnsi" w:cstheme="majorBidi"/>
          <w:sz w:val="26"/>
          <w:szCs w:val="26"/>
        </w:rPr>
      </w:pPr>
      <w:r w:rsidRPr="003404AF">
        <w:rPr>
          <w:rFonts w:ascii="Segoe UI" w:hAnsi="Segoe UI"/>
          <w:sz w:val="24"/>
        </w:rPr>
        <w:t>Review maximum sojourn length for high interest rates (&gt; 17%)</w:t>
      </w:r>
    </w:p>
    <w:p w14:paraId="3D29304E" w14:textId="77777777" w:rsidR="00B54B27" w:rsidRPr="003404AF" w:rsidRDefault="00B54B27" w:rsidP="00B54B27">
      <w:pPr>
        <w:rPr>
          <w:rFonts w:ascii="Segoe UI" w:hAnsi="Segoe UI"/>
          <w:sz w:val="24"/>
        </w:rPr>
      </w:pPr>
    </w:p>
    <w:p w14:paraId="03C680C9" w14:textId="4E0D21E2" w:rsidR="00B54B27" w:rsidRPr="003404AF" w:rsidRDefault="00BD436A" w:rsidP="00B54B27">
      <w:pPr>
        <w:rPr>
          <w:rFonts w:ascii="Segoe UI" w:hAnsi="Segoe UI"/>
          <w:sz w:val="24"/>
        </w:rPr>
      </w:pPr>
      <w:r w:rsidRPr="003404AF">
        <w:rPr>
          <w:rFonts w:ascii="Segoe UI" w:hAnsi="Segoe UI"/>
          <w:sz w:val="24"/>
        </w:rPr>
        <w:t>T</w:t>
      </w:r>
      <w:r w:rsidR="00B54B27" w:rsidRPr="003404AF">
        <w:rPr>
          <w:rFonts w:ascii="Segoe UI" w:hAnsi="Segoe UI"/>
          <w:sz w:val="24"/>
        </w:rPr>
        <w:t>argeting criteria T2.T:</w:t>
      </w:r>
    </w:p>
    <w:p w14:paraId="71475484" w14:textId="77777777" w:rsidR="00B54B27" w:rsidRPr="003404AF" w:rsidRDefault="00B54B27" w:rsidP="00B54B27">
      <w:pPr>
        <w:autoSpaceDE w:val="0"/>
        <w:autoSpaceDN w:val="0"/>
        <w:adjustRightInd w:val="0"/>
        <w:rPr>
          <w:rFonts w:ascii="Segoe UI" w:hAnsi="Segoe UI"/>
          <w:sz w:val="24"/>
        </w:rPr>
      </w:pPr>
      <w:r w:rsidRPr="003404AF">
        <w:rPr>
          <w:rFonts w:ascii="Segoe UI" w:hAnsi="Segoe UI"/>
          <w:sz w:val="24"/>
        </w:rPr>
        <w:t>Apply the following guidance for negative interest rates:</w:t>
      </w:r>
    </w:p>
    <w:p w14:paraId="58824051" w14:textId="77777777" w:rsidR="00B54B27" w:rsidRPr="003404AF" w:rsidRDefault="00B54B27" w:rsidP="00B54B27">
      <w:pPr>
        <w:autoSpaceDE w:val="0"/>
        <w:autoSpaceDN w:val="0"/>
        <w:adjustRightInd w:val="0"/>
        <w:rPr>
          <w:rFonts w:ascii="Segoe UI" w:hAnsi="Segoe UI"/>
          <w:sz w:val="24"/>
        </w:rPr>
      </w:pPr>
      <w:r w:rsidRPr="003404AF">
        <w:rPr>
          <w:rFonts w:ascii="Segoe UI" w:hAnsi="Segoe UI"/>
          <w:sz w:val="24"/>
        </w:rPr>
        <w:t>a) Maturities less than 20 years could experience negative interest rates</w:t>
      </w:r>
    </w:p>
    <w:p w14:paraId="17EA40B7" w14:textId="77777777" w:rsidR="00B54B27" w:rsidRPr="003404AF" w:rsidRDefault="00B54B27" w:rsidP="00B54B27">
      <w:pPr>
        <w:autoSpaceDE w:val="0"/>
        <w:autoSpaceDN w:val="0"/>
        <w:adjustRightInd w:val="0"/>
        <w:rPr>
          <w:rFonts w:ascii="Segoe UI" w:hAnsi="Segoe UI"/>
          <w:sz w:val="24"/>
        </w:rPr>
      </w:pPr>
      <w:r w:rsidRPr="003404AF">
        <w:rPr>
          <w:rFonts w:ascii="Segoe UI" w:hAnsi="Segoe UI"/>
          <w:sz w:val="24"/>
        </w:rPr>
        <w:t>b) Interest rates may remain negative for multi-year time periods</w:t>
      </w:r>
    </w:p>
    <w:p w14:paraId="10C1656E" w14:textId="77777777" w:rsidR="00B54B27" w:rsidRPr="003404AF" w:rsidRDefault="00B54B27" w:rsidP="00B54B27">
      <w:pPr>
        <w:autoSpaceDE w:val="0"/>
        <w:autoSpaceDN w:val="0"/>
        <w:adjustRightInd w:val="0"/>
        <w:rPr>
          <w:rFonts w:ascii="Segoe UI" w:hAnsi="Segoe UI"/>
          <w:sz w:val="24"/>
        </w:rPr>
      </w:pPr>
      <w:r w:rsidRPr="003404AF">
        <w:rPr>
          <w:rFonts w:ascii="Segoe UI" w:hAnsi="Segoe UI"/>
          <w:sz w:val="24"/>
        </w:rPr>
        <w:t>c) 1Y rates should not be lower than -1.0%</w:t>
      </w:r>
    </w:p>
    <w:p w14:paraId="665CE23C" w14:textId="77777777" w:rsidR="00B54B27" w:rsidRPr="003404AF" w:rsidRDefault="00B54B27" w:rsidP="00B54B27">
      <w:pPr>
        <w:autoSpaceDE w:val="0"/>
        <w:autoSpaceDN w:val="0"/>
        <w:adjustRightInd w:val="0"/>
        <w:rPr>
          <w:rFonts w:ascii="Segoe UI" w:hAnsi="Segoe UI"/>
          <w:sz w:val="24"/>
        </w:rPr>
      </w:pPr>
      <w:r w:rsidRPr="003404AF">
        <w:rPr>
          <w:rFonts w:ascii="Segoe UI" w:hAnsi="Segoe UI"/>
          <w:sz w:val="24"/>
        </w:rPr>
        <w:t>d) 20Y rates should not be lower than 0.0%</w:t>
      </w:r>
    </w:p>
    <w:p w14:paraId="145FF742" w14:textId="77777777" w:rsidR="00B54B27" w:rsidRPr="003404AF" w:rsidRDefault="00B54B27" w:rsidP="00B54B27">
      <w:pPr>
        <w:rPr>
          <w:rFonts w:ascii="Segoe UI" w:hAnsi="Segoe UI"/>
          <w:sz w:val="24"/>
        </w:rPr>
      </w:pPr>
    </w:p>
    <w:p w14:paraId="409D6230" w14:textId="12962D9E" w:rsidR="00B54B27" w:rsidRPr="003404AF" w:rsidRDefault="00BD436A" w:rsidP="00B54B27">
      <w:pPr>
        <w:rPr>
          <w:rFonts w:ascii="Segoe UI" w:hAnsi="Segoe UI"/>
          <w:sz w:val="24"/>
        </w:rPr>
      </w:pPr>
      <w:r w:rsidRPr="003404AF">
        <w:rPr>
          <w:rFonts w:ascii="Segoe UI" w:hAnsi="Segoe UI"/>
          <w:sz w:val="24"/>
        </w:rPr>
        <w:t>E</w:t>
      </w:r>
      <w:r w:rsidR="00B54B27" w:rsidRPr="003404AF">
        <w:rPr>
          <w:rFonts w:ascii="Segoe UI" w:hAnsi="Segoe UI"/>
          <w:sz w:val="24"/>
        </w:rPr>
        <w:t xml:space="preserve">valuation </w:t>
      </w:r>
      <w:r w:rsidRPr="003404AF">
        <w:rPr>
          <w:rFonts w:ascii="Segoe UI" w:hAnsi="Segoe UI"/>
          <w:sz w:val="24"/>
        </w:rPr>
        <w:t>statistics</w:t>
      </w:r>
      <w:r w:rsidR="00B54B27" w:rsidRPr="003404AF">
        <w:rPr>
          <w:rFonts w:ascii="Segoe UI" w:hAnsi="Segoe UI"/>
          <w:sz w:val="24"/>
        </w:rPr>
        <w:t xml:space="preserve"> T2.E:</w:t>
      </w:r>
    </w:p>
    <w:p w14:paraId="70CCA2A7" w14:textId="77777777" w:rsidR="00B54B27" w:rsidRPr="003404AF" w:rsidRDefault="00B54B27" w:rsidP="00B54B27">
      <w:pPr>
        <w:autoSpaceDE w:val="0"/>
        <w:autoSpaceDN w:val="0"/>
        <w:adjustRightInd w:val="0"/>
        <w:rPr>
          <w:rFonts w:ascii="Segoe UI" w:hAnsi="Segoe UI"/>
          <w:sz w:val="24"/>
        </w:rPr>
      </w:pPr>
      <w:r w:rsidRPr="003404AF">
        <w:rPr>
          <w:rFonts w:ascii="Segoe UI" w:hAnsi="Segoe UI"/>
          <w:sz w:val="24"/>
        </w:rPr>
        <w:t>e) Frequency of low rates:</w:t>
      </w:r>
    </w:p>
    <w:p w14:paraId="7588CAFD" w14:textId="3EE4877E" w:rsidR="00B54B27" w:rsidRPr="003404AF" w:rsidRDefault="00B54B27" w:rsidP="00B54B27">
      <w:pPr>
        <w:autoSpaceDE w:val="0"/>
        <w:autoSpaceDN w:val="0"/>
        <w:adjustRightInd w:val="0"/>
        <w:rPr>
          <w:rFonts w:ascii="Segoe UI" w:hAnsi="Segoe UI"/>
          <w:sz w:val="24"/>
        </w:rPr>
      </w:pPr>
      <w:r w:rsidRPr="003404AF">
        <w:rPr>
          <w:rFonts w:ascii="Segoe UI" w:hAnsi="Segoe UI"/>
          <w:sz w:val="24"/>
        </w:rPr>
        <w:t xml:space="preserve">i. </w:t>
      </w:r>
      <w:r w:rsidR="00E74CEB" w:rsidRPr="003404AF">
        <w:rPr>
          <w:rFonts w:ascii="Segoe UI" w:hAnsi="Segoe UI"/>
          <w:sz w:val="24"/>
        </w:rPr>
        <w:t>Review the frequency of negative rates</w:t>
      </w:r>
      <w:r w:rsidRPr="003404AF">
        <w:rPr>
          <w:rFonts w:ascii="Segoe UI" w:hAnsi="Segoe UI"/>
          <w:sz w:val="24"/>
        </w:rPr>
        <w:t xml:space="preserve"> for 1Y </w:t>
      </w:r>
      <w:proofErr w:type="gramStart"/>
      <w:r w:rsidRPr="003404AF">
        <w:rPr>
          <w:rFonts w:ascii="Segoe UI" w:hAnsi="Segoe UI"/>
          <w:sz w:val="24"/>
        </w:rPr>
        <w:t>rate</w:t>
      </w:r>
      <w:proofErr w:type="gramEnd"/>
    </w:p>
    <w:p w14:paraId="1BE04286" w14:textId="1F2EEF8E" w:rsidR="00B54B27" w:rsidRPr="003404AF" w:rsidRDefault="00B54B27" w:rsidP="00B54B27">
      <w:pPr>
        <w:autoSpaceDE w:val="0"/>
        <w:autoSpaceDN w:val="0"/>
        <w:adjustRightInd w:val="0"/>
        <w:rPr>
          <w:rFonts w:ascii="Segoe UI" w:hAnsi="Segoe UI"/>
          <w:sz w:val="24"/>
        </w:rPr>
      </w:pPr>
      <w:r w:rsidRPr="003404AF">
        <w:rPr>
          <w:rFonts w:ascii="Segoe UI" w:hAnsi="Segoe UI"/>
          <w:sz w:val="24"/>
        </w:rPr>
        <w:t xml:space="preserve">ii. </w:t>
      </w:r>
      <w:r w:rsidR="00E74CEB" w:rsidRPr="003404AF">
        <w:rPr>
          <w:rFonts w:ascii="Segoe UI" w:hAnsi="Segoe UI"/>
          <w:sz w:val="24"/>
        </w:rPr>
        <w:t xml:space="preserve">Review the frequency of negative rates and rates below 1% </w:t>
      </w:r>
      <w:r w:rsidRPr="003404AF">
        <w:rPr>
          <w:rFonts w:ascii="Segoe UI" w:hAnsi="Segoe UI"/>
          <w:sz w:val="24"/>
        </w:rPr>
        <w:t>for 20Y rate</w:t>
      </w:r>
    </w:p>
    <w:p w14:paraId="0564D6D7" w14:textId="77777777" w:rsidR="00B54B27" w:rsidRPr="003404AF" w:rsidRDefault="00B54B27" w:rsidP="00B54B27">
      <w:pPr>
        <w:autoSpaceDE w:val="0"/>
        <w:autoSpaceDN w:val="0"/>
        <w:adjustRightInd w:val="0"/>
        <w:rPr>
          <w:rFonts w:ascii="Segoe UI" w:hAnsi="Segoe UI"/>
          <w:sz w:val="24"/>
        </w:rPr>
      </w:pPr>
      <w:r w:rsidRPr="003404AF">
        <w:rPr>
          <w:rFonts w:ascii="Segoe UI" w:hAnsi="Segoe UI"/>
          <w:sz w:val="24"/>
        </w:rPr>
        <w:t>f) Review Maximum sojourn length for low interest rates (&lt; 0%)</w:t>
      </w:r>
    </w:p>
    <w:p w14:paraId="784C6458" w14:textId="77777777" w:rsidR="003404AF" w:rsidRPr="003404AF" w:rsidRDefault="003404AF" w:rsidP="003404AF">
      <w:pPr>
        <w:autoSpaceDE w:val="0"/>
        <w:autoSpaceDN w:val="0"/>
        <w:adjustRightInd w:val="0"/>
        <w:rPr>
          <w:rFonts w:ascii="Segoe UI" w:hAnsi="Segoe UI"/>
          <w:sz w:val="24"/>
        </w:rPr>
      </w:pPr>
    </w:p>
    <w:p w14:paraId="2A4960E3" w14:textId="7B27FA55" w:rsidR="00B54B27" w:rsidRPr="003404AF" w:rsidRDefault="00BD436A" w:rsidP="00B54B27">
      <w:pPr>
        <w:rPr>
          <w:rFonts w:ascii="Segoe UI" w:hAnsi="Segoe UI"/>
          <w:sz w:val="24"/>
        </w:rPr>
      </w:pPr>
      <w:r w:rsidRPr="003404AF">
        <w:rPr>
          <w:rFonts w:ascii="Segoe UI" w:hAnsi="Segoe UI"/>
          <w:sz w:val="24"/>
        </w:rPr>
        <w:t>T</w:t>
      </w:r>
      <w:r w:rsidR="00B54B27" w:rsidRPr="003404AF">
        <w:rPr>
          <w:rFonts w:ascii="Segoe UI" w:hAnsi="Segoe UI"/>
          <w:sz w:val="24"/>
        </w:rPr>
        <w:t>argeting criteria T3.T:</w:t>
      </w:r>
    </w:p>
    <w:p w14:paraId="5C16A739" w14:textId="77777777" w:rsidR="00B54B27" w:rsidRPr="003404AF" w:rsidRDefault="00B54B27" w:rsidP="00B54B27">
      <w:pPr>
        <w:rPr>
          <w:rFonts w:ascii="Segoe UI" w:hAnsi="Segoe UI"/>
          <w:sz w:val="24"/>
        </w:rPr>
      </w:pPr>
      <w:r w:rsidRPr="003404AF">
        <w:rPr>
          <w:rFonts w:ascii="Segoe UI" w:hAnsi="Segoe UI"/>
          <w:sz w:val="24"/>
        </w:rPr>
        <w:t>a) Review initial actual vs. fitted spot curve differences for a sampling of 5 dates representing different shapes and rate levels for the entire curve and review fitted curves qualitatively to confirm they stylistically mimic the different actual yield curve shapes</w:t>
      </w:r>
    </w:p>
    <w:p w14:paraId="6C1A2FD6" w14:textId="77777777" w:rsidR="00B54B27" w:rsidRPr="003404AF" w:rsidRDefault="00B54B27" w:rsidP="00B54B27">
      <w:pPr>
        <w:rPr>
          <w:rFonts w:ascii="Segoe UI" w:hAnsi="Segoe UI"/>
          <w:sz w:val="24"/>
        </w:rPr>
      </w:pPr>
      <w:r w:rsidRPr="003404AF">
        <w:rPr>
          <w:rFonts w:ascii="Segoe UI" w:hAnsi="Segoe UI"/>
          <w:sz w:val="24"/>
        </w:rPr>
        <w:t>b) The frequency of different yield curve shapes in early durations should be reasonable considering the shape of the starting yield curve (e.g., a flatter yield curve leads to more</w:t>
      </w:r>
    </w:p>
    <w:p w14:paraId="43AA27CB" w14:textId="77777777" w:rsidR="00B54B27" w:rsidRPr="003404AF" w:rsidRDefault="00B54B27" w:rsidP="00B54B27">
      <w:pPr>
        <w:rPr>
          <w:rFonts w:ascii="Segoe UI" w:hAnsi="Segoe UI"/>
          <w:sz w:val="24"/>
        </w:rPr>
      </w:pPr>
      <w:r w:rsidRPr="003404AF">
        <w:rPr>
          <w:rFonts w:ascii="Segoe UI" w:hAnsi="Segoe UI"/>
          <w:sz w:val="24"/>
        </w:rPr>
        <w:t>inversions).</w:t>
      </w:r>
    </w:p>
    <w:p w14:paraId="71C564BE" w14:textId="77777777" w:rsidR="00B54B27" w:rsidRPr="003404AF" w:rsidRDefault="00B54B27" w:rsidP="00B54B27">
      <w:pPr>
        <w:rPr>
          <w:rFonts w:ascii="Segoe UI" w:hAnsi="Segoe UI"/>
          <w:sz w:val="24"/>
        </w:rPr>
      </w:pPr>
      <w:r w:rsidRPr="003404AF">
        <w:rPr>
          <w:rFonts w:ascii="Segoe UI" w:hAnsi="Segoe UI"/>
          <w:sz w:val="24"/>
        </w:rPr>
        <w:t>c) The steady state curve has normal shape (not inverted for short maturities, longer vs shorter maturities, or between long maturities)</w:t>
      </w:r>
    </w:p>
    <w:p w14:paraId="3CB6D099" w14:textId="77777777" w:rsidR="00B54B27" w:rsidRPr="003404AF" w:rsidRDefault="00B54B27" w:rsidP="00B54B27">
      <w:pPr>
        <w:rPr>
          <w:rFonts w:ascii="Segoe UI" w:hAnsi="Segoe UI"/>
          <w:sz w:val="24"/>
        </w:rPr>
      </w:pPr>
    </w:p>
    <w:p w14:paraId="4C6D55EC" w14:textId="3119889A" w:rsidR="00B54B27" w:rsidRPr="003404AF" w:rsidRDefault="00BD436A" w:rsidP="00B54B27">
      <w:pPr>
        <w:rPr>
          <w:rFonts w:ascii="Segoe UI" w:hAnsi="Segoe UI"/>
          <w:sz w:val="24"/>
        </w:rPr>
      </w:pPr>
      <w:r w:rsidRPr="003404AF">
        <w:rPr>
          <w:rFonts w:ascii="Segoe UI" w:hAnsi="Segoe UI"/>
          <w:sz w:val="24"/>
        </w:rPr>
        <w:t>E</w:t>
      </w:r>
      <w:r w:rsidR="00B54B27" w:rsidRPr="003404AF">
        <w:rPr>
          <w:rFonts w:ascii="Segoe UI" w:hAnsi="Segoe UI"/>
          <w:sz w:val="24"/>
        </w:rPr>
        <w:t xml:space="preserve">valuation </w:t>
      </w:r>
      <w:r w:rsidRPr="003404AF">
        <w:rPr>
          <w:rFonts w:ascii="Segoe UI" w:hAnsi="Segoe UI"/>
          <w:sz w:val="24"/>
        </w:rPr>
        <w:t>statistics</w:t>
      </w:r>
      <w:r w:rsidR="00B54B27" w:rsidRPr="003404AF">
        <w:rPr>
          <w:rFonts w:ascii="Segoe UI" w:hAnsi="Segoe UI"/>
          <w:sz w:val="24"/>
        </w:rPr>
        <w:t xml:space="preserve"> T3.E:</w:t>
      </w:r>
    </w:p>
    <w:p w14:paraId="19861E7F" w14:textId="28193AEB" w:rsidR="00B54B27" w:rsidRPr="003404AF" w:rsidRDefault="00B54B27" w:rsidP="00B54B27">
      <w:pPr>
        <w:autoSpaceDE w:val="0"/>
        <w:autoSpaceDN w:val="0"/>
        <w:adjustRightInd w:val="0"/>
        <w:rPr>
          <w:rFonts w:ascii="Segoe UI" w:hAnsi="Segoe UI"/>
          <w:sz w:val="24"/>
        </w:rPr>
      </w:pPr>
      <w:r w:rsidRPr="003404AF">
        <w:rPr>
          <w:rFonts w:ascii="Segoe UI" w:hAnsi="Segoe UI"/>
          <w:sz w:val="24"/>
        </w:rPr>
        <w:lastRenderedPageBreak/>
        <w:t>d) Review upper and lower bound for 20Y-1Y in low, moderate, and high interest rate environments.  Compare to historica</w:t>
      </w:r>
      <w:r w:rsidR="003404AF">
        <w:rPr>
          <w:rFonts w:ascii="Segoe UI" w:hAnsi="Segoe UI"/>
          <w:sz w:val="24"/>
        </w:rPr>
        <w:t>l</w:t>
      </w:r>
      <w:r w:rsidRPr="003404AF">
        <w:rPr>
          <w:rFonts w:ascii="Segoe UI" w:hAnsi="Segoe UI"/>
          <w:sz w:val="24"/>
        </w:rPr>
        <w:t>.</w:t>
      </w:r>
    </w:p>
    <w:p w14:paraId="560501BC" w14:textId="02162F1A" w:rsidR="00B54B27" w:rsidRPr="003404AF" w:rsidRDefault="00B54B27" w:rsidP="00146D5A">
      <w:pPr>
        <w:autoSpaceDE w:val="0"/>
        <w:autoSpaceDN w:val="0"/>
        <w:adjustRightInd w:val="0"/>
        <w:rPr>
          <w:rFonts w:ascii="Segoe UI" w:hAnsi="Segoe UI"/>
          <w:sz w:val="24"/>
        </w:rPr>
      </w:pPr>
      <w:r w:rsidRPr="003404AF">
        <w:rPr>
          <w:rFonts w:ascii="Segoe UI" w:hAnsi="Segoe UI"/>
          <w:sz w:val="24"/>
        </w:rPr>
        <w:t>e) Review worse-than-history frequencies for 20Y-1Y in low, moderate, and high interest rate environments.  Compare to historical.</w:t>
      </w:r>
    </w:p>
    <w:p w14:paraId="4FA18272" w14:textId="77777777" w:rsidR="003404AF" w:rsidRPr="003404AF" w:rsidRDefault="003404AF" w:rsidP="00146D5A">
      <w:pPr>
        <w:autoSpaceDE w:val="0"/>
        <w:autoSpaceDN w:val="0"/>
        <w:adjustRightInd w:val="0"/>
        <w:rPr>
          <w:rFonts w:asciiTheme="majorHAnsi" w:eastAsiaTheme="majorEastAsia" w:hAnsiTheme="majorHAnsi" w:cstheme="majorBidi"/>
          <w:sz w:val="26"/>
          <w:szCs w:val="26"/>
        </w:rPr>
      </w:pPr>
    </w:p>
    <w:p w14:paraId="7AD6FAAC" w14:textId="041588B0" w:rsidR="00B54B27" w:rsidRPr="003404AF" w:rsidRDefault="00BD436A" w:rsidP="00B54B27">
      <w:pPr>
        <w:rPr>
          <w:rFonts w:ascii="Segoe UI" w:hAnsi="Segoe UI"/>
          <w:sz w:val="24"/>
        </w:rPr>
      </w:pPr>
      <w:r w:rsidRPr="003404AF">
        <w:rPr>
          <w:rFonts w:ascii="Segoe UI" w:hAnsi="Segoe UI"/>
          <w:sz w:val="24"/>
        </w:rPr>
        <w:t>T</w:t>
      </w:r>
      <w:r w:rsidR="00B54B27" w:rsidRPr="003404AF">
        <w:rPr>
          <w:rFonts w:ascii="Segoe UI" w:hAnsi="Segoe UI"/>
          <w:sz w:val="24"/>
        </w:rPr>
        <w:t>argeting criteria T4.T:</w:t>
      </w:r>
    </w:p>
    <w:p w14:paraId="245B850F" w14:textId="60B1FCC8" w:rsidR="00B54B27" w:rsidRPr="003404AF" w:rsidRDefault="00B54B27" w:rsidP="00B54B27">
      <w:pPr>
        <w:rPr>
          <w:rFonts w:ascii="Segoe UI" w:hAnsi="Segoe UI"/>
          <w:b/>
          <w:bCs/>
          <w:sz w:val="24"/>
        </w:rPr>
      </w:pPr>
      <w:bookmarkStart w:id="0" w:name="_Hlk153538775"/>
      <w:r w:rsidRPr="003404AF">
        <w:rPr>
          <w:rFonts w:ascii="Segoe UI" w:hAnsi="Segoe UI"/>
          <w:sz w:val="24"/>
        </w:rPr>
        <w:t xml:space="preserve">a) At least </w:t>
      </w:r>
      <w:r w:rsidR="00BD436A" w:rsidRPr="003404AF">
        <w:rPr>
          <w:rFonts w:ascii="Segoe UI" w:hAnsi="Segoe UI"/>
          <w:sz w:val="24"/>
        </w:rPr>
        <w:t>7.5</w:t>
      </w:r>
      <w:r w:rsidRPr="003404AF">
        <w:rPr>
          <w:rFonts w:ascii="Segoe UI" w:hAnsi="Segoe UI"/>
          <w:sz w:val="24"/>
        </w:rPr>
        <w:t xml:space="preserve">% of scenarios need a 10-year geometric average of the 20-year UST below </w:t>
      </w:r>
      <w:r w:rsidRPr="003404AF">
        <w:rPr>
          <w:rFonts w:ascii="Segoe UI" w:hAnsi="Segoe UI"/>
          <w:b/>
          <w:bCs/>
          <w:sz w:val="24"/>
        </w:rPr>
        <w:t>1.45%</w:t>
      </w:r>
    </w:p>
    <w:p w14:paraId="660C4B91" w14:textId="7DA0BA00" w:rsidR="00B54B27" w:rsidRPr="003404AF" w:rsidRDefault="00B54B27" w:rsidP="00B54B27">
      <w:pPr>
        <w:rPr>
          <w:rFonts w:ascii="Segoe UI" w:hAnsi="Segoe UI"/>
          <w:b/>
          <w:bCs/>
          <w:sz w:val="24"/>
        </w:rPr>
      </w:pPr>
      <w:r w:rsidRPr="003404AF">
        <w:rPr>
          <w:rFonts w:ascii="Segoe UI" w:hAnsi="Segoe UI"/>
          <w:sz w:val="24"/>
        </w:rPr>
        <w:t xml:space="preserve">b) At least </w:t>
      </w:r>
      <w:r w:rsidR="00BD436A" w:rsidRPr="003404AF">
        <w:rPr>
          <w:rFonts w:ascii="Segoe UI" w:hAnsi="Segoe UI"/>
          <w:sz w:val="24"/>
        </w:rPr>
        <w:t>3.75</w:t>
      </w:r>
      <w:r w:rsidRPr="003404AF">
        <w:rPr>
          <w:rFonts w:ascii="Segoe UI" w:hAnsi="Segoe UI"/>
          <w:sz w:val="24"/>
        </w:rPr>
        <w:t xml:space="preserve">% of scenarios need a 30-year geometric average of the 20-year UST below </w:t>
      </w:r>
      <w:r w:rsidRPr="003404AF">
        <w:rPr>
          <w:rFonts w:ascii="Segoe UI" w:hAnsi="Segoe UI"/>
          <w:b/>
          <w:bCs/>
          <w:sz w:val="24"/>
        </w:rPr>
        <w:t>1.95%</w:t>
      </w:r>
    </w:p>
    <w:p w14:paraId="79984825" w14:textId="1893E1C5" w:rsidR="00B54B27" w:rsidRPr="003404AF" w:rsidRDefault="00B54B27" w:rsidP="003404AF">
      <w:pPr>
        <w:rPr>
          <w:rFonts w:ascii="Segoe UI" w:hAnsi="Segoe UI"/>
          <w:sz w:val="24"/>
        </w:rPr>
      </w:pPr>
      <w:r w:rsidRPr="003404AF">
        <w:rPr>
          <w:rFonts w:ascii="Segoe UI" w:hAnsi="Segoe UI"/>
          <w:sz w:val="24"/>
        </w:rPr>
        <w:t xml:space="preserve">Note: As part of the model acceptance process, a given calibration of the GOES will be tested at multiple starting dates. </w:t>
      </w:r>
      <w:proofErr w:type="gramStart"/>
      <w:r w:rsidRPr="003404AF">
        <w:rPr>
          <w:rFonts w:ascii="Segoe UI" w:hAnsi="Segoe UI"/>
          <w:sz w:val="24"/>
        </w:rPr>
        <w:t>This criteria</w:t>
      </w:r>
      <w:proofErr w:type="gramEnd"/>
      <w:r w:rsidRPr="003404AF">
        <w:rPr>
          <w:rFonts w:ascii="Segoe UI" w:hAnsi="Segoe UI"/>
          <w:sz w:val="24"/>
        </w:rPr>
        <w:t xml:space="preserve"> is relevant for the 12/31/20 starting yield curve.</w:t>
      </w:r>
      <w:bookmarkEnd w:id="0"/>
    </w:p>
    <w:p w14:paraId="21291D3F" w14:textId="77777777" w:rsidR="003404AF" w:rsidRPr="003404AF" w:rsidRDefault="003404AF" w:rsidP="003404AF">
      <w:pPr>
        <w:rPr>
          <w:rFonts w:ascii="Segoe UI" w:hAnsi="Segoe UI"/>
          <w:sz w:val="24"/>
        </w:rPr>
      </w:pPr>
    </w:p>
    <w:p w14:paraId="709ABB4F" w14:textId="690E757B" w:rsidR="00B54B27" w:rsidRPr="003404AF" w:rsidRDefault="003404AF" w:rsidP="00B54B27">
      <w:pPr>
        <w:rPr>
          <w:rFonts w:ascii="Segoe UI" w:hAnsi="Segoe UI"/>
          <w:sz w:val="24"/>
        </w:rPr>
      </w:pPr>
      <w:r w:rsidRPr="003404AF">
        <w:rPr>
          <w:rFonts w:ascii="Segoe UI" w:hAnsi="Segoe UI"/>
          <w:sz w:val="24"/>
        </w:rPr>
        <w:t>T</w:t>
      </w:r>
      <w:r w:rsidR="00B54B27" w:rsidRPr="003404AF">
        <w:rPr>
          <w:rFonts w:ascii="Segoe UI" w:hAnsi="Segoe UI"/>
          <w:sz w:val="24"/>
        </w:rPr>
        <w:t>argeting criteria T5.T:</w:t>
      </w:r>
    </w:p>
    <w:p w14:paraId="1E90AC69" w14:textId="77777777" w:rsidR="007F2779" w:rsidRPr="003404AF" w:rsidRDefault="007F2779" w:rsidP="00B54B27">
      <w:pPr>
        <w:rPr>
          <w:rFonts w:ascii="Segoe UI" w:hAnsi="Segoe UI"/>
          <w:sz w:val="24"/>
        </w:rPr>
      </w:pPr>
    </w:p>
    <w:p w14:paraId="7B10AC93" w14:textId="77777777" w:rsidR="00B54B27" w:rsidRPr="003404AF" w:rsidRDefault="00B54B27" w:rsidP="00B54B27">
      <w:pPr>
        <w:rPr>
          <w:rFonts w:ascii="Segoe UI" w:hAnsi="Segoe UI"/>
          <w:sz w:val="24"/>
        </w:rPr>
      </w:pPr>
      <w:r w:rsidRPr="003404AF">
        <w:rPr>
          <w:rFonts w:ascii="Segoe UI" w:hAnsi="Segoe UI"/>
          <w:sz w:val="24"/>
        </w:rPr>
        <w:t>a) For each scenario, calculate the geometric average of the [20-year] UST yield over the first [10] and [30] years of the projection.</w:t>
      </w:r>
    </w:p>
    <w:p w14:paraId="49B96C60" w14:textId="77777777" w:rsidR="00B54B27" w:rsidRPr="003404AF" w:rsidRDefault="00B54B27" w:rsidP="00B54B27">
      <w:pPr>
        <w:rPr>
          <w:rFonts w:ascii="Segoe UI" w:hAnsi="Segoe UI"/>
          <w:sz w:val="24"/>
        </w:rPr>
      </w:pPr>
      <w:r w:rsidRPr="003404AF">
        <w:rPr>
          <w:rFonts w:ascii="Segoe UI" w:hAnsi="Segoe UI"/>
          <w:sz w:val="24"/>
        </w:rPr>
        <w:t>b) Calculate the [1st] and [99th] percentiles of the distribution of geometric average rates (for both the 10 and 30-year horizons).</w:t>
      </w:r>
    </w:p>
    <w:p w14:paraId="0B8AA04D" w14:textId="18B8ABF3" w:rsidR="003224B9" w:rsidRDefault="00B54B27" w:rsidP="00B54B27">
      <w:pPr>
        <w:rPr>
          <w:rFonts w:ascii="Segoe UI" w:hAnsi="Segoe UI"/>
          <w:sz w:val="24"/>
        </w:rPr>
      </w:pPr>
      <w:r w:rsidRPr="003404AF">
        <w:rPr>
          <w:rFonts w:ascii="Segoe UI" w:hAnsi="Segoe UI"/>
          <w:sz w:val="24"/>
        </w:rPr>
        <w:t>c) Look up criteria based on the starting level of the 20-year UST yield (</w:t>
      </w:r>
      <w:proofErr w:type="gramStart"/>
      <w:r w:rsidRPr="003404AF">
        <w:rPr>
          <w:rFonts w:ascii="Segoe UI" w:hAnsi="Segoe UI"/>
          <w:sz w:val="24"/>
        </w:rPr>
        <w:t>interpolate</w:t>
      </w:r>
      <w:proofErr w:type="gramEnd"/>
      <w:r w:rsidRPr="003404AF">
        <w:rPr>
          <w:rFonts w:ascii="Segoe UI" w:hAnsi="Segoe UI"/>
          <w:sz w:val="24"/>
        </w:rPr>
        <w:t xml:space="preserve"> if necessary).</w:t>
      </w:r>
    </w:p>
    <w:p w14:paraId="19B2139E" w14:textId="77777777" w:rsidR="003224B9" w:rsidRPr="003404AF" w:rsidRDefault="003224B9" w:rsidP="00B54B27">
      <w:pPr>
        <w:rPr>
          <w:rFonts w:ascii="Segoe UI" w:hAnsi="Segoe UI"/>
          <w:sz w:val="24"/>
        </w:rPr>
      </w:pPr>
    </w:p>
    <w:tbl>
      <w:tblPr>
        <w:tblW w:w="9538" w:type="dxa"/>
        <w:tblInd w:w="-5" w:type="dxa"/>
        <w:tblCellMar>
          <w:left w:w="0" w:type="dxa"/>
          <w:right w:w="0" w:type="dxa"/>
        </w:tblCellMar>
        <w:tblLook w:val="0600" w:firstRow="0" w:lastRow="0" w:firstColumn="0" w:lastColumn="0" w:noHBand="1" w:noVBand="1"/>
      </w:tblPr>
      <w:tblGrid>
        <w:gridCol w:w="1494"/>
        <w:gridCol w:w="2011"/>
        <w:gridCol w:w="2011"/>
        <w:gridCol w:w="2011"/>
        <w:gridCol w:w="2011"/>
      </w:tblGrid>
      <w:tr w:rsidR="006A7B6B" w:rsidRPr="006A7B6B" w14:paraId="7A129D34" w14:textId="77777777" w:rsidTr="003224B9">
        <w:trPr>
          <w:trHeight w:val="316"/>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811FB89" w14:textId="77777777" w:rsidR="006A7B6B" w:rsidRPr="006A7B6B" w:rsidRDefault="006A7B6B" w:rsidP="006A7B6B">
            <w:pPr>
              <w:rPr>
                <w:rFonts w:ascii="Segoe UI" w:hAnsi="Segoe UI"/>
                <w:sz w:val="24"/>
              </w:rPr>
            </w:pPr>
            <w:r w:rsidRPr="006A7B6B">
              <w:rPr>
                <w:rFonts w:ascii="Segoe UI" w:hAnsi="Segoe UI"/>
                <w:sz w:val="24"/>
              </w:rPr>
              <w:t>Starting Yield of 20Y UST</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4EB9913" w14:textId="497DCBFB" w:rsidR="006A7B6B" w:rsidRPr="006A7B6B" w:rsidRDefault="006A7B6B" w:rsidP="006A7B6B">
            <w:pPr>
              <w:rPr>
                <w:rFonts w:ascii="Segoe UI" w:hAnsi="Segoe UI"/>
                <w:sz w:val="24"/>
              </w:rPr>
            </w:pPr>
            <w:r>
              <w:rPr>
                <w:rFonts w:ascii="Segoe UI" w:hAnsi="Segoe UI"/>
                <w:b/>
                <w:bCs/>
                <w:i/>
                <w:iCs/>
                <w:sz w:val="24"/>
              </w:rPr>
              <w:t>10Y, 1</w:t>
            </w:r>
            <w:r w:rsidRPr="006A7B6B">
              <w:rPr>
                <w:rFonts w:ascii="Segoe UI" w:hAnsi="Segoe UI"/>
                <w:b/>
                <w:bCs/>
                <w:i/>
                <w:iCs/>
                <w:sz w:val="24"/>
                <w:vertAlign w:val="superscript"/>
              </w:rPr>
              <w:t>st</w:t>
            </w:r>
            <w:r>
              <w:rPr>
                <w:rFonts w:ascii="Segoe UI" w:hAnsi="Segoe UI"/>
                <w:b/>
                <w:bCs/>
                <w:i/>
                <w:iCs/>
                <w:sz w:val="24"/>
              </w:rPr>
              <w:t xml:space="preserve"> Percentile</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A050100" w14:textId="2790401B" w:rsidR="006A7B6B" w:rsidRPr="006A7B6B" w:rsidRDefault="006A7B6B" w:rsidP="006A7B6B">
            <w:pPr>
              <w:rPr>
                <w:rFonts w:ascii="Segoe UI" w:hAnsi="Segoe UI"/>
                <w:sz w:val="24"/>
              </w:rPr>
            </w:pPr>
            <w:r>
              <w:rPr>
                <w:rFonts w:ascii="Segoe UI" w:hAnsi="Segoe UI"/>
                <w:b/>
                <w:bCs/>
                <w:i/>
                <w:iCs/>
                <w:sz w:val="24"/>
              </w:rPr>
              <w:t>10Y, 99</w:t>
            </w:r>
            <w:r w:rsidRPr="006A7B6B">
              <w:rPr>
                <w:rFonts w:ascii="Segoe UI" w:hAnsi="Segoe UI"/>
                <w:b/>
                <w:bCs/>
                <w:i/>
                <w:iCs/>
                <w:sz w:val="24"/>
                <w:vertAlign w:val="superscript"/>
              </w:rPr>
              <w:t>th</w:t>
            </w:r>
            <w:r>
              <w:rPr>
                <w:rFonts w:ascii="Segoe UI" w:hAnsi="Segoe UI"/>
                <w:b/>
                <w:bCs/>
                <w:i/>
                <w:iCs/>
                <w:sz w:val="24"/>
              </w:rPr>
              <w:t xml:space="preserve"> Percentile</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A5332D5" w14:textId="6D0D8260" w:rsidR="006A7B6B" w:rsidRPr="006A7B6B" w:rsidRDefault="003224B9" w:rsidP="006A7B6B">
            <w:pPr>
              <w:rPr>
                <w:rFonts w:ascii="Segoe UI" w:hAnsi="Segoe UI"/>
                <w:sz w:val="24"/>
              </w:rPr>
            </w:pPr>
            <w:r>
              <w:rPr>
                <w:rFonts w:ascii="Segoe UI" w:hAnsi="Segoe UI"/>
                <w:b/>
                <w:bCs/>
                <w:i/>
                <w:iCs/>
                <w:sz w:val="24"/>
              </w:rPr>
              <w:t>30Y, 1</w:t>
            </w:r>
            <w:r w:rsidRPr="003224B9">
              <w:rPr>
                <w:rFonts w:ascii="Segoe UI" w:hAnsi="Segoe UI"/>
                <w:b/>
                <w:bCs/>
                <w:i/>
                <w:iCs/>
                <w:sz w:val="24"/>
                <w:vertAlign w:val="superscript"/>
              </w:rPr>
              <w:t>st</w:t>
            </w:r>
            <w:r>
              <w:rPr>
                <w:rFonts w:ascii="Segoe UI" w:hAnsi="Segoe UI"/>
                <w:b/>
                <w:bCs/>
                <w:i/>
                <w:iCs/>
                <w:sz w:val="24"/>
              </w:rPr>
              <w:t xml:space="preserve"> Percentile</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FCE22D2" w14:textId="5B0B1776" w:rsidR="006A7B6B" w:rsidRPr="006A7B6B" w:rsidRDefault="003224B9" w:rsidP="006A7B6B">
            <w:pPr>
              <w:rPr>
                <w:rFonts w:ascii="Segoe UI" w:hAnsi="Segoe UI"/>
                <w:sz w:val="24"/>
              </w:rPr>
            </w:pPr>
            <w:r>
              <w:rPr>
                <w:rFonts w:ascii="Segoe UI" w:hAnsi="Segoe UI"/>
                <w:b/>
                <w:bCs/>
                <w:i/>
                <w:iCs/>
                <w:sz w:val="24"/>
              </w:rPr>
              <w:t>30Y, 99</w:t>
            </w:r>
            <w:r w:rsidRPr="003224B9">
              <w:rPr>
                <w:rFonts w:ascii="Segoe UI" w:hAnsi="Segoe UI"/>
                <w:b/>
                <w:bCs/>
                <w:i/>
                <w:iCs/>
                <w:sz w:val="24"/>
                <w:vertAlign w:val="superscript"/>
              </w:rPr>
              <w:t>th</w:t>
            </w:r>
            <w:r>
              <w:rPr>
                <w:rFonts w:ascii="Segoe UI" w:hAnsi="Segoe UI"/>
                <w:b/>
                <w:bCs/>
                <w:i/>
                <w:iCs/>
                <w:sz w:val="24"/>
              </w:rPr>
              <w:t xml:space="preserve"> Percentile</w:t>
            </w:r>
          </w:p>
        </w:tc>
      </w:tr>
      <w:tr w:rsidR="006A7B6B" w:rsidRPr="006A7B6B" w14:paraId="6327EB1F" w14:textId="77777777" w:rsidTr="003224B9">
        <w:trPr>
          <w:trHeight w:val="316"/>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725D538" w14:textId="77777777" w:rsidR="006A7B6B" w:rsidRPr="006A7B6B" w:rsidRDefault="006A7B6B" w:rsidP="006A7B6B">
            <w:pPr>
              <w:rPr>
                <w:rFonts w:ascii="Segoe UI" w:hAnsi="Segoe UI"/>
                <w:sz w:val="24"/>
              </w:rPr>
            </w:pPr>
            <w:r w:rsidRPr="006A7B6B">
              <w:rPr>
                <w:rFonts w:ascii="Segoe UI" w:hAnsi="Segoe UI"/>
                <w:sz w:val="24"/>
              </w:rPr>
              <w:t>1%</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1718C9A" w14:textId="77777777" w:rsidR="006A7B6B" w:rsidRPr="006A7B6B" w:rsidRDefault="006A7B6B" w:rsidP="006A7B6B">
            <w:pPr>
              <w:rPr>
                <w:rFonts w:ascii="Segoe UI" w:hAnsi="Segoe UI"/>
                <w:sz w:val="24"/>
              </w:rPr>
            </w:pPr>
            <w:r w:rsidRPr="006A7B6B">
              <w:rPr>
                <w:rFonts w:ascii="Segoe UI" w:hAnsi="Segoe UI"/>
                <w:i/>
                <w:iCs/>
                <w:sz w:val="24"/>
              </w:rPr>
              <w:t>0.94%</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56AA6E4" w14:textId="77777777" w:rsidR="006A7B6B" w:rsidRPr="006A7B6B" w:rsidRDefault="006A7B6B" w:rsidP="006A7B6B">
            <w:pPr>
              <w:rPr>
                <w:rFonts w:ascii="Segoe UI" w:hAnsi="Segoe UI"/>
                <w:sz w:val="24"/>
              </w:rPr>
            </w:pPr>
            <w:r w:rsidRPr="006A7B6B">
              <w:rPr>
                <w:rFonts w:ascii="Segoe UI" w:hAnsi="Segoe UI"/>
                <w:i/>
                <w:iCs/>
                <w:sz w:val="24"/>
              </w:rPr>
              <w:t>3.43%</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EB2898F" w14:textId="77777777" w:rsidR="006A7B6B" w:rsidRPr="006A7B6B" w:rsidRDefault="006A7B6B" w:rsidP="006A7B6B">
            <w:pPr>
              <w:rPr>
                <w:rFonts w:ascii="Segoe UI" w:hAnsi="Segoe UI"/>
                <w:sz w:val="24"/>
              </w:rPr>
            </w:pPr>
            <w:r w:rsidRPr="006A7B6B">
              <w:rPr>
                <w:rFonts w:ascii="Segoe UI" w:hAnsi="Segoe UI"/>
                <w:i/>
                <w:iCs/>
                <w:sz w:val="24"/>
              </w:rPr>
              <w:t>1.50%</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C929D88" w14:textId="77777777" w:rsidR="006A7B6B" w:rsidRPr="006A7B6B" w:rsidRDefault="006A7B6B" w:rsidP="006A7B6B">
            <w:pPr>
              <w:rPr>
                <w:rFonts w:ascii="Segoe UI" w:hAnsi="Segoe UI"/>
                <w:sz w:val="24"/>
              </w:rPr>
            </w:pPr>
            <w:r w:rsidRPr="006A7B6B">
              <w:rPr>
                <w:rFonts w:ascii="Segoe UI" w:hAnsi="Segoe UI"/>
                <w:i/>
                <w:iCs/>
                <w:sz w:val="24"/>
              </w:rPr>
              <w:t>6.25%</w:t>
            </w:r>
          </w:p>
        </w:tc>
      </w:tr>
      <w:tr w:rsidR="006A7B6B" w:rsidRPr="006A7B6B" w14:paraId="5B3C2C02" w14:textId="77777777" w:rsidTr="003224B9">
        <w:trPr>
          <w:trHeight w:val="316"/>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D73E0BA" w14:textId="77777777" w:rsidR="006A7B6B" w:rsidRPr="006A7B6B" w:rsidRDefault="006A7B6B" w:rsidP="006A7B6B">
            <w:pPr>
              <w:rPr>
                <w:rFonts w:ascii="Segoe UI" w:hAnsi="Segoe UI"/>
                <w:sz w:val="24"/>
              </w:rPr>
            </w:pPr>
            <w:r w:rsidRPr="006A7B6B">
              <w:rPr>
                <w:rFonts w:ascii="Segoe UI" w:hAnsi="Segoe UI"/>
                <w:sz w:val="24"/>
              </w:rPr>
              <w:t>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180F898" w14:textId="77777777" w:rsidR="006A7B6B" w:rsidRPr="006A7B6B" w:rsidRDefault="006A7B6B" w:rsidP="006A7B6B">
            <w:pPr>
              <w:rPr>
                <w:rFonts w:ascii="Segoe UI" w:hAnsi="Segoe UI"/>
                <w:sz w:val="24"/>
              </w:rPr>
            </w:pPr>
            <w:r w:rsidRPr="006A7B6B">
              <w:rPr>
                <w:rFonts w:ascii="Segoe UI" w:hAnsi="Segoe UI"/>
                <w:i/>
                <w:iCs/>
                <w:sz w:val="24"/>
              </w:rPr>
              <w:t>1.23%</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9D1D934" w14:textId="77777777" w:rsidR="006A7B6B" w:rsidRPr="006A7B6B" w:rsidRDefault="006A7B6B" w:rsidP="006A7B6B">
            <w:pPr>
              <w:rPr>
                <w:rFonts w:ascii="Segoe UI" w:hAnsi="Segoe UI"/>
                <w:sz w:val="24"/>
              </w:rPr>
            </w:pPr>
            <w:r w:rsidRPr="006A7B6B">
              <w:rPr>
                <w:rFonts w:ascii="Segoe UI" w:hAnsi="Segoe UI"/>
                <w:i/>
                <w:iCs/>
                <w:sz w:val="24"/>
              </w:rPr>
              <w:t>5.05%</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E62D0CD" w14:textId="77777777" w:rsidR="006A7B6B" w:rsidRPr="006A7B6B" w:rsidRDefault="006A7B6B" w:rsidP="006A7B6B">
            <w:pPr>
              <w:rPr>
                <w:rFonts w:ascii="Segoe UI" w:hAnsi="Segoe UI"/>
                <w:sz w:val="24"/>
              </w:rPr>
            </w:pPr>
            <w:r w:rsidRPr="006A7B6B">
              <w:rPr>
                <w:rFonts w:ascii="Segoe UI" w:hAnsi="Segoe UI"/>
                <w:i/>
                <w:iCs/>
                <w:sz w:val="24"/>
              </w:rPr>
              <w:t>1.68%</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0200FD9" w14:textId="77777777" w:rsidR="006A7B6B" w:rsidRPr="006A7B6B" w:rsidRDefault="006A7B6B" w:rsidP="006A7B6B">
            <w:pPr>
              <w:rPr>
                <w:rFonts w:ascii="Segoe UI" w:hAnsi="Segoe UI"/>
                <w:sz w:val="24"/>
              </w:rPr>
            </w:pPr>
            <w:r w:rsidRPr="006A7B6B">
              <w:rPr>
                <w:rFonts w:ascii="Segoe UI" w:hAnsi="Segoe UI"/>
                <w:i/>
                <w:iCs/>
                <w:sz w:val="24"/>
              </w:rPr>
              <w:t>7.71%</w:t>
            </w:r>
          </w:p>
        </w:tc>
      </w:tr>
      <w:tr w:rsidR="006A7B6B" w:rsidRPr="006A7B6B" w14:paraId="7912C30B" w14:textId="77777777" w:rsidTr="003224B9">
        <w:trPr>
          <w:trHeight w:val="316"/>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E713CB8" w14:textId="77777777" w:rsidR="006A7B6B" w:rsidRPr="006A7B6B" w:rsidRDefault="006A7B6B" w:rsidP="006A7B6B">
            <w:pPr>
              <w:rPr>
                <w:rFonts w:ascii="Segoe UI" w:hAnsi="Segoe UI"/>
                <w:sz w:val="24"/>
              </w:rPr>
            </w:pPr>
            <w:r w:rsidRPr="006A7B6B">
              <w:rPr>
                <w:rFonts w:ascii="Segoe UI" w:hAnsi="Segoe UI"/>
                <w:sz w:val="24"/>
              </w:rPr>
              <w:t>3%</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9331936" w14:textId="77777777" w:rsidR="006A7B6B" w:rsidRPr="006A7B6B" w:rsidRDefault="006A7B6B" w:rsidP="006A7B6B">
            <w:pPr>
              <w:rPr>
                <w:rFonts w:ascii="Segoe UI" w:hAnsi="Segoe UI"/>
                <w:sz w:val="24"/>
              </w:rPr>
            </w:pPr>
            <w:r w:rsidRPr="006A7B6B">
              <w:rPr>
                <w:rFonts w:ascii="Segoe UI" w:hAnsi="Segoe UI"/>
                <w:i/>
                <w:iCs/>
                <w:sz w:val="24"/>
              </w:rPr>
              <w:t>1.62%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9F08732" w14:textId="77777777" w:rsidR="006A7B6B" w:rsidRPr="006A7B6B" w:rsidRDefault="006A7B6B" w:rsidP="006A7B6B">
            <w:pPr>
              <w:rPr>
                <w:rFonts w:ascii="Segoe UI" w:hAnsi="Segoe UI"/>
                <w:sz w:val="24"/>
              </w:rPr>
            </w:pPr>
            <w:r w:rsidRPr="006A7B6B">
              <w:rPr>
                <w:rFonts w:ascii="Segoe UI" w:hAnsi="Segoe UI"/>
                <w:i/>
                <w:iCs/>
                <w:sz w:val="24"/>
              </w:rPr>
              <w:t>6.55%</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472A796" w14:textId="77777777" w:rsidR="006A7B6B" w:rsidRPr="006A7B6B" w:rsidRDefault="006A7B6B" w:rsidP="006A7B6B">
            <w:pPr>
              <w:rPr>
                <w:rFonts w:ascii="Segoe UI" w:hAnsi="Segoe UI"/>
                <w:sz w:val="24"/>
              </w:rPr>
            </w:pPr>
            <w:r w:rsidRPr="006A7B6B">
              <w:rPr>
                <w:rFonts w:ascii="Segoe UI" w:hAnsi="Segoe UI"/>
                <w:i/>
                <w:iCs/>
                <w:sz w:val="24"/>
              </w:rPr>
              <w:t>1.86%</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8C1809C" w14:textId="77777777" w:rsidR="006A7B6B" w:rsidRPr="006A7B6B" w:rsidRDefault="006A7B6B" w:rsidP="006A7B6B">
            <w:pPr>
              <w:rPr>
                <w:rFonts w:ascii="Segoe UI" w:hAnsi="Segoe UI"/>
                <w:sz w:val="24"/>
              </w:rPr>
            </w:pPr>
            <w:r w:rsidRPr="006A7B6B">
              <w:rPr>
                <w:rFonts w:ascii="Segoe UI" w:hAnsi="Segoe UI"/>
                <w:i/>
                <w:iCs/>
                <w:sz w:val="24"/>
              </w:rPr>
              <w:t>8.72%</w:t>
            </w:r>
          </w:p>
        </w:tc>
      </w:tr>
      <w:tr w:rsidR="006A7B6B" w:rsidRPr="006A7B6B" w14:paraId="447F13AD" w14:textId="77777777" w:rsidTr="003224B9">
        <w:trPr>
          <w:trHeight w:val="316"/>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FD17CBF" w14:textId="77777777" w:rsidR="006A7B6B" w:rsidRPr="006A7B6B" w:rsidRDefault="006A7B6B" w:rsidP="006A7B6B">
            <w:pPr>
              <w:rPr>
                <w:rFonts w:ascii="Segoe UI" w:hAnsi="Segoe UI"/>
                <w:sz w:val="24"/>
              </w:rPr>
            </w:pPr>
            <w:r w:rsidRPr="006A7B6B">
              <w:rPr>
                <w:rFonts w:ascii="Segoe UI" w:hAnsi="Segoe UI"/>
                <w:sz w:val="24"/>
              </w:rPr>
              <w:t>4%</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2ABA00E" w14:textId="77777777" w:rsidR="006A7B6B" w:rsidRPr="006A7B6B" w:rsidRDefault="006A7B6B" w:rsidP="006A7B6B">
            <w:pPr>
              <w:rPr>
                <w:rFonts w:ascii="Segoe UI" w:hAnsi="Segoe UI"/>
                <w:sz w:val="24"/>
              </w:rPr>
            </w:pPr>
            <w:r w:rsidRPr="006A7B6B">
              <w:rPr>
                <w:rFonts w:ascii="Segoe UI" w:hAnsi="Segoe UI"/>
                <w:i/>
                <w:iCs/>
                <w:sz w:val="24"/>
              </w:rPr>
              <w:t>2.15%</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E9A0E46" w14:textId="77777777" w:rsidR="006A7B6B" w:rsidRPr="006A7B6B" w:rsidRDefault="006A7B6B" w:rsidP="006A7B6B">
            <w:pPr>
              <w:rPr>
                <w:rFonts w:ascii="Segoe UI" w:hAnsi="Segoe UI"/>
                <w:sz w:val="24"/>
              </w:rPr>
            </w:pPr>
            <w:r w:rsidRPr="006A7B6B">
              <w:rPr>
                <w:rFonts w:ascii="Segoe UI" w:hAnsi="Segoe UI"/>
                <w:i/>
                <w:iCs/>
                <w:sz w:val="24"/>
              </w:rPr>
              <w:t>7.74%</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D95B36F" w14:textId="77777777" w:rsidR="006A7B6B" w:rsidRPr="006A7B6B" w:rsidRDefault="006A7B6B" w:rsidP="006A7B6B">
            <w:pPr>
              <w:rPr>
                <w:rFonts w:ascii="Segoe UI" w:hAnsi="Segoe UI"/>
                <w:sz w:val="24"/>
              </w:rPr>
            </w:pPr>
            <w:r w:rsidRPr="006A7B6B">
              <w:rPr>
                <w:rFonts w:ascii="Segoe UI" w:hAnsi="Segoe UI"/>
                <w:i/>
                <w:iCs/>
                <w:sz w:val="24"/>
              </w:rPr>
              <w:t>2.06%</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3B91EB8" w14:textId="77777777" w:rsidR="006A7B6B" w:rsidRPr="006A7B6B" w:rsidRDefault="006A7B6B" w:rsidP="006A7B6B">
            <w:pPr>
              <w:rPr>
                <w:rFonts w:ascii="Segoe UI" w:hAnsi="Segoe UI"/>
                <w:sz w:val="24"/>
              </w:rPr>
            </w:pPr>
            <w:r w:rsidRPr="006A7B6B">
              <w:rPr>
                <w:rFonts w:ascii="Segoe UI" w:hAnsi="Segoe UI"/>
                <w:i/>
                <w:iCs/>
                <w:sz w:val="24"/>
              </w:rPr>
              <w:t>9.62%</w:t>
            </w:r>
          </w:p>
        </w:tc>
      </w:tr>
      <w:tr w:rsidR="006A7B6B" w:rsidRPr="006A7B6B" w14:paraId="467BC11C" w14:textId="77777777" w:rsidTr="003224B9">
        <w:trPr>
          <w:trHeight w:val="316"/>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A22BADF" w14:textId="77777777" w:rsidR="006A7B6B" w:rsidRPr="006A7B6B" w:rsidRDefault="006A7B6B" w:rsidP="006A7B6B">
            <w:pPr>
              <w:rPr>
                <w:rFonts w:ascii="Segoe UI" w:hAnsi="Segoe UI"/>
                <w:sz w:val="24"/>
              </w:rPr>
            </w:pPr>
            <w:r w:rsidRPr="006A7B6B">
              <w:rPr>
                <w:rFonts w:ascii="Segoe UI" w:hAnsi="Segoe UI"/>
                <w:sz w:val="24"/>
              </w:rPr>
              <w:t>5%</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167F3DA" w14:textId="77777777" w:rsidR="006A7B6B" w:rsidRPr="006A7B6B" w:rsidRDefault="006A7B6B" w:rsidP="006A7B6B">
            <w:pPr>
              <w:rPr>
                <w:rFonts w:ascii="Segoe UI" w:hAnsi="Segoe UI"/>
                <w:sz w:val="24"/>
              </w:rPr>
            </w:pPr>
            <w:r w:rsidRPr="006A7B6B">
              <w:rPr>
                <w:rFonts w:ascii="Segoe UI" w:hAnsi="Segoe UI"/>
                <w:i/>
                <w:iCs/>
                <w:sz w:val="24"/>
              </w:rPr>
              <w:t>2.66%</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D1343B9" w14:textId="77777777" w:rsidR="006A7B6B" w:rsidRPr="006A7B6B" w:rsidRDefault="006A7B6B" w:rsidP="006A7B6B">
            <w:pPr>
              <w:rPr>
                <w:rFonts w:ascii="Segoe UI" w:hAnsi="Segoe UI"/>
                <w:sz w:val="24"/>
              </w:rPr>
            </w:pPr>
            <w:r w:rsidRPr="006A7B6B">
              <w:rPr>
                <w:rFonts w:ascii="Segoe UI" w:hAnsi="Segoe UI"/>
                <w:i/>
                <w:iCs/>
                <w:sz w:val="24"/>
              </w:rPr>
              <w:t>8.87%</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CAB3CA9" w14:textId="77777777" w:rsidR="006A7B6B" w:rsidRPr="006A7B6B" w:rsidRDefault="006A7B6B" w:rsidP="006A7B6B">
            <w:pPr>
              <w:rPr>
                <w:rFonts w:ascii="Segoe UI" w:hAnsi="Segoe UI"/>
                <w:sz w:val="24"/>
              </w:rPr>
            </w:pPr>
            <w:r w:rsidRPr="006A7B6B">
              <w:rPr>
                <w:rFonts w:ascii="Segoe UI" w:hAnsi="Segoe UI"/>
                <w:i/>
                <w:iCs/>
                <w:sz w:val="24"/>
              </w:rPr>
              <w:t>2.26%</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68DEB62" w14:textId="77777777" w:rsidR="006A7B6B" w:rsidRPr="006A7B6B" w:rsidRDefault="006A7B6B" w:rsidP="006A7B6B">
            <w:pPr>
              <w:rPr>
                <w:rFonts w:ascii="Segoe UI" w:hAnsi="Segoe UI"/>
                <w:sz w:val="24"/>
              </w:rPr>
            </w:pPr>
            <w:r w:rsidRPr="006A7B6B">
              <w:rPr>
                <w:rFonts w:ascii="Segoe UI" w:hAnsi="Segoe UI"/>
                <w:i/>
                <w:iCs/>
                <w:sz w:val="24"/>
              </w:rPr>
              <w:t>10.46%</w:t>
            </w:r>
          </w:p>
        </w:tc>
      </w:tr>
      <w:tr w:rsidR="006A7B6B" w:rsidRPr="006A7B6B" w14:paraId="13A90019" w14:textId="77777777" w:rsidTr="003224B9">
        <w:trPr>
          <w:trHeight w:val="316"/>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4AC2245" w14:textId="77777777" w:rsidR="006A7B6B" w:rsidRPr="006A7B6B" w:rsidRDefault="006A7B6B" w:rsidP="006A7B6B">
            <w:pPr>
              <w:rPr>
                <w:rFonts w:ascii="Segoe UI" w:hAnsi="Segoe UI"/>
                <w:sz w:val="24"/>
              </w:rPr>
            </w:pPr>
            <w:r w:rsidRPr="006A7B6B">
              <w:rPr>
                <w:rFonts w:ascii="Segoe UI" w:hAnsi="Segoe UI"/>
                <w:sz w:val="24"/>
              </w:rPr>
              <w:t>6%</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AAB7567" w14:textId="77777777" w:rsidR="006A7B6B" w:rsidRPr="006A7B6B" w:rsidRDefault="006A7B6B" w:rsidP="006A7B6B">
            <w:pPr>
              <w:rPr>
                <w:rFonts w:ascii="Segoe UI" w:hAnsi="Segoe UI"/>
                <w:sz w:val="24"/>
              </w:rPr>
            </w:pPr>
            <w:r w:rsidRPr="006A7B6B">
              <w:rPr>
                <w:rFonts w:ascii="Segoe UI" w:hAnsi="Segoe UI"/>
                <w:i/>
                <w:iCs/>
                <w:sz w:val="24"/>
              </w:rPr>
              <w:t>3.15%</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6392E6A" w14:textId="77777777" w:rsidR="006A7B6B" w:rsidRPr="006A7B6B" w:rsidRDefault="006A7B6B" w:rsidP="006A7B6B">
            <w:pPr>
              <w:rPr>
                <w:rFonts w:ascii="Segoe UI" w:hAnsi="Segoe UI"/>
                <w:sz w:val="24"/>
              </w:rPr>
            </w:pPr>
            <w:r w:rsidRPr="006A7B6B">
              <w:rPr>
                <w:rFonts w:ascii="Segoe UI" w:hAnsi="Segoe UI"/>
                <w:i/>
                <w:iCs/>
                <w:sz w:val="24"/>
              </w:rPr>
              <w:t>9.96%</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DF29B34" w14:textId="77777777" w:rsidR="006A7B6B" w:rsidRPr="006A7B6B" w:rsidRDefault="006A7B6B" w:rsidP="006A7B6B">
            <w:pPr>
              <w:rPr>
                <w:rFonts w:ascii="Segoe UI" w:hAnsi="Segoe UI"/>
                <w:sz w:val="24"/>
              </w:rPr>
            </w:pPr>
            <w:r w:rsidRPr="006A7B6B">
              <w:rPr>
                <w:rFonts w:ascii="Segoe UI" w:hAnsi="Segoe UI"/>
                <w:i/>
                <w:iCs/>
                <w:sz w:val="24"/>
              </w:rPr>
              <w:t>2.50%</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5B4AC93" w14:textId="77777777" w:rsidR="006A7B6B" w:rsidRPr="006A7B6B" w:rsidRDefault="006A7B6B" w:rsidP="006A7B6B">
            <w:pPr>
              <w:rPr>
                <w:rFonts w:ascii="Segoe UI" w:hAnsi="Segoe UI"/>
                <w:sz w:val="24"/>
              </w:rPr>
            </w:pPr>
            <w:r w:rsidRPr="006A7B6B">
              <w:rPr>
                <w:rFonts w:ascii="Segoe UI" w:hAnsi="Segoe UI"/>
                <w:i/>
                <w:iCs/>
                <w:sz w:val="24"/>
              </w:rPr>
              <w:t>11.16%</w:t>
            </w:r>
          </w:p>
        </w:tc>
      </w:tr>
      <w:tr w:rsidR="006A7B6B" w:rsidRPr="006A7B6B" w14:paraId="111D5F37" w14:textId="77777777" w:rsidTr="003224B9">
        <w:trPr>
          <w:trHeight w:val="316"/>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5757F4B" w14:textId="77777777" w:rsidR="006A7B6B" w:rsidRPr="006A7B6B" w:rsidRDefault="006A7B6B" w:rsidP="006A7B6B">
            <w:pPr>
              <w:rPr>
                <w:rFonts w:ascii="Segoe UI" w:hAnsi="Segoe UI"/>
                <w:sz w:val="24"/>
              </w:rPr>
            </w:pPr>
            <w:r w:rsidRPr="006A7B6B">
              <w:rPr>
                <w:rFonts w:ascii="Segoe UI" w:hAnsi="Segoe UI"/>
                <w:sz w:val="24"/>
              </w:rPr>
              <w:t>7%</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7A153A3" w14:textId="77777777" w:rsidR="006A7B6B" w:rsidRPr="006A7B6B" w:rsidRDefault="006A7B6B" w:rsidP="006A7B6B">
            <w:pPr>
              <w:rPr>
                <w:rFonts w:ascii="Segoe UI" w:hAnsi="Segoe UI"/>
                <w:sz w:val="24"/>
              </w:rPr>
            </w:pPr>
            <w:r w:rsidRPr="006A7B6B">
              <w:rPr>
                <w:rFonts w:ascii="Segoe UI" w:hAnsi="Segoe UI"/>
                <w:i/>
                <w:iCs/>
                <w:sz w:val="24"/>
              </w:rPr>
              <w:t>3.63%</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38272DE" w14:textId="77777777" w:rsidR="006A7B6B" w:rsidRPr="006A7B6B" w:rsidRDefault="006A7B6B" w:rsidP="006A7B6B">
            <w:pPr>
              <w:rPr>
                <w:rFonts w:ascii="Segoe UI" w:hAnsi="Segoe UI"/>
                <w:sz w:val="24"/>
              </w:rPr>
            </w:pPr>
            <w:r w:rsidRPr="006A7B6B">
              <w:rPr>
                <w:rFonts w:ascii="Segoe UI" w:hAnsi="Segoe UI"/>
                <w:i/>
                <w:iCs/>
                <w:sz w:val="24"/>
              </w:rPr>
              <w:t>11.03%</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B52757C" w14:textId="77777777" w:rsidR="006A7B6B" w:rsidRPr="006A7B6B" w:rsidRDefault="006A7B6B" w:rsidP="006A7B6B">
            <w:pPr>
              <w:rPr>
                <w:rFonts w:ascii="Segoe UI" w:hAnsi="Segoe UI"/>
                <w:sz w:val="24"/>
              </w:rPr>
            </w:pPr>
            <w:r w:rsidRPr="006A7B6B">
              <w:rPr>
                <w:rFonts w:ascii="Segoe UI" w:hAnsi="Segoe UI"/>
                <w:i/>
                <w:iCs/>
                <w:sz w:val="24"/>
              </w:rPr>
              <w:t>2.78%</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1D58924" w14:textId="77777777" w:rsidR="006A7B6B" w:rsidRPr="006A7B6B" w:rsidRDefault="006A7B6B" w:rsidP="006A7B6B">
            <w:pPr>
              <w:rPr>
                <w:rFonts w:ascii="Segoe UI" w:hAnsi="Segoe UI"/>
                <w:sz w:val="24"/>
              </w:rPr>
            </w:pPr>
            <w:r w:rsidRPr="006A7B6B">
              <w:rPr>
                <w:rFonts w:ascii="Segoe UI" w:hAnsi="Segoe UI"/>
                <w:i/>
                <w:iCs/>
                <w:sz w:val="24"/>
              </w:rPr>
              <w:t>11.61%</w:t>
            </w:r>
          </w:p>
        </w:tc>
      </w:tr>
      <w:tr w:rsidR="006A7B6B" w:rsidRPr="006A7B6B" w14:paraId="1F049AC3" w14:textId="77777777" w:rsidTr="003224B9">
        <w:trPr>
          <w:trHeight w:val="316"/>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EDA6FBD" w14:textId="77777777" w:rsidR="006A7B6B" w:rsidRPr="006A7B6B" w:rsidRDefault="006A7B6B" w:rsidP="006A7B6B">
            <w:pPr>
              <w:rPr>
                <w:rFonts w:ascii="Segoe UI" w:hAnsi="Segoe UI"/>
                <w:sz w:val="24"/>
              </w:rPr>
            </w:pPr>
            <w:r w:rsidRPr="006A7B6B">
              <w:rPr>
                <w:rFonts w:ascii="Segoe UI" w:hAnsi="Segoe UI"/>
                <w:sz w:val="24"/>
              </w:rPr>
              <w:t>8%</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CFD6654" w14:textId="77777777" w:rsidR="006A7B6B" w:rsidRPr="006A7B6B" w:rsidRDefault="006A7B6B" w:rsidP="006A7B6B">
            <w:pPr>
              <w:rPr>
                <w:rFonts w:ascii="Segoe UI" w:hAnsi="Segoe UI"/>
                <w:sz w:val="24"/>
              </w:rPr>
            </w:pPr>
            <w:r w:rsidRPr="006A7B6B">
              <w:rPr>
                <w:rFonts w:ascii="Segoe UI" w:hAnsi="Segoe UI"/>
                <w:i/>
                <w:iCs/>
                <w:sz w:val="24"/>
              </w:rPr>
              <w:t>4.10%</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4142D1D" w14:textId="77777777" w:rsidR="006A7B6B" w:rsidRPr="006A7B6B" w:rsidRDefault="006A7B6B" w:rsidP="006A7B6B">
            <w:pPr>
              <w:rPr>
                <w:rFonts w:ascii="Segoe UI" w:hAnsi="Segoe UI"/>
                <w:sz w:val="24"/>
              </w:rPr>
            </w:pPr>
            <w:r w:rsidRPr="006A7B6B">
              <w:rPr>
                <w:rFonts w:ascii="Segoe UI" w:hAnsi="Segoe UI"/>
                <w:i/>
                <w:iCs/>
                <w:sz w:val="24"/>
              </w:rPr>
              <w:t>12.07%</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67E1A16" w14:textId="77777777" w:rsidR="006A7B6B" w:rsidRPr="006A7B6B" w:rsidRDefault="006A7B6B" w:rsidP="006A7B6B">
            <w:pPr>
              <w:rPr>
                <w:rFonts w:ascii="Segoe UI" w:hAnsi="Segoe UI"/>
                <w:sz w:val="24"/>
              </w:rPr>
            </w:pPr>
            <w:r w:rsidRPr="006A7B6B">
              <w:rPr>
                <w:rFonts w:ascii="Segoe UI" w:hAnsi="Segoe UI"/>
                <w:i/>
                <w:iCs/>
                <w:sz w:val="24"/>
              </w:rPr>
              <w:t>3.06%</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DBC980E" w14:textId="77777777" w:rsidR="006A7B6B" w:rsidRPr="006A7B6B" w:rsidRDefault="006A7B6B" w:rsidP="006A7B6B">
            <w:pPr>
              <w:rPr>
                <w:rFonts w:ascii="Segoe UI" w:hAnsi="Segoe UI"/>
                <w:sz w:val="24"/>
              </w:rPr>
            </w:pPr>
            <w:r w:rsidRPr="006A7B6B">
              <w:rPr>
                <w:rFonts w:ascii="Segoe UI" w:hAnsi="Segoe UI"/>
                <w:i/>
                <w:iCs/>
                <w:sz w:val="24"/>
              </w:rPr>
              <w:t>11.99%</w:t>
            </w:r>
          </w:p>
        </w:tc>
      </w:tr>
      <w:tr w:rsidR="006A7B6B" w:rsidRPr="006A7B6B" w14:paraId="2C61C443" w14:textId="77777777" w:rsidTr="003224B9">
        <w:trPr>
          <w:trHeight w:val="316"/>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EB1F698" w14:textId="77777777" w:rsidR="006A7B6B" w:rsidRPr="006A7B6B" w:rsidRDefault="006A7B6B" w:rsidP="006A7B6B">
            <w:pPr>
              <w:rPr>
                <w:rFonts w:ascii="Segoe UI" w:hAnsi="Segoe UI"/>
                <w:sz w:val="24"/>
              </w:rPr>
            </w:pPr>
            <w:r w:rsidRPr="006A7B6B">
              <w:rPr>
                <w:rFonts w:ascii="Segoe UI" w:hAnsi="Segoe UI"/>
                <w:sz w:val="24"/>
              </w:rPr>
              <w:t>9%</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C4DF132" w14:textId="77777777" w:rsidR="006A7B6B" w:rsidRPr="006A7B6B" w:rsidRDefault="006A7B6B" w:rsidP="006A7B6B">
            <w:pPr>
              <w:rPr>
                <w:rFonts w:ascii="Segoe UI" w:hAnsi="Segoe UI"/>
                <w:sz w:val="24"/>
              </w:rPr>
            </w:pPr>
            <w:r w:rsidRPr="006A7B6B">
              <w:rPr>
                <w:rFonts w:ascii="Segoe UI" w:hAnsi="Segoe UI"/>
                <w:i/>
                <w:iCs/>
                <w:sz w:val="24"/>
              </w:rPr>
              <w:t>4.64%</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AAE5CE1" w14:textId="77777777" w:rsidR="006A7B6B" w:rsidRPr="006A7B6B" w:rsidRDefault="006A7B6B" w:rsidP="006A7B6B">
            <w:pPr>
              <w:rPr>
                <w:rFonts w:ascii="Segoe UI" w:hAnsi="Segoe UI"/>
                <w:sz w:val="24"/>
              </w:rPr>
            </w:pPr>
            <w:r w:rsidRPr="006A7B6B">
              <w:rPr>
                <w:rFonts w:ascii="Segoe UI" w:hAnsi="Segoe UI"/>
                <w:i/>
                <w:iCs/>
                <w:sz w:val="24"/>
              </w:rPr>
              <w:t>13.08%</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4C4EFAE" w14:textId="77777777" w:rsidR="006A7B6B" w:rsidRPr="006A7B6B" w:rsidRDefault="006A7B6B" w:rsidP="006A7B6B">
            <w:pPr>
              <w:rPr>
                <w:rFonts w:ascii="Segoe UI" w:hAnsi="Segoe UI"/>
                <w:sz w:val="24"/>
              </w:rPr>
            </w:pPr>
            <w:r w:rsidRPr="006A7B6B">
              <w:rPr>
                <w:rFonts w:ascii="Segoe UI" w:hAnsi="Segoe UI"/>
                <w:i/>
                <w:iCs/>
                <w:sz w:val="24"/>
              </w:rPr>
              <w:t>3.34%</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3794424" w14:textId="77777777" w:rsidR="006A7B6B" w:rsidRPr="006A7B6B" w:rsidRDefault="006A7B6B" w:rsidP="006A7B6B">
            <w:pPr>
              <w:rPr>
                <w:rFonts w:ascii="Segoe UI" w:hAnsi="Segoe UI"/>
                <w:sz w:val="24"/>
              </w:rPr>
            </w:pPr>
            <w:r w:rsidRPr="006A7B6B">
              <w:rPr>
                <w:rFonts w:ascii="Segoe UI" w:hAnsi="Segoe UI"/>
                <w:i/>
                <w:iCs/>
                <w:sz w:val="24"/>
              </w:rPr>
              <w:t>12.25%</w:t>
            </w:r>
          </w:p>
        </w:tc>
      </w:tr>
      <w:tr w:rsidR="006A7B6B" w:rsidRPr="006A7B6B" w14:paraId="2013BAF6" w14:textId="77777777" w:rsidTr="003224B9">
        <w:trPr>
          <w:trHeight w:val="316"/>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DB3030D" w14:textId="77777777" w:rsidR="006A7B6B" w:rsidRPr="006A7B6B" w:rsidRDefault="006A7B6B" w:rsidP="006A7B6B">
            <w:pPr>
              <w:rPr>
                <w:rFonts w:ascii="Segoe UI" w:hAnsi="Segoe UI"/>
                <w:sz w:val="24"/>
              </w:rPr>
            </w:pPr>
            <w:r w:rsidRPr="006A7B6B">
              <w:rPr>
                <w:rFonts w:ascii="Segoe UI" w:hAnsi="Segoe UI"/>
                <w:sz w:val="24"/>
              </w:rPr>
              <w:t>10%</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788D2DB" w14:textId="77777777" w:rsidR="006A7B6B" w:rsidRPr="006A7B6B" w:rsidRDefault="006A7B6B" w:rsidP="006A7B6B">
            <w:pPr>
              <w:rPr>
                <w:rFonts w:ascii="Segoe UI" w:hAnsi="Segoe UI"/>
                <w:sz w:val="24"/>
              </w:rPr>
            </w:pPr>
            <w:r w:rsidRPr="006A7B6B">
              <w:rPr>
                <w:rFonts w:ascii="Segoe UI" w:hAnsi="Segoe UI"/>
                <w:i/>
                <w:iCs/>
                <w:sz w:val="24"/>
              </w:rPr>
              <w:t>5.21%</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96A4B51" w14:textId="77777777" w:rsidR="006A7B6B" w:rsidRPr="006A7B6B" w:rsidRDefault="006A7B6B" w:rsidP="006A7B6B">
            <w:pPr>
              <w:rPr>
                <w:rFonts w:ascii="Segoe UI" w:hAnsi="Segoe UI"/>
                <w:sz w:val="24"/>
              </w:rPr>
            </w:pPr>
            <w:r w:rsidRPr="006A7B6B">
              <w:rPr>
                <w:rFonts w:ascii="Segoe UI" w:hAnsi="Segoe UI"/>
                <w:i/>
                <w:iCs/>
                <w:sz w:val="24"/>
              </w:rPr>
              <w:t>14.01%</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E8F2BB7" w14:textId="77777777" w:rsidR="006A7B6B" w:rsidRPr="006A7B6B" w:rsidRDefault="006A7B6B" w:rsidP="006A7B6B">
            <w:pPr>
              <w:rPr>
                <w:rFonts w:ascii="Segoe UI" w:hAnsi="Segoe UI"/>
                <w:sz w:val="24"/>
              </w:rPr>
            </w:pPr>
            <w:r w:rsidRPr="006A7B6B">
              <w:rPr>
                <w:rFonts w:ascii="Segoe UI" w:hAnsi="Segoe UI"/>
                <w:i/>
                <w:iCs/>
                <w:sz w:val="24"/>
              </w:rPr>
              <w:t>3.65%</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A6B7F44" w14:textId="77777777" w:rsidR="006A7B6B" w:rsidRPr="006A7B6B" w:rsidRDefault="006A7B6B" w:rsidP="006A7B6B">
            <w:pPr>
              <w:rPr>
                <w:rFonts w:ascii="Segoe UI" w:hAnsi="Segoe UI"/>
                <w:sz w:val="24"/>
              </w:rPr>
            </w:pPr>
            <w:r w:rsidRPr="006A7B6B">
              <w:rPr>
                <w:rFonts w:ascii="Segoe UI" w:hAnsi="Segoe UI"/>
                <w:i/>
                <w:iCs/>
                <w:sz w:val="24"/>
              </w:rPr>
              <w:t>12.63%</w:t>
            </w:r>
          </w:p>
        </w:tc>
      </w:tr>
    </w:tbl>
    <w:p w14:paraId="5D09F656" w14:textId="77777777" w:rsidR="00B54B27" w:rsidRPr="003404AF" w:rsidRDefault="00B54B27" w:rsidP="00B54B27">
      <w:pPr>
        <w:rPr>
          <w:rFonts w:ascii="Segoe UI" w:hAnsi="Segoe UI"/>
          <w:sz w:val="24"/>
        </w:rPr>
      </w:pPr>
    </w:p>
    <w:p w14:paraId="623C30A9" w14:textId="7AA390A3" w:rsidR="00B54B27" w:rsidRPr="003404AF" w:rsidRDefault="003404AF" w:rsidP="00B54B27">
      <w:pPr>
        <w:rPr>
          <w:rFonts w:ascii="Segoe UI" w:hAnsi="Segoe UI"/>
          <w:sz w:val="24"/>
        </w:rPr>
      </w:pPr>
      <w:r w:rsidRPr="003404AF">
        <w:rPr>
          <w:rFonts w:ascii="Segoe UI" w:hAnsi="Segoe UI"/>
          <w:sz w:val="24"/>
        </w:rPr>
        <w:t>E</w:t>
      </w:r>
      <w:r w:rsidR="00B54B27" w:rsidRPr="003404AF">
        <w:rPr>
          <w:rFonts w:ascii="Segoe UI" w:hAnsi="Segoe UI"/>
          <w:sz w:val="24"/>
        </w:rPr>
        <w:t xml:space="preserve">valuation </w:t>
      </w:r>
      <w:r w:rsidRPr="003404AF">
        <w:rPr>
          <w:rFonts w:ascii="Segoe UI" w:hAnsi="Segoe UI"/>
          <w:sz w:val="24"/>
        </w:rPr>
        <w:t>statistics</w:t>
      </w:r>
      <w:r w:rsidR="00B54B27" w:rsidRPr="003404AF">
        <w:rPr>
          <w:rFonts w:ascii="Segoe UI" w:hAnsi="Segoe UI"/>
          <w:sz w:val="24"/>
        </w:rPr>
        <w:t xml:space="preserve"> T5.E:</w:t>
      </w:r>
    </w:p>
    <w:p w14:paraId="527162CF" w14:textId="77777777" w:rsidR="007F2779" w:rsidRPr="003404AF" w:rsidRDefault="007F2779" w:rsidP="00B54B27">
      <w:pPr>
        <w:rPr>
          <w:rFonts w:ascii="Segoe UI" w:hAnsi="Segoe UI"/>
          <w:sz w:val="24"/>
        </w:rPr>
      </w:pPr>
    </w:p>
    <w:p w14:paraId="0B2D54CC" w14:textId="77777777" w:rsidR="009C2E52" w:rsidRDefault="00B54B27" w:rsidP="00B54B27">
      <w:r w:rsidRPr="003404AF">
        <w:rPr>
          <w:rFonts w:ascii="Segoe UI" w:hAnsi="Segoe UI"/>
          <w:sz w:val="24"/>
        </w:rPr>
        <w:lastRenderedPageBreak/>
        <w:t>d) Use the Academy approach to determine parameters for 15th and 85th percentiles to expand the criteria table to also include conditions on moderate rate.</w:t>
      </w:r>
    </w:p>
    <w:p w14:paraId="4EA8FD31" w14:textId="77777777" w:rsidR="009C2E52" w:rsidRDefault="009C2E52" w:rsidP="00B54B27"/>
    <w:p w14:paraId="5EF3E9C7" w14:textId="651AC29D" w:rsidR="00B54B27" w:rsidRPr="009C2E52" w:rsidRDefault="003404AF" w:rsidP="00B54B27">
      <w:pPr>
        <w:rPr>
          <w:rFonts w:asciiTheme="majorHAnsi" w:eastAsiaTheme="majorEastAsia" w:hAnsiTheme="majorHAnsi" w:cstheme="majorBidi"/>
          <w:color w:val="2F5496" w:themeColor="accent1" w:themeShade="BF"/>
          <w:sz w:val="26"/>
          <w:szCs w:val="26"/>
        </w:rPr>
      </w:pPr>
      <w:r w:rsidRPr="00EA76FA">
        <w:rPr>
          <w:rFonts w:ascii="Segoe UI" w:hAnsi="Segoe UI"/>
          <w:sz w:val="24"/>
        </w:rPr>
        <w:t xml:space="preserve">Evaluation statistics </w:t>
      </w:r>
      <w:r w:rsidR="00B54B27" w:rsidRPr="00EA76FA">
        <w:rPr>
          <w:rFonts w:ascii="Segoe UI" w:hAnsi="Segoe UI"/>
          <w:sz w:val="24"/>
        </w:rPr>
        <w:t>T6.E</w:t>
      </w:r>
      <w:r w:rsidRPr="00EA76FA">
        <w:rPr>
          <w:rFonts w:ascii="Segoe UI" w:hAnsi="Segoe UI"/>
          <w:sz w:val="24"/>
        </w:rPr>
        <w:t>:</w:t>
      </w:r>
      <w:r w:rsidR="00B54B27" w:rsidRPr="00EA76FA">
        <w:rPr>
          <w:rFonts w:ascii="Segoe UI" w:hAnsi="Segoe UI"/>
          <w:sz w:val="24"/>
        </w:rPr>
        <w:t xml:space="preserve"> </w:t>
      </w:r>
    </w:p>
    <w:p w14:paraId="02BEE4DF" w14:textId="77777777" w:rsidR="00B14425" w:rsidRPr="00EA76FA" w:rsidRDefault="00B14425" w:rsidP="00B54B27">
      <w:pPr>
        <w:rPr>
          <w:rFonts w:ascii="Segoe UI" w:hAnsi="Segoe UI"/>
          <w:sz w:val="24"/>
        </w:rPr>
      </w:pPr>
    </w:p>
    <w:p w14:paraId="4E5C6AFB" w14:textId="77777777" w:rsidR="00B54B27" w:rsidRPr="00EA76FA" w:rsidRDefault="00B54B27" w:rsidP="00B54B27">
      <w:pPr>
        <w:autoSpaceDE w:val="0"/>
        <w:autoSpaceDN w:val="0"/>
        <w:adjustRightInd w:val="0"/>
        <w:rPr>
          <w:rFonts w:ascii="Segoe UI" w:hAnsi="Segoe UI"/>
          <w:sz w:val="24"/>
        </w:rPr>
      </w:pPr>
      <w:r w:rsidRPr="00EA76FA">
        <w:rPr>
          <w:rFonts w:ascii="Segoe UI" w:hAnsi="Segoe UI"/>
          <w:sz w:val="24"/>
        </w:rPr>
        <w:t>Mean reversion benchmark:</w:t>
      </w:r>
    </w:p>
    <w:p w14:paraId="4A810A68" w14:textId="6AE6B268" w:rsidR="00B54B27" w:rsidRPr="00EA76FA" w:rsidRDefault="00B54B27" w:rsidP="00B54B27">
      <w:pPr>
        <w:autoSpaceDE w:val="0"/>
        <w:autoSpaceDN w:val="0"/>
        <w:adjustRightInd w:val="0"/>
        <w:rPr>
          <w:rFonts w:ascii="Segoe UI" w:hAnsi="Segoe UI"/>
          <w:sz w:val="24"/>
        </w:rPr>
      </w:pPr>
      <w:r w:rsidRPr="00EA76FA">
        <w:rPr>
          <w:rFonts w:ascii="Segoe UI" w:hAnsi="Segoe UI"/>
          <w:sz w:val="24"/>
        </w:rPr>
        <w:t xml:space="preserve">i. 50th percentile </w:t>
      </w:r>
      <w:r w:rsidR="00E74CEB" w:rsidRPr="00EA76FA">
        <w:rPr>
          <w:rFonts w:ascii="Segoe UI" w:hAnsi="Segoe UI"/>
          <w:sz w:val="24"/>
        </w:rPr>
        <w:t>1.31</w:t>
      </w:r>
      <w:r w:rsidRPr="00EA76FA">
        <w:rPr>
          <w:rFonts w:ascii="Segoe UI" w:hAnsi="Segoe UI"/>
          <w:sz w:val="24"/>
        </w:rPr>
        <w:t>% &lt; 1Y rate &lt; 3</w:t>
      </w:r>
      <w:r w:rsidR="00E74CEB" w:rsidRPr="00EA76FA">
        <w:rPr>
          <w:rFonts w:ascii="Segoe UI" w:hAnsi="Segoe UI"/>
          <w:sz w:val="24"/>
        </w:rPr>
        <w:t>.35</w:t>
      </w:r>
      <w:r w:rsidRPr="00EA76FA">
        <w:rPr>
          <w:rFonts w:ascii="Segoe UI" w:hAnsi="Segoe UI"/>
          <w:sz w:val="24"/>
        </w:rPr>
        <w:t>%</w:t>
      </w:r>
    </w:p>
    <w:p w14:paraId="53790ED9" w14:textId="0572B7F8" w:rsidR="00B54B27" w:rsidRPr="00EA76FA" w:rsidRDefault="00B54B27" w:rsidP="00B54B27">
      <w:pPr>
        <w:autoSpaceDE w:val="0"/>
        <w:autoSpaceDN w:val="0"/>
        <w:adjustRightInd w:val="0"/>
        <w:rPr>
          <w:rFonts w:ascii="Segoe UI" w:hAnsi="Segoe UI"/>
          <w:sz w:val="24"/>
        </w:rPr>
      </w:pPr>
      <w:r w:rsidRPr="00EA76FA">
        <w:rPr>
          <w:rFonts w:ascii="Segoe UI" w:hAnsi="Segoe UI"/>
          <w:sz w:val="24"/>
        </w:rPr>
        <w:t xml:space="preserve">ii. 50th percentile </w:t>
      </w:r>
      <w:r w:rsidR="00E74CEB" w:rsidRPr="00EA76FA">
        <w:rPr>
          <w:rFonts w:ascii="Segoe UI" w:hAnsi="Segoe UI"/>
          <w:sz w:val="24"/>
        </w:rPr>
        <w:t>3.35</w:t>
      </w:r>
      <w:r w:rsidRPr="00EA76FA">
        <w:rPr>
          <w:rFonts w:ascii="Segoe UI" w:hAnsi="Segoe UI"/>
          <w:sz w:val="24"/>
        </w:rPr>
        <w:t xml:space="preserve">% &lt; 20Y rate &lt; </w:t>
      </w:r>
      <w:r w:rsidR="00E74CEB" w:rsidRPr="00EA76FA">
        <w:rPr>
          <w:rFonts w:ascii="Segoe UI" w:hAnsi="Segoe UI"/>
          <w:sz w:val="24"/>
        </w:rPr>
        <w:t>4.89</w:t>
      </w:r>
      <w:r w:rsidRPr="00EA76FA">
        <w:rPr>
          <w:rFonts w:ascii="Segoe UI" w:hAnsi="Segoe UI"/>
          <w:sz w:val="24"/>
        </w:rPr>
        <w:t>%</w:t>
      </w:r>
    </w:p>
    <w:p w14:paraId="663B7737" w14:textId="16B7E7C5" w:rsidR="00B54B27" w:rsidRPr="00EA76FA" w:rsidRDefault="003404AF" w:rsidP="00B54B27">
      <w:pPr>
        <w:rPr>
          <w:rFonts w:ascii="Segoe UI" w:hAnsi="Segoe UI"/>
          <w:sz w:val="24"/>
        </w:rPr>
      </w:pPr>
      <w:r w:rsidRPr="00EA76FA">
        <w:rPr>
          <w:rFonts w:ascii="Segoe UI" w:hAnsi="Segoe UI"/>
          <w:sz w:val="24"/>
        </w:rPr>
        <w:t>R</w:t>
      </w:r>
      <w:r w:rsidR="00E74CEB" w:rsidRPr="00EA76FA">
        <w:rPr>
          <w:rFonts w:ascii="Segoe UI" w:hAnsi="Segoe UI"/>
          <w:sz w:val="24"/>
        </w:rPr>
        <w:t xml:space="preserve">anges based on </w:t>
      </w:r>
      <w:proofErr w:type="gramStart"/>
      <w:r w:rsidR="00E74CEB" w:rsidRPr="00EA76FA">
        <w:rPr>
          <w:rFonts w:ascii="Segoe UI" w:hAnsi="Segoe UI"/>
          <w:sz w:val="24"/>
        </w:rPr>
        <w:t>15 year</w:t>
      </w:r>
      <w:proofErr w:type="gramEnd"/>
      <w:r w:rsidR="00E74CEB" w:rsidRPr="00EA76FA">
        <w:rPr>
          <w:rFonts w:ascii="Segoe UI" w:hAnsi="Segoe UI"/>
          <w:sz w:val="24"/>
        </w:rPr>
        <w:t xml:space="preserve"> half-life for consistency with AAA</w:t>
      </w:r>
      <w:r w:rsidRPr="00EA76FA">
        <w:rPr>
          <w:rFonts w:ascii="Segoe UI" w:hAnsi="Segoe UI"/>
          <w:sz w:val="24"/>
        </w:rPr>
        <w:t xml:space="preserve"> recommendation.</w:t>
      </w:r>
    </w:p>
    <w:p w14:paraId="2CFC8ADB" w14:textId="77777777" w:rsidR="009C2E52" w:rsidRDefault="009C2E52" w:rsidP="00B54B27">
      <w:pPr>
        <w:rPr>
          <w:rFonts w:ascii="Segoe UI" w:hAnsi="Segoe UI"/>
          <w:sz w:val="24"/>
        </w:rPr>
      </w:pPr>
    </w:p>
    <w:p w14:paraId="7B11C14D" w14:textId="77777777" w:rsidR="009C2E52" w:rsidRDefault="009C2E52" w:rsidP="00B54B27">
      <w:pPr>
        <w:rPr>
          <w:rFonts w:ascii="Segoe UI" w:hAnsi="Segoe UI"/>
          <w:sz w:val="24"/>
        </w:rPr>
      </w:pPr>
    </w:p>
    <w:p w14:paraId="0D543435" w14:textId="6F67C587" w:rsidR="00B54B27" w:rsidRPr="00EA76FA" w:rsidRDefault="003404AF" w:rsidP="00B54B27">
      <w:pPr>
        <w:rPr>
          <w:rFonts w:ascii="Segoe UI" w:hAnsi="Segoe UI"/>
          <w:sz w:val="24"/>
        </w:rPr>
      </w:pPr>
      <w:r w:rsidRPr="00EA76FA">
        <w:rPr>
          <w:rFonts w:ascii="Segoe UI" w:hAnsi="Segoe UI"/>
          <w:sz w:val="24"/>
        </w:rPr>
        <w:t xml:space="preserve">Evaluation statistics </w:t>
      </w:r>
      <w:r w:rsidR="00B54B27" w:rsidRPr="00EA76FA">
        <w:rPr>
          <w:rFonts w:ascii="Segoe UI" w:hAnsi="Segoe UI"/>
          <w:sz w:val="24"/>
        </w:rPr>
        <w:t>T7.E</w:t>
      </w:r>
      <w:r w:rsidRPr="00EA76FA">
        <w:rPr>
          <w:rFonts w:ascii="Segoe UI" w:hAnsi="Segoe UI"/>
          <w:sz w:val="24"/>
        </w:rPr>
        <w:t>:</w:t>
      </w:r>
    </w:p>
    <w:p w14:paraId="6BBE3C5C" w14:textId="77777777" w:rsidR="00E74CEB" w:rsidRPr="00EA76FA" w:rsidRDefault="00E74CEB" w:rsidP="00B54B27">
      <w:pPr>
        <w:rPr>
          <w:rFonts w:ascii="Segoe UI" w:hAnsi="Segoe UI"/>
          <w:sz w:val="24"/>
        </w:rPr>
      </w:pPr>
    </w:p>
    <w:p w14:paraId="3AC0FF7F" w14:textId="3431DB81" w:rsidR="00E74CEB" w:rsidRPr="00EA76FA" w:rsidRDefault="00E74CEB" w:rsidP="00B54B27">
      <w:pPr>
        <w:rPr>
          <w:rFonts w:ascii="Segoe UI" w:hAnsi="Segoe UI"/>
          <w:sz w:val="24"/>
        </w:rPr>
      </w:pPr>
      <w:r w:rsidRPr="00EA76FA">
        <w:rPr>
          <w:rFonts w:ascii="Segoe UI" w:hAnsi="Segoe UI"/>
          <w:sz w:val="24"/>
        </w:rPr>
        <w:t>Note that the buckets refer to starting yield level and the desired range percentages refer to the annualized standard deviation of monthly yield changes.</w:t>
      </w:r>
    </w:p>
    <w:p w14:paraId="726389DA" w14:textId="766E635F" w:rsidR="00B54B27" w:rsidRDefault="00B54B27" w:rsidP="00B54B27">
      <w:pPr>
        <w:rPr>
          <w:rFonts w:ascii="Segoe UI" w:hAnsi="Segoe UI"/>
          <w:color w:val="0070C0"/>
          <w:sz w:val="24"/>
        </w:rPr>
      </w:pPr>
      <w:r>
        <w:rPr>
          <w:rFonts w:ascii="Segoe UI" w:hAnsi="Segoe UI"/>
          <w:noProof/>
          <w:color w:val="0070C0"/>
          <w:sz w:val="24"/>
          <w14:ligatures w14:val="none"/>
        </w:rPr>
        <w:drawing>
          <wp:inline distT="0" distB="0" distL="0" distR="0" wp14:anchorId="4C8D78A9" wp14:editId="771B8947">
            <wp:extent cx="4591050" cy="2552700"/>
            <wp:effectExtent l="0" t="0" r="0" b="0"/>
            <wp:docPr id="395713262"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713262" name="Picture 6"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2552700"/>
                    </a:xfrm>
                    <a:prstGeom prst="rect">
                      <a:avLst/>
                    </a:prstGeom>
                    <a:noFill/>
                    <a:ln>
                      <a:noFill/>
                    </a:ln>
                  </pic:spPr>
                </pic:pic>
              </a:graphicData>
            </a:graphic>
          </wp:inline>
        </w:drawing>
      </w:r>
    </w:p>
    <w:p w14:paraId="6FAC5DAA" w14:textId="77777777" w:rsidR="00B54B27" w:rsidRDefault="00B54B27" w:rsidP="00B54B27">
      <w:pPr>
        <w:rPr>
          <w:rFonts w:ascii="Segoe UI" w:hAnsi="Segoe UI"/>
          <w:sz w:val="24"/>
        </w:rPr>
      </w:pPr>
    </w:p>
    <w:p w14:paraId="77DEDB24" w14:textId="77777777" w:rsidR="00B14425" w:rsidRDefault="00B14425">
      <w:pPr>
        <w:spacing w:after="160" w:line="259" w:lineRule="auto"/>
        <w:rPr>
          <w:rFonts w:asciiTheme="majorHAnsi" w:eastAsiaTheme="majorEastAsia" w:hAnsiTheme="majorHAnsi" w:cstheme="majorBidi"/>
          <w:color w:val="2F5496" w:themeColor="accent1" w:themeShade="BF"/>
          <w:sz w:val="32"/>
          <w:szCs w:val="32"/>
        </w:rPr>
      </w:pPr>
      <w:r>
        <w:br w:type="page"/>
      </w:r>
    </w:p>
    <w:p w14:paraId="49DDB547" w14:textId="3DF1949B" w:rsidR="00B54B27" w:rsidRDefault="00B54B27" w:rsidP="00B54B27">
      <w:pPr>
        <w:pStyle w:val="Heading1"/>
      </w:pPr>
      <w:r>
        <w:lastRenderedPageBreak/>
        <w:t>Equity Model</w:t>
      </w:r>
    </w:p>
    <w:p w14:paraId="68F9B129" w14:textId="77777777" w:rsidR="003404AF" w:rsidRDefault="003404AF" w:rsidP="00B54B27">
      <w:pPr>
        <w:rPr>
          <w:rFonts w:ascii="Segoe UI" w:hAnsi="Segoe UI"/>
          <w:sz w:val="24"/>
        </w:rPr>
      </w:pPr>
    </w:p>
    <w:p w14:paraId="38F6C3CD" w14:textId="77BEACD7" w:rsidR="00B54B27" w:rsidRPr="00EA76FA" w:rsidRDefault="003404AF" w:rsidP="00B54B27">
      <w:pPr>
        <w:rPr>
          <w:rFonts w:ascii="Segoe UI" w:hAnsi="Segoe UI"/>
          <w:sz w:val="24"/>
        </w:rPr>
      </w:pPr>
      <w:r w:rsidRPr="00EA76FA">
        <w:rPr>
          <w:rFonts w:ascii="Segoe UI" w:hAnsi="Segoe UI"/>
          <w:sz w:val="24"/>
        </w:rPr>
        <w:t>T</w:t>
      </w:r>
      <w:r w:rsidR="00B54B27" w:rsidRPr="00EA76FA">
        <w:rPr>
          <w:rFonts w:ascii="Segoe UI" w:hAnsi="Segoe UI"/>
          <w:sz w:val="24"/>
        </w:rPr>
        <w:t>argeting criteria E1.T:</w:t>
      </w:r>
    </w:p>
    <w:p w14:paraId="432E99F4" w14:textId="77777777" w:rsidR="007F2779" w:rsidRPr="00EA76FA" w:rsidRDefault="007F2779" w:rsidP="00B54B27">
      <w:pPr>
        <w:rPr>
          <w:rFonts w:ascii="Segoe UI" w:hAnsi="Segoe UI"/>
          <w:sz w:val="24"/>
        </w:rPr>
      </w:pPr>
    </w:p>
    <w:p w14:paraId="6DC25C1F" w14:textId="44911CB5" w:rsidR="00B54B27" w:rsidRPr="00EA76FA" w:rsidRDefault="00271B9D" w:rsidP="00B54B27">
      <w:pPr>
        <w:rPr>
          <w:rFonts w:ascii="Segoe UI" w:hAnsi="Segoe UI"/>
          <w:sz w:val="24"/>
        </w:rPr>
      </w:pPr>
      <w:r>
        <w:rPr>
          <w:rFonts w:ascii="Segoe UI" w:hAnsi="Segoe UI"/>
          <w:sz w:val="24"/>
        </w:rPr>
        <w:t>Use updated Large Capitalization</w:t>
      </w:r>
      <w:r w:rsidR="00FC5DE7">
        <w:rPr>
          <w:rFonts w:ascii="Segoe UI" w:hAnsi="Segoe UI"/>
          <w:sz w:val="24"/>
        </w:rPr>
        <w:t xml:space="preserve"> (S&amp;P 500) </w:t>
      </w:r>
      <w:r>
        <w:rPr>
          <w:rFonts w:ascii="Segoe UI" w:hAnsi="Segoe UI"/>
          <w:sz w:val="24"/>
        </w:rPr>
        <w:t>equity</w:t>
      </w:r>
      <w:r w:rsidR="00FC5DE7">
        <w:rPr>
          <w:rFonts w:ascii="Segoe UI" w:hAnsi="Segoe UI"/>
          <w:sz w:val="24"/>
        </w:rPr>
        <w:t xml:space="preserve"> fund</w:t>
      </w:r>
      <w:r>
        <w:rPr>
          <w:rFonts w:ascii="Segoe UI" w:hAnsi="Segoe UI"/>
          <w:sz w:val="24"/>
        </w:rPr>
        <w:t xml:space="preserve"> Gross Wealth Factors (GWFs)</w:t>
      </w:r>
      <w:r w:rsidR="00FC5DE7">
        <w:rPr>
          <w:rFonts w:ascii="Segoe UI" w:hAnsi="Segoe UI"/>
          <w:sz w:val="24"/>
        </w:rPr>
        <w:t xml:space="preserve"> </w:t>
      </w:r>
      <w:r w:rsidR="00AC6B39">
        <w:rPr>
          <w:rFonts w:ascii="Segoe UI" w:hAnsi="Segoe UI"/>
          <w:sz w:val="24"/>
        </w:rPr>
        <w:t xml:space="preserve">developed by the American Academy of Actuaries based on an average of </w:t>
      </w:r>
      <w:r w:rsidR="00287D83">
        <w:rPr>
          <w:rFonts w:ascii="Segoe UI" w:hAnsi="Segoe UI"/>
          <w:sz w:val="24"/>
        </w:rPr>
        <w:t xml:space="preserve">reference models as </w:t>
      </w:r>
      <w:r w:rsidR="00D40150">
        <w:rPr>
          <w:rFonts w:ascii="Segoe UI" w:hAnsi="Segoe UI"/>
          <w:sz w:val="24"/>
        </w:rPr>
        <w:t>a calibration targets.</w:t>
      </w:r>
    </w:p>
    <w:p w14:paraId="54550A7F" w14:textId="0E072CA4" w:rsidR="00B54B27" w:rsidRPr="00EA76FA" w:rsidRDefault="00B54B27" w:rsidP="00B54B27">
      <w:pPr>
        <w:rPr>
          <w:rFonts w:ascii="Segoe UI" w:hAnsi="Segoe UI"/>
          <w:sz w:val="24"/>
        </w:rPr>
      </w:pPr>
    </w:p>
    <w:p w14:paraId="5D808014" w14:textId="317707FD" w:rsidR="00B54B27" w:rsidRDefault="008B2430" w:rsidP="00B54B27">
      <w:pPr>
        <w:rPr>
          <w:rFonts w:ascii="Segoe UI" w:hAnsi="Segoe UI"/>
          <w:sz w:val="24"/>
        </w:rPr>
      </w:pPr>
      <w:r w:rsidRPr="008B2430">
        <w:rPr>
          <w:rFonts w:ascii="Segoe UI" w:hAnsi="Segoe UI"/>
          <w:noProof/>
          <w:sz w:val="24"/>
        </w:rPr>
        <w:drawing>
          <wp:inline distT="0" distB="0" distL="0" distR="0" wp14:anchorId="3E7A3294" wp14:editId="53A46693">
            <wp:extent cx="5943600" cy="2774315"/>
            <wp:effectExtent l="0" t="0" r="0" b="6985"/>
            <wp:docPr id="346569324" name="Picture 1" descr="A table with numbers and a number of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569324" name="Picture 1" descr="A table with numbers and a number of numbers&#10;&#10;Description automatically generated"/>
                    <pic:cNvPicPr/>
                  </pic:nvPicPr>
                  <pic:blipFill>
                    <a:blip r:embed="rId11"/>
                    <a:stretch>
                      <a:fillRect/>
                    </a:stretch>
                  </pic:blipFill>
                  <pic:spPr>
                    <a:xfrm>
                      <a:off x="0" y="0"/>
                      <a:ext cx="5943600" cy="2774315"/>
                    </a:xfrm>
                    <a:prstGeom prst="rect">
                      <a:avLst/>
                    </a:prstGeom>
                  </pic:spPr>
                </pic:pic>
              </a:graphicData>
            </a:graphic>
          </wp:inline>
        </w:drawing>
      </w:r>
    </w:p>
    <w:p w14:paraId="2638AA21" w14:textId="77777777" w:rsidR="00882A20" w:rsidRDefault="00882A20" w:rsidP="00B54B27"/>
    <w:p w14:paraId="04B54C2A" w14:textId="53C7774D" w:rsidR="007B1C6C" w:rsidRDefault="00000000" w:rsidP="00B54B27">
      <w:hyperlink r:id="rId12" w:history="1">
        <w:r w:rsidR="00882A20">
          <w:rPr>
            <w:rStyle w:val="Hyperlink"/>
            <w:rFonts w:ascii="Nunito Sans" w:hAnsi="Nunito Sans"/>
            <w:b/>
            <w:bCs/>
            <w:shd w:val="clear" w:color="auto" w:fill="FFFFFF"/>
          </w:rPr>
          <w:t>AAA Equity GWF Acceptance Criteria 031424</w:t>
        </w:r>
      </w:hyperlink>
    </w:p>
    <w:p w14:paraId="3E4143AD" w14:textId="77777777" w:rsidR="00882A20" w:rsidRPr="00EA76FA" w:rsidRDefault="00882A20" w:rsidP="00B54B27">
      <w:pPr>
        <w:rPr>
          <w:rFonts w:ascii="Segoe UI" w:hAnsi="Segoe UI"/>
          <w:sz w:val="24"/>
        </w:rPr>
      </w:pPr>
    </w:p>
    <w:p w14:paraId="25BE6638" w14:textId="4BA31B59" w:rsidR="00B54B27" w:rsidRDefault="00B54B27" w:rsidP="00B54B27">
      <w:pPr>
        <w:rPr>
          <w:rFonts w:ascii="Segoe UI" w:hAnsi="Segoe UI"/>
          <w:sz w:val="24"/>
        </w:rPr>
      </w:pPr>
      <w:r w:rsidRPr="00EA76FA">
        <w:rPr>
          <w:rFonts w:ascii="Segoe UI" w:hAnsi="Segoe UI"/>
          <w:sz w:val="24"/>
        </w:rPr>
        <w:t>Sharpe ratios for equities other than S&amp;P should be within 5% of S&amp;P Sharpe ratio</w:t>
      </w:r>
      <w:r w:rsidR="007F2779" w:rsidRPr="00EA76FA">
        <w:rPr>
          <w:rFonts w:ascii="Segoe UI" w:hAnsi="Segoe UI"/>
          <w:sz w:val="24"/>
        </w:rPr>
        <w:t xml:space="preserve">.  </w:t>
      </w:r>
    </w:p>
    <w:p w14:paraId="6B105B1F" w14:textId="77777777" w:rsidR="00B11EAF" w:rsidRDefault="00B11EAF" w:rsidP="00B54B27">
      <w:pPr>
        <w:rPr>
          <w:rFonts w:ascii="Segoe UI" w:hAnsi="Segoe UI"/>
          <w:sz w:val="24"/>
        </w:rPr>
      </w:pPr>
    </w:p>
    <w:p w14:paraId="6458D4F0" w14:textId="4BBB49F0" w:rsidR="00B54B27" w:rsidRPr="00EA76FA" w:rsidRDefault="003404AF" w:rsidP="00B54B27">
      <w:pPr>
        <w:rPr>
          <w:rFonts w:ascii="Segoe UI" w:hAnsi="Segoe UI"/>
          <w:sz w:val="24"/>
        </w:rPr>
      </w:pPr>
      <w:r w:rsidRPr="00EA76FA">
        <w:rPr>
          <w:rFonts w:ascii="Segoe UI" w:hAnsi="Segoe UI"/>
          <w:sz w:val="24"/>
        </w:rPr>
        <w:t>E</w:t>
      </w:r>
      <w:r w:rsidR="00B54B27" w:rsidRPr="00EA76FA">
        <w:rPr>
          <w:rFonts w:ascii="Segoe UI" w:hAnsi="Segoe UI"/>
          <w:sz w:val="24"/>
        </w:rPr>
        <w:t xml:space="preserve">valuation </w:t>
      </w:r>
      <w:r w:rsidRPr="00EA76FA">
        <w:rPr>
          <w:rFonts w:ascii="Segoe UI" w:hAnsi="Segoe UI"/>
          <w:sz w:val="24"/>
        </w:rPr>
        <w:t>statistics</w:t>
      </w:r>
      <w:r w:rsidR="00B54B27" w:rsidRPr="00EA76FA">
        <w:rPr>
          <w:rFonts w:ascii="Segoe UI" w:hAnsi="Segoe UI"/>
          <w:sz w:val="24"/>
        </w:rPr>
        <w:t xml:space="preserve"> E1.E:</w:t>
      </w:r>
    </w:p>
    <w:p w14:paraId="2CB496B6" w14:textId="77777777" w:rsidR="007F2779" w:rsidRPr="00EA76FA" w:rsidRDefault="007F2779" w:rsidP="00B54B27">
      <w:pPr>
        <w:rPr>
          <w:rFonts w:ascii="Segoe UI" w:hAnsi="Segoe UI"/>
          <w:sz w:val="24"/>
        </w:rPr>
      </w:pPr>
    </w:p>
    <w:p w14:paraId="3EEDE49D" w14:textId="2E922E33" w:rsidR="00B54B27" w:rsidRPr="00EA76FA" w:rsidRDefault="00B54B27" w:rsidP="00B54B27">
      <w:pPr>
        <w:autoSpaceDE w:val="0"/>
        <w:autoSpaceDN w:val="0"/>
        <w:adjustRightInd w:val="0"/>
        <w:rPr>
          <w:rFonts w:ascii="Segoe UI" w:hAnsi="Segoe UI" w:cs="Segoe UI"/>
          <w:kern w:val="0"/>
          <w:sz w:val="24"/>
          <w:szCs w:val="24"/>
          <w14:ligatures w14:val="none"/>
        </w:rPr>
      </w:pPr>
      <w:r w:rsidRPr="00EA76FA">
        <w:rPr>
          <w:rFonts w:ascii="Segoe UI" w:hAnsi="Segoe UI" w:cs="Segoe UI"/>
          <w:kern w:val="0"/>
          <w:sz w:val="24"/>
          <w:szCs w:val="24"/>
          <w14:ligatures w14:val="none"/>
        </w:rPr>
        <w:t>Review 0.5th percentile, comparing to [0.54/0.58/0.62] for 1/5/10-</w:t>
      </w:r>
      <w:r w:rsidRPr="00EA76FA">
        <w:rPr>
          <w:rFonts w:ascii="Segoe UI" w:hAnsi="Segoe UI" w:cs="Segoe UI"/>
          <w:sz w:val="24"/>
          <w:szCs w:val="24"/>
        </w:rPr>
        <w:t>year</w:t>
      </w:r>
      <w:r w:rsidRPr="00EA76FA">
        <w:rPr>
          <w:rFonts w:ascii="Segoe UI" w:hAnsi="Segoe UI" w:cs="Segoe UI"/>
          <w:kern w:val="0"/>
          <w:sz w:val="24"/>
          <w:szCs w:val="24"/>
          <w14:ligatures w14:val="none"/>
        </w:rPr>
        <w:t xml:space="preserve"> WF.</w:t>
      </w:r>
    </w:p>
    <w:p w14:paraId="47682451" w14:textId="77777777" w:rsidR="00B54B27" w:rsidRPr="00EA76FA" w:rsidRDefault="00B54B27" w:rsidP="00B54B27">
      <w:pPr>
        <w:rPr>
          <w:rFonts w:ascii="Segoe UI" w:hAnsi="Segoe UI"/>
          <w:sz w:val="24"/>
        </w:rPr>
      </w:pPr>
    </w:p>
    <w:p w14:paraId="0792FA4D" w14:textId="77777777" w:rsidR="00882A20" w:rsidRDefault="00882A20" w:rsidP="00882A20">
      <w:pPr>
        <w:rPr>
          <w:rFonts w:ascii="Segoe UI" w:hAnsi="Segoe UI"/>
          <w:sz w:val="24"/>
        </w:rPr>
      </w:pPr>
      <w:r>
        <w:rPr>
          <w:rFonts w:ascii="Segoe UI" w:hAnsi="Segoe UI"/>
          <w:sz w:val="24"/>
        </w:rPr>
        <w:t>Targeting criteria E2.T:</w:t>
      </w:r>
    </w:p>
    <w:p w14:paraId="2C991957" w14:textId="77777777" w:rsidR="00882A20" w:rsidRDefault="00882A20" w:rsidP="00882A20">
      <w:pPr>
        <w:rPr>
          <w:rFonts w:ascii="Segoe UI" w:hAnsi="Segoe UI"/>
          <w:sz w:val="24"/>
        </w:rPr>
      </w:pPr>
    </w:p>
    <w:p w14:paraId="086DEF62" w14:textId="77777777" w:rsidR="00882A20" w:rsidRDefault="00882A20" w:rsidP="00882A20">
      <w:pPr>
        <w:rPr>
          <w:rFonts w:ascii="Segoe UI" w:hAnsi="Segoe UI"/>
          <w:sz w:val="24"/>
        </w:rPr>
      </w:pPr>
      <w:r>
        <w:rPr>
          <w:rFonts w:ascii="Segoe UI" w:hAnsi="Segoe UI"/>
          <w:sz w:val="24"/>
        </w:rPr>
        <w:t xml:space="preserve">Target the below correlations between interest rates and equity returns under low rate/low equity return and high rate/low equity return quadrants at the </w:t>
      </w:r>
      <w:proofErr w:type="gramStart"/>
      <w:r>
        <w:rPr>
          <w:rFonts w:ascii="Segoe UI" w:hAnsi="Segoe UI"/>
          <w:sz w:val="24"/>
        </w:rPr>
        <w:t>10 and 30 year</w:t>
      </w:r>
      <w:proofErr w:type="gramEnd"/>
      <w:r>
        <w:rPr>
          <w:rFonts w:ascii="Segoe UI" w:hAnsi="Segoe UI"/>
          <w:sz w:val="24"/>
        </w:rPr>
        <w:t xml:space="preserve"> time horizon.</w:t>
      </w:r>
    </w:p>
    <w:p w14:paraId="7C852EBB" w14:textId="77777777" w:rsidR="00882A20" w:rsidRPr="00EA76FA" w:rsidRDefault="00882A20" w:rsidP="00882A20">
      <w:pPr>
        <w:rPr>
          <w:rFonts w:ascii="Segoe UI" w:hAnsi="Segoe UI"/>
          <w:sz w:val="24"/>
        </w:rPr>
      </w:pPr>
    </w:p>
    <w:p w14:paraId="1C5EBB9D" w14:textId="77777777" w:rsidR="00882A20" w:rsidRPr="00EA76FA" w:rsidRDefault="00882A20" w:rsidP="00882A20">
      <w:pPr>
        <w:rPr>
          <w:rFonts w:ascii="Segoe UI" w:hAnsi="Segoe UI"/>
          <w:sz w:val="24"/>
        </w:rPr>
      </w:pPr>
      <w:r>
        <w:rPr>
          <w:noProof/>
        </w:rPr>
        <w:drawing>
          <wp:inline distT="0" distB="0" distL="0" distR="0" wp14:anchorId="79503D4A" wp14:editId="164C361F">
            <wp:extent cx="3543300" cy="609600"/>
            <wp:effectExtent l="0" t="0" r="0" b="0"/>
            <wp:docPr id="1404575290"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575290" name="Picture 3" descr="A black background with white text&#10;&#10;Description automatically generated"/>
                    <pic:cNvPicPr>
                      <a:picLocks noChangeAspect="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543300" cy="609600"/>
                    </a:xfrm>
                    <a:prstGeom prst="rect">
                      <a:avLst/>
                    </a:prstGeom>
                    <a:noFill/>
                    <a:ln>
                      <a:noFill/>
                    </a:ln>
                  </pic:spPr>
                </pic:pic>
              </a:graphicData>
            </a:graphic>
          </wp:inline>
        </w:drawing>
      </w:r>
    </w:p>
    <w:p w14:paraId="637B8F73" w14:textId="1F7074D9" w:rsidR="00B54B27" w:rsidRPr="00882A20" w:rsidRDefault="00B14425" w:rsidP="00882A20">
      <w:pPr>
        <w:spacing w:after="160" w:line="259" w:lineRule="auto"/>
        <w:rPr>
          <w:rFonts w:asciiTheme="majorHAnsi" w:eastAsiaTheme="majorEastAsia" w:hAnsiTheme="majorHAnsi" w:cstheme="majorHAnsi"/>
          <w:color w:val="2F5496" w:themeColor="accent1" w:themeShade="BF"/>
          <w:sz w:val="32"/>
          <w:szCs w:val="32"/>
        </w:rPr>
      </w:pPr>
      <w:r>
        <w:br w:type="page"/>
      </w:r>
      <w:r w:rsidR="00B54B27" w:rsidRPr="00882A20">
        <w:rPr>
          <w:rFonts w:asciiTheme="majorHAnsi" w:hAnsiTheme="majorHAnsi" w:cstheme="majorHAnsi"/>
          <w:color w:val="2F5496" w:themeColor="accent1" w:themeShade="BF"/>
          <w:sz w:val="32"/>
          <w:szCs w:val="32"/>
        </w:rPr>
        <w:lastRenderedPageBreak/>
        <w:t>Corporate Model</w:t>
      </w:r>
    </w:p>
    <w:p w14:paraId="1A30237C" w14:textId="5B31CC5F" w:rsidR="00B54B27" w:rsidRPr="00EA76FA" w:rsidRDefault="003404AF" w:rsidP="00B54B27">
      <w:pPr>
        <w:autoSpaceDE w:val="0"/>
        <w:autoSpaceDN w:val="0"/>
        <w:adjustRightInd w:val="0"/>
        <w:rPr>
          <w:rFonts w:ascii="Segoe UI" w:hAnsi="Segoe UI" w:cs="Segoe UI"/>
          <w:kern w:val="0"/>
          <w:sz w:val="24"/>
          <w:szCs w:val="24"/>
        </w:rPr>
      </w:pPr>
      <w:r w:rsidRPr="00EA76FA">
        <w:rPr>
          <w:rFonts w:ascii="Segoe UI" w:hAnsi="Segoe UI" w:cs="Segoe UI"/>
          <w:kern w:val="0"/>
          <w:sz w:val="24"/>
          <w:szCs w:val="24"/>
        </w:rPr>
        <w:t xml:space="preserve">Targeting </w:t>
      </w:r>
      <w:r w:rsidR="00EA76FA">
        <w:rPr>
          <w:rFonts w:ascii="Segoe UI" w:hAnsi="Segoe UI" w:cs="Segoe UI"/>
          <w:kern w:val="0"/>
          <w:sz w:val="24"/>
          <w:szCs w:val="24"/>
        </w:rPr>
        <w:t>c</w:t>
      </w:r>
      <w:r w:rsidRPr="00EA76FA">
        <w:rPr>
          <w:rFonts w:ascii="Segoe UI" w:hAnsi="Segoe UI" w:cs="Segoe UI"/>
          <w:kern w:val="0"/>
          <w:sz w:val="24"/>
          <w:szCs w:val="24"/>
        </w:rPr>
        <w:t>riteria C1.T:</w:t>
      </w:r>
    </w:p>
    <w:p w14:paraId="6C8AC644" w14:textId="77777777" w:rsidR="003404AF" w:rsidRPr="00EA76FA" w:rsidRDefault="003404AF" w:rsidP="00B54B27">
      <w:pPr>
        <w:autoSpaceDE w:val="0"/>
        <w:autoSpaceDN w:val="0"/>
        <w:adjustRightInd w:val="0"/>
        <w:rPr>
          <w:rFonts w:ascii="Segoe UI" w:hAnsi="Segoe UI" w:cs="Segoe UI"/>
          <w:kern w:val="0"/>
          <w:sz w:val="24"/>
          <w:szCs w:val="24"/>
        </w:rPr>
      </w:pPr>
    </w:p>
    <w:p w14:paraId="43CE1C4C" w14:textId="77777777" w:rsidR="00B54B27" w:rsidRPr="00EA76FA" w:rsidRDefault="00B54B27" w:rsidP="00B54B27">
      <w:pPr>
        <w:pStyle w:val="ListParagraph"/>
        <w:numPr>
          <w:ilvl w:val="0"/>
          <w:numId w:val="4"/>
        </w:numPr>
        <w:autoSpaceDE w:val="0"/>
        <w:autoSpaceDN w:val="0"/>
        <w:adjustRightInd w:val="0"/>
        <w:rPr>
          <w:rFonts w:ascii="Segoe UI" w:hAnsi="Segoe UI" w:cs="Segoe UI"/>
          <w:kern w:val="0"/>
          <w:sz w:val="24"/>
          <w:szCs w:val="24"/>
          <w14:ligatures w14:val="none"/>
        </w:rPr>
      </w:pPr>
      <w:r w:rsidRPr="00EA76FA">
        <w:rPr>
          <w:rFonts w:ascii="Segoe UI" w:hAnsi="Segoe UI" w:cs="Segoe UI"/>
          <w:kern w:val="0"/>
          <w:sz w:val="24"/>
          <w:szCs w:val="24"/>
          <w14:ligatures w14:val="none"/>
        </w:rPr>
        <w:t>Set steady state excess return targets for each bond fund according to the criteria below.</w:t>
      </w:r>
    </w:p>
    <w:p w14:paraId="552057B0" w14:textId="77777777" w:rsidR="00B54B27" w:rsidRPr="00EA76FA" w:rsidRDefault="00B54B27" w:rsidP="00B54B27">
      <w:pPr>
        <w:autoSpaceDE w:val="0"/>
        <w:autoSpaceDN w:val="0"/>
        <w:adjustRightInd w:val="0"/>
        <w:rPr>
          <w:rFonts w:ascii="Segoe UI" w:hAnsi="Segoe UI" w:cs="Segoe UI"/>
          <w:kern w:val="0"/>
          <w:sz w:val="24"/>
          <w:szCs w:val="24"/>
          <w14:ligatures w14:val="none"/>
        </w:rPr>
      </w:pPr>
    </w:p>
    <w:p w14:paraId="54D0F119" w14:textId="6280599A" w:rsidR="00B54B27" w:rsidRPr="00EA76FA" w:rsidRDefault="00B54B27" w:rsidP="00B54B27">
      <w:pPr>
        <w:autoSpaceDE w:val="0"/>
        <w:autoSpaceDN w:val="0"/>
        <w:adjustRightInd w:val="0"/>
        <w:rPr>
          <w:rFonts w:ascii="Segoe UI" w:hAnsi="Segoe UI" w:cs="Segoe UI"/>
          <w:kern w:val="0"/>
          <w:sz w:val="24"/>
          <w:szCs w:val="24"/>
          <w14:ligatures w14:val="none"/>
        </w:rPr>
      </w:pPr>
      <w:r w:rsidRPr="00EA76FA">
        <w:rPr>
          <w:rFonts w:ascii="Segoe UI" w:hAnsi="Segoe UI" w:cs="Segoe UI"/>
          <w:noProof/>
          <w:kern w:val="0"/>
          <w:sz w:val="24"/>
          <w:szCs w:val="24"/>
          <w14:ligatures w14:val="none"/>
        </w:rPr>
        <w:drawing>
          <wp:inline distT="0" distB="0" distL="0" distR="0" wp14:anchorId="240064C3" wp14:editId="3329B7E3">
            <wp:extent cx="5238750" cy="1466850"/>
            <wp:effectExtent l="0" t="0" r="0" b="0"/>
            <wp:docPr id="19526521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1466850"/>
                    </a:xfrm>
                    <a:prstGeom prst="rect">
                      <a:avLst/>
                    </a:prstGeom>
                    <a:noFill/>
                    <a:ln>
                      <a:noFill/>
                    </a:ln>
                  </pic:spPr>
                </pic:pic>
              </a:graphicData>
            </a:graphic>
          </wp:inline>
        </w:drawing>
      </w:r>
    </w:p>
    <w:p w14:paraId="6EBE3714" w14:textId="77777777" w:rsidR="00B54B27" w:rsidRPr="00EA76FA" w:rsidRDefault="00B54B27" w:rsidP="00B54B27">
      <w:pPr>
        <w:pStyle w:val="ListParagraph"/>
        <w:numPr>
          <w:ilvl w:val="0"/>
          <w:numId w:val="4"/>
        </w:numPr>
        <w:autoSpaceDE w:val="0"/>
        <w:autoSpaceDN w:val="0"/>
        <w:adjustRightInd w:val="0"/>
        <w:rPr>
          <w:rFonts w:ascii="Segoe UI" w:hAnsi="Segoe UI" w:cs="Segoe UI"/>
          <w:kern w:val="0"/>
          <w:sz w:val="24"/>
          <w:szCs w:val="24"/>
          <w14:ligatures w14:val="none"/>
        </w:rPr>
      </w:pPr>
      <w:r w:rsidRPr="00EA76FA">
        <w:rPr>
          <w:rFonts w:ascii="Segoe UI" w:hAnsi="Segoe UI" w:cs="Segoe UI"/>
          <w:kern w:val="0"/>
          <w:sz w:val="24"/>
          <w:szCs w:val="24"/>
          <w14:ligatures w14:val="none"/>
        </w:rPr>
        <w:t xml:space="preserve">Average annualized excess returns for each bond fund in years 20 through 30 of the projection should be no greater than the steady state excess returns, but no less than the steady state excess returns minus a </w:t>
      </w:r>
      <w:proofErr w:type="gramStart"/>
      <w:r w:rsidRPr="00EA76FA">
        <w:rPr>
          <w:rFonts w:ascii="Segoe UI" w:hAnsi="Segoe UI" w:cs="Segoe UI"/>
          <w:kern w:val="0"/>
          <w:sz w:val="24"/>
          <w:szCs w:val="24"/>
          <w14:ligatures w14:val="none"/>
        </w:rPr>
        <w:t>buffer</w:t>
      </w:r>
      <w:proofErr w:type="gramEnd"/>
    </w:p>
    <w:p w14:paraId="1253E2CB" w14:textId="77777777" w:rsidR="00B54B27" w:rsidRPr="00EA76FA" w:rsidRDefault="00B54B27" w:rsidP="00B54B27">
      <w:pPr>
        <w:pStyle w:val="ListParagraph"/>
        <w:autoSpaceDE w:val="0"/>
        <w:autoSpaceDN w:val="0"/>
        <w:adjustRightInd w:val="0"/>
        <w:rPr>
          <w:rFonts w:ascii="HelveticaNeueLTPro-Lt" w:hAnsi="HelveticaNeueLTPro-Lt" w:cs="HelveticaNeueLTPro-Lt"/>
          <w:kern w:val="0"/>
          <w:sz w:val="19"/>
          <w:szCs w:val="19"/>
        </w:rPr>
      </w:pPr>
    </w:p>
    <w:p w14:paraId="37304835" w14:textId="77777777" w:rsidR="00B54B27" w:rsidRPr="00EA76FA" w:rsidRDefault="00B54B27" w:rsidP="00B54B27">
      <w:pPr>
        <w:autoSpaceDE w:val="0"/>
        <w:autoSpaceDN w:val="0"/>
        <w:adjustRightInd w:val="0"/>
        <w:rPr>
          <w:rFonts w:ascii="HelveticaNeueLTPro-Lt" w:hAnsi="HelveticaNeueLTPro-Lt" w:cs="HelveticaNeueLTPro-Lt"/>
          <w:kern w:val="0"/>
          <w:sz w:val="19"/>
          <w:szCs w:val="19"/>
        </w:rPr>
      </w:pPr>
    </w:p>
    <w:p w14:paraId="5F013708" w14:textId="4F973C6D" w:rsidR="00B54B27" w:rsidRPr="00EA76FA" w:rsidRDefault="003404AF" w:rsidP="003404AF">
      <w:pPr>
        <w:spacing w:after="160" w:line="259" w:lineRule="auto"/>
        <w:rPr>
          <w:rFonts w:asciiTheme="majorHAnsi" w:eastAsiaTheme="majorEastAsia" w:hAnsiTheme="majorHAnsi" w:cstheme="majorBidi"/>
          <w:sz w:val="26"/>
          <w:szCs w:val="26"/>
        </w:rPr>
      </w:pPr>
      <w:r w:rsidRPr="00EA76FA">
        <w:rPr>
          <w:rFonts w:ascii="Segoe UI" w:hAnsi="Segoe UI"/>
          <w:sz w:val="24"/>
        </w:rPr>
        <w:t>E</w:t>
      </w:r>
      <w:r w:rsidR="00B54B27" w:rsidRPr="00EA76FA">
        <w:rPr>
          <w:rFonts w:ascii="Segoe UI" w:hAnsi="Segoe UI"/>
          <w:sz w:val="24"/>
        </w:rPr>
        <w:t>valuation statistics</w:t>
      </w:r>
      <w:r w:rsidRPr="00EA76FA">
        <w:rPr>
          <w:rFonts w:ascii="Segoe UI" w:hAnsi="Segoe UI"/>
          <w:sz w:val="24"/>
        </w:rPr>
        <w:t xml:space="preserve"> </w:t>
      </w:r>
      <w:r w:rsidR="00B54B27" w:rsidRPr="00EA76FA">
        <w:rPr>
          <w:rFonts w:ascii="Segoe UI" w:hAnsi="Segoe UI"/>
          <w:sz w:val="24"/>
        </w:rPr>
        <w:t>C2.E</w:t>
      </w:r>
      <w:r w:rsidRPr="00EA76FA">
        <w:rPr>
          <w:rFonts w:ascii="Segoe UI" w:hAnsi="Segoe UI"/>
          <w:sz w:val="24"/>
        </w:rPr>
        <w:t>:</w:t>
      </w:r>
    </w:p>
    <w:p w14:paraId="4CA91010" w14:textId="77777777" w:rsidR="00B54B27" w:rsidRDefault="00B54B27" w:rsidP="00B54B27">
      <w:pPr>
        <w:rPr>
          <w:rFonts w:ascii="Segoe UI" w:hAnsi="Segoe UI"/>
          <w:sz w:val="24"/>
        </w:rPr>
      </w:pPr>
    </w:p>
    <w:p w14:paraId="0CDA192C" w14:textId="3B108A00" w:rsidR="00B54B27" w:rsidRDefault="00B54B27" w:rsidP="00B54B27">
      <w:pPr>
        <w:rPr>
          <w:rFonts w:ascii="Segoe UI" w:hAnsi="Segoe UI"/>
          <w:sz w:val="24"/>
        </w:rPr>
      </w:pPr>
      <w:r>
        <w:rPr>
          <w:rFonts w:ascii="Segoe UI" w:hAnsi="Segoe UI"/>
          <w:noProof/>
          <w:sz w:val="24"/>
          <w14:ligatures w14:val="none"/>
        </w:rPr>
        <w:drawing>
          <wp:inline distT="0" distB="0" distL="0" distR="0" wp14:anchorId="3E2643D6" wp14:editId="64FC3881">
            <wp:extent cx="4067175" cy="1924050"/>
            <wp:effectExtent l="0" t="0" r="9525" b="0"/>
            <wp:docPr id="960299977"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299977" name="Picture 1" descr="Tab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7175" cy="1924050"/>
                    </a:xfrm>
                    <a:prstGeom prst="rect">
                      <a:avLst/>
                    </a:prstGeom>
                    <a:noFill/>
                    <a:ln>
                      <a:noFill/>
                    </a:ln>
                  </pic:spPr>
                </pic:pic>
              </a:graphicData>
            </a:graphic>
          </wp:inline>
        </w:drawing>
      </w:r>
    </w:p>
    <w:p w14:paraId="26045AEB" w14:textId="77777777" w:rsidR="00B54B27" w:rsidRDefault="00B54B27" w:rsidP="00B54B27">
      <w:pPr>
        <w:rPr>
          <w:rFonts w:ascii="Segoe UI" w:hAnsi="Segoe UI"/>
          <w:sz w:val="24"/>
        </w:rPr>
      </w:pPr>
    </w:p>
    <w:p w14:paraId="04A7617A" w14:textId="7AD25FAD" w:rsidR="003404AF" w:rsidRPr="009C2E52" w:rsidRDefault="008D0C9C" w:rsidP="009C2E52">
      <w:pPr>
        <w:spacing w:after="160" w:line="259" w:lineRule="auto"/>
        <w:rPr>
          <w:rFonts w:asciiTheme="majorHAnsi" w:eastAsiaTheme="majorEastAsia" w:hAnsiTheme="majorHAnsi" w:cstheme="majorBidi"/>
          <w:color w:val="2F5496" w:themeColor="accent1" w:themeShade="BF"/>
          <w:sz w:val="26"/>
          <w:szCs w:val="26"/>
        </w:rPr>
      </w:pPr>
      <w:r>
        <w:rPr>
          <w:rFonts w:ascii="Segoe UI" w:hAnsi="Segoe UI"/>
          <w:sz w:val="24"/>
        </w:rPr>
        <w:t>Evaluation statistic</w:t>
      </w:r>
      <w:r w:rsidR="003404AF">
        <w:rPr>
          <w:rFonts w:ascii="Segoe UI" w:hAnsi="Segoe UI"/>
          <w:sz w:val="24"/>
        </w:rPr>
        <w:t xml:space="preserve"> C3</w:t>
      </w:r>
      <w:r w:rsidR="002071AC">
        <w:rPr>
          <w:rFonts w:ascii="Segoe UI" w:hAnsi="Segoe UI"/>
          <w:sz w:val="24"/>
        </w:rPr>
        <w:t>.E</w:t>
      </w:r>
      <w:r w:rsidR="003404AF">
        <w:rPr>
          <w:rFonts w:ascii="Segoe UI" w:hAnsi="Segoe UI"/>
          <w:sz w:val="24"/>
        </w:rPr>
        <w:t>:</w:t>
      </w:r>
    </w:p>
    <w:p w14:paraId="27270240" w14:textId="27FCBF32" w:rsidR="003404AF" w:rsidRDefault="002071AC" w:rsidP="00B54B27">
      <w:pPr>
        <w:rPr>
          <w:rFonts w:ascii="Segoe UI" w:hAnsi="Segoe UI"/>
          <w:sz w:val="24"/>
        </w:rPr>
      </w:pPr>
      <w:r>
        <w:rPr>
          <w:rFonts w:ascii="Segoe UI" w:hAnsi="Segoe UI"/>
          <w:sz w:val="24"/>
        </w:rPr>
        <w:t>There should be some scenarios that include period</w:t>
      </w:r>
      <w:r w:rsidR="006475D1">
        <w:rPr>
          <w:rFonts w:ascii="Segoe UI" w:hAnsi="Segoe UI"/>
          <w:sz w:val="24"/>
        </w:rPr>
        <w:t xml:space="preserve">s where </w:t>
      </w:r>
      <w:r w:rsidR="00291DED">
        <w:rPr>
          <w:rFonts w:ascii="Segoe UI" w:hAnsi="Segoe UI"/>
          <w:sz w:val="24"/>
        </w:rPr>
        <w:t xml:space="preserve">credit losses are greater than credit spreads. In other words, there should be </w:t>
      </w:r>
      <w:r w:rsidR="00305F90">
        <w:rPr>
          <w:rFonts w:ascii="Segoe UI" w:hAnsi="Segoe UI"/>
          <w:sz w:val="24"/>
        </w:rPr>
        <w:t>some cases where the return on a corporate bond is less than a comparable UST bond.</w:t>
      </w:r>
    </w:p>
    <w:p w14:paraId="56C13496" w14:textId="1E345824" w:rsidR="00C4205C" w:rsidRDefault="00C4205C"/>
    <w:sectPr w:rsidR="00C4205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60F0" w14:textId="77777777" w:rsidR="00BA055B" w:rsidRDefault="00BA055B" w:rsidP="00C4205C">
      <w:r>
        <w:separator/>
      </w:r>
    </w:p>
  </w:endnote>
  <w:endnote w:type="continuationSeparator" w:id="0">
    <w:p w14:paraId="4C3ED109" w14:textId="77777777" w:rsidR="00BA055B" w:rsidRDefault="00BA055B" w:rsidP="00C4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charset w:val="00"/>
    <w:family w:val="auto"/>
    <w:pitch w:val="variable"/>
    <w:sig w:usb0="A00002FF" w:usb1="5000204B" w:usb2="00000000" w:usb3="00000000" w:csb0="00000197" w:csb1="00000000"/>
  </w:font>
  <w:font w:name="HelveticaNeueLTPro-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142710"/>
      <w:docPartObj>
        <w:docPartGallery w:val="Page Numbers (Bottom of Page)"/>
        <w:docPartUnique/>
      </w:docPartObj>
    </w:sdtPr>
    <w:sdtContent>
      <w:sdt>
        <w:sdtPr>
          <w:id w:val="1728636285"/>
          <w:docPartObj>
            <w:docPartGallery w:val="Page Numbers (Top of Page)"/>
            <w:docPartUnique/>
          </w:docPartObj>
        </w:sdtPr>
        <w:sdtContent>
          <w:p w14:paraId="0EB30231" w14:textId="532038EC" w:rsidR="00C4205C" w:rsidRDefault="00C420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B497E7" w14:textId="77777777" w:rsidR="00C4205C" w:rsidRDefault="00C42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FB2E1" w14:textId="77777777" w:rsidR="00BA055B" w:rsidRDefault="00BA055B" w:rsidP="00C4205C">
      <w:r>
        <w:separator/>
      </w:r>
    </w:p>
  </w:footnote>
  <w:footnote w:type="continuationSeparator" w:id="0">
    <w:p w14:paraId="4F51C45E" w14:textId="77777777" w:rsidR="00BA055B" w:rsidRDefault="00BA055B" w:rsidP="00C42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7B1C"/>
    <w:multiLevelType w:val="hybridMultilevel"/>
    <w:tmpl w:val="351A71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4B60691"/>
    <w:multiLevelType w:val="hybridMultilevel"/>
    <w:tmpl w:val="47109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D16828"/>
    <w:multiLevelType w:val="hybridMultilevel"/>
    <w:tmpl w:val="9B4C301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 w15:restartNumberingAfterBreak="0">
    <w:nsid w:val="773E6500"/>
    <w:multiLevelType w:val="hybridMultilevel"/>
    <w:tmpl w:val="9B4C301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366487106">
    <w:abstractNumId w:val="1"/>
  </w:num>
  <w:num w:numId="2" w16cid:durableId="1241135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80709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3110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27"/>
    <w:rsid w:val="00146D5A"/>
    <w:rsid w:val="002071AC"/>
    <w:rsid w:val="00257568"/>
    <w:rsid w:val="00271B9D"/>
    <w:rsid w:val="00287D83"/>
    <w:rsid w:val="00291DED"/>
    <w:rsid w:val="002D6FC2"/>
    <w:rsid w:val="00305F90"/>
    <w:rsid w:val="003224B9"/>
    <w:rsid w:val="003404AF"/>
    <w:rsid w:val="004E7246"/>
    <w:rsid w:val="00546465"/>
    <w:rsid w:val="00554B30"/>
    <w:rsid w:val="00586C06"/>
    <w:rsid w:val="0059232A"/>
    <w:rsid w:val="005B6428"/>
    <w:rsid w:val="005D545D"/>
    <w:rsid w:val="006160C0"/>
    <w:rsid w:val="006475D1"/>
    <w:rsid w:val="006A7B6B"/>
    <w:rsid w:val="006D3483"/>
    <w:rsid w:val="006E38B3"/>
    <w:rsid w:val="00743005"/>
    <w:rsid w:val="007652E5"/>
    <w:rsid w:val="007950E2"/>
    <w:rsid w:val="007B1C6C"/>
    <w:rsid w:val="007F2779"/>
    <w:rsid w:val="00832BDC"/>
    <w:rsid w:val="00882A20"/>
    <w:rsid w:val="008A27E5"/>
    <w:rsid w:val="008B2430"/>
    <w:rsid w:val="008C4EFD"/>
    <w:rsid w:val="008D0C9C"/>
    <w:rsid w:val="009B36BC"/>
    <w:rsid w:val="009C16D4"/>
    <w:rsid w:val="009C2E52"/>
    <w:rsid w:val="009C51FA"/>
    <w:rsid w:val="009E05DD"/>
    <w:rsid w:val="00A31911"/>
    <w:rsid w:val="00A3507B"/>
    <w:rsid w:val="00A873A8"/>
    <w:rsid w:val="00AA2DFB"/>
    <w:rsid w:val="00AC6B39"/>
    <w:rsid w:val="00B11EAF"/>
    <w:rsid w:val="00B14425"/>
    <w:rsid w:val="00B54B27"/>
    <w:rsid w:val="00B749FD"/>
    <w:rsid w:val="00BA055B"/>
    <w:rsid w:val="00BD436A"/>
    <w:rsid w:val="00C4205C"/>
    <w:rsid w:val="00CA6C18"/>
    <w:rsid w:val="00D40150"/>
    <w:rsid w:val="00D771F6"/>
    <w:rsid w:val="00DA7637"/>
    <w:rsid w:val="00DE3B7A"/>
    <w:rsid w:val="00E151B0"/>
    <w:rsid w:val="00E600AF"/>
    <w:rsid w:val="00E74CEB"/>
    <w:rsid w:val="00E85F1C"/>
    <w:rsid w:val="00EA76FA"/>
    <w:rsid w:val="00F10092"/>
    <w:rsid w:val="00F95204"/>
    <w:rsid w:val="00FC5DE7"/>
    <w:rsid w:val="00FF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4B22"/>
  <w15:chartTrackingRefBased/>
  <w15:docId w15:val="{E33EBEBD-116B-4154-802F-1AEBD427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27"/>
    <w:pPr>
      <w:spacing w:after="0" w:line="240" w:lineRule="auto"/>
    </w:pPr>
  </w:style>
  <w:style w:type="paragraph" w:styleId="Heading1">
    <w:name w:val="heading 1"/>
    <w:basedOn w:val="Normal"/>
    <w:next w:val="Normal"/>
    <w:link w:val="Heading1Char"/>
    <w:uiPriority w:val="9"/>
    <w:qFormat/>
    <w:rsid w:val="00B54B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4B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B27"/>
    <w:pPr>
      <w:ind w:left="720"/>
    </w:pPr>
  </w:style>
  <w:style w:type="character" w:customStyle="1" w:styleId="Heading1Char">
    <w:name w:val="Heading 1 Char"/>
    <w:basedOn w:val="DefaultParagraphFont"/>
    <w:link w:val="Heading1"/>
    <w:uiPriority w:val="9"/>
    <w:rsid w:val="00B54B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4B2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4205C"/>
    <w:pPr>
      <w:tabs>
        <w:tab w:val="center" w:pos="4680"/>
        <w:tab w:val="right" w:pos="9360"/>
      </w:tabs>
    </w:pPr>
  </w:style>
  <w:style w:type="character" w:customStyle="1" w:styleId="HeaderChar">
    <w:name w:val="Header Char"/>
    <w:basedOn w:val="DefaultParagraphFont"/>
    <w:link w:val="Header"/>
    <w:uiPriority w:val="99"/>
    <w:rsid w:val="00C4205C"/>
  </w:style>
  <w:style w:type="paragraph" w:styleId="Footer">
    <w:name w:val="footer"/>
    <w:basedOn w:val="Normal"/>
    <w:link w:val="FooterChar"/>
    <w:uiPriority w:val="99"/>
    <w:unhideWhenUsed/>
    <w:rsid w:val="00C4205C"/>
    <w:pPr>
      <w:tabs>
        <w:tab w:val="center" w:pos="4680"/>
        <w:tab w:val="right" w:pos="9360"/>
      </w:tabs>
    </w:pPr>
  </w:style>
  <w:style w:type="character" w:customStyle="1" w:styleId="FooterChar">
    <w:name w:val="Footer Char"/>
    <w:basedOn w:val="DefaultParagraphFont"/>
    <w:link w:val="Footer"/>
    <w:uiPriority w:val="99"/>
    <w:rsid w:val="00C4205C"/>
  </w:style>
  <w:style w:type="character" w:styleId="CommentReference">
    <w:name w:val="annotation reference"/>
    <w:basedOn w:val="DefaultParagraphFont"/>
    <w:uiPriority w:val="99"/>
    <w:semiHidden/>
    <w:unhideWhenUsed/>
    <w:rsid w:val="003404AF"/>
    <w:rPr>
      <w:sz w:val="16"/>
      <w:szCs w:val="16"/>
    </w:rPr>
  </w:style>
  <w:style w:type="paragraph" w:styleId="CommentText">
    <w:name w:val="annotation text"/>
    <w:basedOn w:val="Normal"/>
    <w:link w:val="CommentTextChar"/>
    <w:uiPriority w:val="99"/>
    <w:unhideWhenUsed/>
    <w:rsid w:val="003404AF"/>
    <w:rPr>
      <w:sz w:val="20"/>
      <w:szCs w:val="20"/>
    </w:rPr>
  </w:style>
  <w:style w:type="character" w:customStyle="1" w:styleId="CommentTextChar">
    <w:name w:val="Comment Text Char"/>
    <w:basedOn w:val="DefaultParagraphFont"/>
    <w:link w:val="CommentText"/>
    <w:uiPriority w:val="99"/>
    <w:rsid w:val="003404AF"/>
    <w:rPr>
      <w:sz w:val="20"/>
      <w:szCs w:val="20"/>
    </w:rPr>
  </w:style>
  <w:style w:type="paragraph" w:styleId="CommentSubject">
    <w:name w:val="annotation subject"/>
    <w:basedOn w:val="CommentText"/>
    <w:next w:val="CommentText"/>
    <w:link w:val="CommentSubjectChar"/>
    <w:uiPriority w:val="99"/>
    <w:semiHidden/>
    <w:unhideWhenUsed/>
    <w:rsid w:val="003404AF"/>
    <w:rPr>
      <w:b/>
      <w:bCs/>
    </w:rPr>
  </w:style>
  <w:style w:type="character" w:customStyle="1" w:styleId="CommentSubjectChar">
    <w:name w:val="Comment Subject Char"/>
    <w:basedOn w:val="CommentTextChar"/>
    <w:link w:val="CommentSubject"/>
    <w:uiPriority w:val="99"/>
    <w:semiHidden/>
    <w:rsid w:val="003404AF"/>
    <w:rPr>
      <w:b/>
      <w:bCs/>
      <w:sz w:val="20"/>
      <w:szCs w:val="20"/>
    </w:rPr>
  </w:style>
  <w:style w:type="paragraph" w:styleId="Revision">
    <w:name w:val="Revision"/>
    <w:hidden/>
    <w:uiPriority w:val="99"/>
    <w:semiHidden/>
    <w:rsid w:val="00E151B0"/>
    <w:pPr>
      <w:spacing w:after="0" w:line="240" w:lineRule="auto"/>
    </w:pPr>
  </w:style>
  <w:style w:type="character" w:styleId="Hyperlink">
    <w:name w:val="Hyperlink"/>
    <w:basedOn w:val="DefaultParagraphFont"/>
    <w:uiPriority w:val="99"/>
    <w:unhideWhenUsed/>
    <w:rsid w:val="007652E5"/>
    <w:rPr>
      <w:color w:val="0563C1" w:themeColor="hyperlink"/>
      <w:u w:val="single"/>
    </w:rPr>
  </w:style>
  <w:style w:type="character" w:styleId="UnresolvedMention">
    <w:name w:val="Unresolved Mention"/>
    <w:basedOn w:val="DefaultParagraphFont"/>
    <w:uiPriority w:val="99"/>
    <w:semiHidden/>
    <w:unhideWhenUsed/>
    <w:rsid w:val="00765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9223">
      <w:bodyDiv w:val="1"/>
      <w:marLeft w:val="0"/>
      <w:marRight w:val="0"/>
      <w:marTop w:val="0"/>
      <w:marBottom w:val="0"/>
      <w:divBdr>
        <w:top w:val="none" w:sz="0" w:space="0" w:color="auto"/>
        <w:left w:val="none" w:sz="0" w:space="0" w:color="auto"/>
        <w:bottom w:val="none" w:sz="0" w:space="0" w:color="auto"/>
        <w:right w:val="none" w:sz="0" w:space="0" w:color="auto"/>
      </w:divBdr>
    </w:div>
    <w:div w:id="883712518">
      <w:bodyDiv w:val="1"/>
      <w:marLeft w:val="0"/>
      <w:marRight w:val="0"/>
      <w:marTop w:val="0"/>
      <w:marBottom w:val="0"/>
      <w:divBdr>
        <w:top w:val="none" w:sz="0" w:space="0" w:color="auto"/>
        <w:left w:val="none" w:sz="0" w:space="0" w:color="auto"/>
        <w:bottom w:val="none" w:sz="0" w:space="0" w:color="auto"/>
        <w:right w:val="none" w:sz="0" w:space="0" w:color="auto"/>
      </w:divBdr>
    </w:div>
    <w:div w:id="193150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tent.naic.org/sites/default/files/inline-files/AAA%20Equity%20Accepance%20Criteria.xls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1.png@01DA6B72.E92BDA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5DC739BC3B249BE2BDBAB2476A73D" ma:contentTypeVersion="14" ma:contentTypeDescription="Create a new document." ma:contentTypeScope="" ma:versionID="b0dbb47d31f6531df806bdfea68a70fd">
  <xsd:schema xmlns:xsd="http://www.w3.org/2001/XMLSchema" xmlns:xs="http://www.w3.org/2001/XMLSchema" xmlns:p="http://schemas.microsoft.com/office/2006/metadata/properties" xmlns:ns2="1072afd1-b67c-4f06-8204-46357b21cd5d" xmlns:ns3="826143e3-bbcb-45bb-8829-107013e701e5" targetNamespace="http://schemas.microsoft.com/office/2006/metadata/properties" ma:root="true" ma:fieldsID="67298ff776b175279bb2af83a1ffee8e" ns2:_="" ns3:_="">
    <xsd:import namespace="1072afd1-b67c-4f06-8204-46357b21cd5d"/>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bjectDetectorVersions" minOccurs="0"/>
                <xsd:element ref="ns3:SharedWithUsers" minOccurs="0"/>
                <xsd:element ref="ns3:SharedWithDetails" minOccurs="0"/>
                <xsd:element ref="ns2:MediaServiceSearchPropertie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2afd1-b67c-4f06-8204-46357b21c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85AAD-BA6B-486E-9263-930E6EA165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79F75B-3E62-4F0F-8698-94FE87EA7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2afd1-b67c-4f06-8204-46357b21cd5d"/>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1BFB6-D14E-493F-8BCC-7527FB6E5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Hemphill</dc:creator>
  <cp:keywords/>
  <dc:description/>
  <cp:lastModifiedBy>O'Neal, Scott</cp:lastModifiedBy>
  <cp:revision>11</cp:revision>
  <dcterms:created xsi:type="dcterms:W3CDTF">2024-03-26T18:18:00Z</dcterms:created>
  <dcterms:modified xsi:type="dcterms:W3CDTF">2024-03-27T01:00:00Z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0x010100CB05DC739BC3B249BE2BDBAB2476A73D</vt:lpwstr>
  </property>
</Properties>
</file>