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78" w:rsidRDefault="00363178" w:rsidP="00363178"/>
    <w:p w:rsidR="00816678" w:rsidRDefault="00816678" w:rsidP="00363178">
      <w:r>
        <w:t xml:space="preserve">Date: </w:t>
      </w:r>
      <w:r w:rsidR="00881E45">
        <w:t>June 22</w:t>
      </w:r>
      <w:r w:rsidR="00BB0725">
        <w:t>, 20</w:t>
      </w:r>
      <w:r w:rsidR="00006F8B">
        <w:t>20</w:t>
      </w:r>
    </w:p>
    <w:p w:rsidR="00816678" w:rsidRDefault="00816678" w:rsidP="00363178"/>
    <w:p w:rsidR="00AF2890" w:rsidRDefault="00AF2890" w:rsidP="00363178">
      <w:r>
        <w:t>Please allow me to submit the following comment</w:t>
      </w:r>
      <w:r w:rsidR="00B83467">
        <w:t>s</w:t>
      </w:r>
      <w:r>
        <w:t xml:space="preserve"> on behalf of Virginia regarding the following exposure:</w:t>
      </w:r>
    </w:p>
    <w:p w:rsidR="00AF2890" w:rsidRDefault="00AF2890" w:rsidP="00363178"/>
    <w:p w:rsidR="00AF2890" w:rsidRDefault="00332D44" w:rsidP="00AF2890">
      <w:pPr>
        <w:ind w:left="720"/>
        <w:rPr>
          <w:b/>
        </w:rPr>
      </w:pPr>
      <w:r>
        <w:rPr>
          <w:b/>
        </w:rPr>
        <w:t>A</w:t>
      </w:r>
      <w:r w:rsidR="00006F8B">
        <w:rPr>
          <w:b/>
        </w:rPr>
        <w:t xml:space="preserve">CLI </w:t>
      </w:r>
      <w:r w:rsidR="00596122">
        <w:rPr>
          <w:b/>
        </w:rPr>
        <w:t xml:space="preserve">Exposure of </w:t>
      </w:r>
      <w:r w:rsidR="00006F8B">
        <w:rPr>
          <w:b/>
        </w:rPr>
        <w:t>AG 49</w:t>
      </w:r>
      <w:r w:rsidR="008A28B8">
        <w:rPr>
          <w:b/>
        </w:rPr>
        <w:t>A v2</w:t>
      </w:r>
      <w:r w:rsidR="00006F8B">
        <w:rPr>
          <w:b/>
        </w:rPr>
        <w:t xml:space="preserve"> </w:t>
      </w:r>
      <w:r w:rsidR="008A28B8">
        <w:rPr>
          <w:b/>
        </w:rPr>
        <w:t>d</w:t>
      </w:r>
      <w:r w:rsidR="00006F8B">
        <w:rPr>
          <w:b/>
        </w:rPr>
        <w:t xml:space="preserve">ated </w:t>
      </w:r>
      <w:r w:rsidR="008A28B8">
        <w:rPr>
          <w:b/>
        </w:rPr>
        <w:t>6</w:t>
      </w:r>
      <w:r w:rsidR="00006F8B">
        <w:rPr>
          <w:b/>
        </w:rPr>
        <w:t>-1</w:t>
      </w:r>
      <w:r w:rsidR="008A28B8">
        <w:rPr>
          <w:b/>
        </w:rPr>
        <w:t>8</w:t>
      </w:r>
      <w:r w:rsidR="00006F8B">
        <w:rPr>
          <w:b/>
        </w:rPr>
        <w:t>-20</w:t>
      </w:r>
    </w:p>
    <w:p w:rsidR="00090D57" w:rsidRDefault="00090D57" w:rsidP="00AF2890">
      <w:pPr>
        <w:ind w:left="720"/>
        <w:rPr>
          <w:b/>
        </w:rPr>
      </w:pPr>
    </w:p>
    <w:p w:rsidR="00881E45" w:rsidRDefault="00881E45" w:rsidP="00EC43F7">
      <w:pPr>
        <w:pStyle w:val="ListParagraph"/>
        <w:numPr>
          <w:ilvl w:val="0"/>
          <w:numId w:val="7"/>
        </w:numPr>
        <w:rPr>
          <w:rFonts w:asciiTheme="minorHAnsi" w:hAnsiTheme="minorHAnsi"/>
          <w:sz w:val="22"/>
          <w:szCs w:val="22"/>
        </w:rPr>
      </w:pPr>
      <w:r>
        <w:rPr>
          <w:rFonts w:asciiTheme="minorHAnsi" w:hAnsiTheme="minorHAnsi"/>
          <w:sz w:val="22"/>
          <w:szCs w:val="22"/>
          <w:u w:val="single"/>
        </w:rPr>
        <w:t>AG 49</w:t>
      </w:r>
      <w:r w:rsidR="009470F5">
        <w:rPr>
          <w:rFonts w:asciiTheme="minorHAnsi" w:hAnsiTheme="minorHAnsi"/>
          <w:sz w:val="22"/>
          <w:szCs w:val="22"/>
          <w:u w:val="single"/>
        </w:rPr>
        <w:t>.</w:t>
      </w:r>
      <w:r w:rsidR="009470F5">
        <w:rPr>
          <w:rFonts w:asciiTheme="minorHAnsi" w:hAnsiTheme="minorHAnsi"/>
          <w:sz w:val="22"/>
          <w:szCs w:val="22"/>
        </w:rPr>
        <w:t xml:space="preserve">  </w:t>
      </w:r>
      <w:r>
        <w:rPr>
          <w:rFonts w:asciiTheme="minorHAnsi" w:hAnsiTheme="minorHAnsi"/>
          <w:sz w:val="22"/>
          <w:szCs w:val="22"/>
        </w:rPr>
        <w:t>As one of the commenters noted, if AG 49A is adopted, then AG 49A will replace AG 49 and AG 49 may need to be revised to state that it is no longer applicable to policies that are issued after the effective date of AG 49A.</w:t>
      </w:r>
    </w:p>
    <w:p w:rsidR="00881E45" w:rsidRPr="00881E45" w:rsidRDefault="00881E45" w:rsidP="00881E45">
      <w:pPr>
        <w:ind w:left="360"/>
        <w:rPr>
          <w:rFonts w:asciiTheme="minorHAnsi" w:hAnsiTheme="minorHAnsi"/>
        </w:rPr>
      </w:pPr>
    </w:p>
    <w:p w:rsidR="00335A7B" w:rsidRPr="00335A7B" w:rsidRDefault="00335A7B" w:rsidP="006D4417">
      <w:pPr>
        <w:pStyle w:val="ListParagraph"/>
        <w:numPr>
          <w:ilvl w:val="0"/>
          <w:numId w:val="7"/>
        </w:numPr>
        <w:rPr>
          <w:rFonts w:asciiTheme="minorHAnsi" w:hAnsiTheme="minorHAnsi"/>
        </w:rPr>
      </w:pPr>
      <w:r>
        <w:rPr>
          <w:rFonts w:asciiTheme="minorHAnsi" w:hAnsiTheme="minorHAnsi"/>
          <w:sz w:val="22"/>
          <w:szCs w:val="22"/>
          <w:u w:val="single"/>
        </w:rPr>
        <w:t>Section 3(C)</w:t>
      </w:r>
      <w:r w:rsidR="00F91D4C">
        <w:rPr>
          <w:rFonts w:asciiTheme="minorHAnsi" w:hAnsiTheme="minorHAnsi"/>
          <w:sz w:val="22"/>
          <w:szCs w:val="22"/>
        </w:rPr>
        <w:t>.  “</w:t>
      </w:r>
      <w:r>
        <w:rPr>
          <w:rFonts w:asciiTheme="minorHAnsi" w:hAnsiTheme="minorHAnsi"/>
          <w:sz w:val="22"/>
          <w:szCs w:val="22"/>
        </w:rPr>
        <w:t>Annual Rate of Indexed Credits” should be underlined.</w:t>
      </w:r>
    </w:p>
    <w:p w:rsidR="00335A7B" w:rsidRPr="00335A7B" w:rsidRDefault="00335A7B" w:rsidP="00335A7B">
      <w:pPr>
        <w:pStyle w:val="ListParagraph"/>
        <w:rPr>
          <w:rFonts w:asciiTheme="minorHAnsi" w:hAnsiTheme="minorHAnsi"/>
          <w:sz w:val="22"/>
          <w:szCs w:val="22"/>
          <w:u w:val="single"/>
        </w:rPr>
      </w:pPr>
    </w:p>
    <w:p w:rsidR="006D4417" w:rsidRPr="006D4417" w:rsidRDefault="006D4417" w:rsidP="006D4417">
      <w:pPr>
        <w:pStyle w:val="ListParagraph"/>
        <w:numPr>
          <w:ilvl w:val="0"/>
          <w:numId w:val="7"/>
        </w:numPr>
        <w:rPr>
          <w:rFonts w:asciiTheme="minorHAnsi" w:hAnsiTheme="minorHAnsi"/>
        </w:rPr>
      </w:pPr>
      <w:r w:rsidRPr="00C06482">
        <w:rPr>
          <w:rFonts w:asciiTheme="minorHAnsi" w:hAnsiTheme="minorHAnsi"/>
          <w:sz w:val="22"/>
          <w:szCs w:val="22"/>
          <w:u w:val="single"/>
        </w:rPr>
        <w:t>In</w:t>
      </w:r>
      <w:r>
        <w:rPr>
          <w:rFonts w:asciiTheme="minorHAnsi" w:hAnsiTheme="minorHAnsi"/>
          <w:sz w:val="22"/>
          <w:szCs w:val="22"/>
          <w:u w:val="single"/>
        </w:rPr>
        <w:t>dexed Credits</w:t>
      </w:r>
      <w:r w:rsidRPr="00C06482">
        <w:rPr>
          <w:rFonts w:asciiTheme="minorHAnsi" w:hAnsiTheme="minorHAnsi"/>
          <w:sz w:val="22"/>
          <w:szCs w:val="22"/>
          <w:u w:val="single"/>
        </w:rPr>
        <w:t>.</w:t>
      </w:r>
      <w:r w:rsidRPr="00C06482">
        <w:rPr>
          <w:rFonts w:asciiTheme="minorHAnsi" w:hAnsiTheme="minorHAnsi"/>
          <w:sz w:val="22"/>
          <w:szCs w:val="22"/>
        </w:rPr>
        <w:t xml:space="preserve">  Section 3</w:t>
      </w:r>
      <w:r>
        <w:rPr>
          <w:rFonts w:asciiTheme="minorHAnsi" w:hAnsiTheme="minorHAnsi"/>
          <w:sz w:val="22"/>
          <w:szCs w:val="22"/>
        </w:rPr>
        <w:t>(H)</w:t>
      </w:r>
      <w:r w:rsidRPr="00C06482">
        <w:rPr>
          <w:rFonts w:asciiTheme="minorHAnsi" w:hAnsiTheme="minorHAnsi"/>
          <w:sz w:val="22"/>
          <w:szCs w:val="22"/>
        </w:rPr>
        <w:t xml:space="preserve">.  </w:t>
      </w:r>
      <w:r>
        <w:rPr>
          <w:rFonts w:asciiTheme="minorHAnsi" w:hAnsiTheme="minorHAnsi"/>
          <w:sz w:val="22"/>
          <w:szCs w:val="22"/>
        </w:rPr>
        <w:t>There is a circular reference in the second sentence of Section 3(H).  The definition of Indexed Credits references an Index Account with a floor, and the definition of Index Account refers to Indexed Credits, creating a circular reference.  The second sentence of Section 3(H) may inadvertently include any guaranteed interest credits, which would potentially bring non-indexed UL policie</w:t>
      </w:r>
      <w:bookmarkStart w:id="0" w:name="_GoBack"/>
      <w:bookmarkEnd w:id="0"/>
      <w:r>
        <w:rPr>
          <w:rFonts w:asciiTheme="minorHAnsi" w:hAnsiTheme="minorHAnsi"/>
          <w:sz w:val="22"/>
          <w:szCs w:val="22"/>
        </w:rPr>
        <w:t xml:space="preserve">s into the scope of AG 49.  To avoid </w:t>
      </w:r>
      <w:r w:rsidR="00676F87">
        <w:rPr>
          <w:rFonts w:asciiTheme="minorHAnsi" w:hAnsiTheme="minorHAnsi"/>
          <w:sz w:val="22"/>
          <w:szCs w:val="22"/>
        </w:rPr>
        <w:t xml:space="preserve">a </w:t>
      </w:r>
      <w:r>
        <w:rPr>
          <w:rFonts w:asciiTheme="minorHAnsi" w:hAnsiTheme="minorHAnsi"/>
          <w:sz w:val="22"/>
          <w:szCs w:val="22"/>
        </w:rPr>
        <w:t>circular reference, I would propose the following alternate wording for Section 3(H):</w:t>
      </w:r>
    </w:p>
    <w:p w:rsidR="006D4417" w:rsidRPr="006D4417" w:rsidRDefault="006D4417" w:rsidP="006D4417">
      <w:pPr>
        <w:pStyle w:val="ListParagraph"/>
        <w:rPr>
          <w:rFonts w:asciiTheme="minorHAnsi" w:hAnsiTheme="minorHAnsi"/>
          <w:sz w:val="22"/>
          <w:szCs w:val="22"/>
        </w:rPr>
      </w:pPr>
    </w:p>
    <w:p w:rsidR="006D4417" w:rsidRPr="006D4417" w:rsidRDefault="006D4417" w:rsidP="006D4417">
      <w:pPr>
        <w:ind w:left="1080" w:hanging="360"/>
        <w:rPr>
          <w:rFonts w:asciiTheme="minorHAnsi" w:hAnsiTheme="minorHAnsi"/>
        </w:rPr>
      </w:pPr>
      <w:r>
        <w:rPr>
          <w:rFonts w:asciiTheme="minorHAnsi" w:hAnsiTheme="minorHAnsi"/>
        </w:rPr>
        <w:t>H.</w:t>
      </w:r>
      <w:r>
        <w:rPr>
          <w:rFonts w:asciiTheme="minorHAnsi" w:hAnsiTheme="minorHAnsi"/>
        </w:rPr>
        <w:tab/>
        <w:t>Indexed Credits: Any interest credit, multiplier, factor, bonus, charge reduction, or other enhancement to policy values that is linked to an index or indices.  Amounts credited to the policy resulting from a floor greater than zero on an account with any interest credit, multiplier, factor, bonus, charge reduction, or other e</w:t>
      </w:r>
      <w:r w:rsidR="00676F87">
        <w:rPr>
          <w:rFonts w:asciiTheme="minorHAnsi" w:hAnsiTheme="minorHAnsi"/>
        </w:rPr>
        <w:t>n</w:t>
      </w:r>
      <w:r>
        <w:rPr>
          <w:rFonts w:asciiTheme="minorHAnsi" w:hAnsiTheme="minorHAnsi"/>
        </w:rPr>
        <w:t>hancement to policy values that is linked to an index or indices are included.</w:t>
      </w:r>
    </w:p>
    <w:p w:rsidR="00292519" w:rsidRPr="00292519" w:rsidRDefault="00292519" w:rsidP="00292519">
      <w:pPr>
        <w:pStyle w:val="ListParagraph"/>
        <w:rPr>
          <w:rFonts w:asciiTheme="minorHAnsi" w:hAnsiTheme="minorHAnsi"/>
          <w:sz w:val="22"/>
          <w:szCs w:val="22"/>
          <w:u w:val="single"/>
        </w:rPr>
      </w:pPr>
    </w:p>
    <w:p w:rsidR="00D97572" w:rsidRDefault="00AF38CF" w:rsidP="00EC43F7">
      <w:pPr>
        <w:pStyle w:val="ListParagraph"/>
        <w:numPr>
          <w:ilvl w:val="0"/>
          <w:numId w:val="7"/>
        </w:numPr>
        <w:rPr>
          <w:rFonts w:asciiTheme="minorHAnsi" w:hAnsiTheme="minorHAnsi"/>
          <w:sz w:val="22"/>
          <w:szCs w:val="22"/>
        </w:rPr>
      </w:pPr>
      <w:r>
        <w:rPr>
          <w:rFonts w:asciiTheme="minorHAnsi" w:hAnsiTheme="minorHAnsi"/>
          <w:sz w:val="22"/>
          <w:szCs w:val="22"/>
          <w:u w:val="single"/>
        </w:rPr>
        <w:t>Section 3(L)</w:t>
      </w:r>
      <w:r w:rsidR="00D97572">
        <w:rPr>
          <w:rFonts w:asciiTheme="minorHAnsi" w:hAnsiTheme="minorHAnsi"/>
          <w:sz w:val="22"/>
          <w:szCs w:val="22"/>
        </w:rPr>
        <w:t>.  There appears to be a space between the last word of the first sentence of this section and the ending period.</w:t>
      </w:r>
    </w:p>
    <w:p w:rsidR="00D97572" w:rsidRPr="00D97572" w:rsidRDefault="00D97572" w:rsidP="00D97572">
      <w:pPr>
        <w:ind w:left="360"/>
        <w:rPr>
          <w:rFonts w:asciiTheme="minorHAnsi" w:hAnsiTheme="minorHAnsi"/>
        </w:rPr>
      </w:pPr>
    </w:p>
    <w:p w:rsidR="00881E45" w:rsidRDefault="009470F5" w:rsidP="00EC43F7">
      <w:pPr>
        <w:pStyle w:val="ListParagraph"/>
        <w:numPr>
          <w:ilvl w:val="0"/>
          <w:numId w:val="7"/>
        </w:numPr>
        <w:rPr>
          <w:rFonts w:asciiTheme="minorHAnsi" w:hAnsiTheme="minorHAnsi"/>
          <w:sz w:val="22"/>
          <w:szCs w:val="22"/>
        </w:rPr>
      </w:pPr>
      <w:r w:rsidRPr="00881E45">
        <w:rPr>
          <w:rFonts w:asciiTheme="minorHAnsi" w:hAnsiTheme="minorHAnsi"/>
          <w:sz w:val="22"/>
          <w:szCs w:val="22"/>
          <w:u w:val="single"/>
        </w:rPr>
        <w:t xml:space="preserve">Section </w:t>
      </w:r>
      <w:r w:rsidR="00881E45">
        <w:rPr>
          <w:rFonts w:asciiTheme="minorHAnsi" w:hAnsiTheme="minorHAnsi"/>
          <w:sz w:val="22"/>
          <w:szCs w:val="22"/>
          <w:u w:val="single"/>
        </w:rPr>
        <w:t>4</w:t>
      </w:r>
      <w:r w:rsidR="000E66AA" w:rsidRPr="00881E45">
        <w:rPr>
          <w:rFonts w:asciiTheme="minorHAnsi" w:hAnsiTheme="minorHAnsi"/>
          <w:sz w:val="22"/>
          <w:szCs w:val="22"/>
          <w:u w:val="single"/>
        </w:rPr>
        <w:t>(C)</w:t>
      </w:r>
      <w:r w:rsidR="000E66AA">
        <w:rPr>
          <w:rFonts w:asciiTheme="minorHAnsi" w:hAnsiTheme="minorHAnsi"/>
          <w:sz w:val="22"/>
          <w:szCs w:val="22"/>
        </w:rPr>
        <w:t>.</w:t>
      </w:r>
      <w:r w:rsidR="00006F8B">
        <w:rPr>
          <w:rFonts w:asciiTheme="minorHAnsi" w:hAnsiTheme="minorHAnsi"/>
          <w:sz w:val="22"/>
          <w:szCs w:val="22"/>
        </w:rPr>
        <w:t xml:space="preserve">  </w:t>
      </w:r>
      <w:r w:rsidR="00881E45">
        <w:rPr>
          <w:rFonts w:asciiTheme="minorHAnsi" w:hAnsiTheme="minorHAnsi"/>
          <w:sz w:val="22"/>
          <w:szCs w:val="22"/>
        </w:rPr>
        <w:t>The reference to 3(C) needs to be changed to 3(D).</w:t>
      </w:r>
    </w:p>
    <w:p w:rsidR="00881E45" w:rsidRPr="00881E45" w:rsidRDefault="00881E45" w:rsidP="00881E45">
      <w:pPr>
        <w:pStyle w:val="ListParagraph"/>
        <w:rPr>
          <w:rFonts w:asciiTheme="minorHAnsi" w:hAnsiTheme="minorHAnsi"/>
          <w:sz w:val="22"/>
          <w:szCs w:val="22"/>
        </w:rPr>
      </w:pPr>
    </w:p>
    <w:p w:rsidR="00881E45" w:rsidRDefault="00881E45" w:rsidP="00EC43F7">
      <w:pPr>
        <w:pStyle w:val="ListParagraph"/>
        <w:numPr>
          <w:ilvl w:val="0"/>
          <w:numId w:val="7"/>
        </w:numPr>
        <w:rPr>
          <w:rFonts w:asciiTheme="minorHAnsi" w:hAnsiTheme="minorHAnsi"/>
          <w:sz w:val="22"/>
          <w:szCs w:val="22"/>
        </w:rPr>
      </w:pPr>
      <w:r w:rsidRPr="00881E45">
        <w:rPr>
          <w:rFonts w:asciiTheme="minorHAnsi" w:hAnsiTheme="minorHAnsi"/>
          <w:sz w:val="22"/>
          <w:szCs w:val="22"/>
          <w:u w:val="single"/>
        </w:rPr>
        <w:t>Section 4(D)</w:t>
      </w:r>
      <w:r>
        <w:rPr>
          <w:rFonts w:asciiTheme="minorHAnsi" w:hAnsiTheme="minorHAnsi"/>
          <w:sz w:val="22"/>
          <w:szCs w:val="22"/>
        </w:rPr>
        <w:t>.  “Purposes” should not be capitalized.</w:t>
      </w:r>
      <w:r w:rsidR="00E32762">
        <w:rPr>
          <w:rFonts w:asciiTheme="minorHAnsi" w:hAnsiTheme="minorHAnsi"/>
          <w:sz w:val="22"/>
          <w:szCs w:val="22"/>
        </w:rPr>
        <w:t xml:space="preserve">  Also, “Disciplined Current Scale” should not be capitalized.</w:t>
      </w:r>
    </w:p>
    <w:p w:rsidR="00881E45" w:rsidRPr="00881E45" w:rsidRDefault="00881E45" w:rsidP="00881E45">
      <w:pPr>
        <w:pStyle w:val="ListParagraph"/>
        <w:rPr>
          <w:rFonts w:asciiTheme="minorHAnsi" w:hAnsiTheme="minorHAnsi"/>
          <w:sz w:val="22"/>
          <w:szCs w:val="22"/>
        </w:rPr>
      </w:pPr>
    </w:p>
    <w:p w:rsidR="00D619D2" w:rsidRDefault="00881E45" w:rsidP="00337DA2">
      <w:pPr>
        <w:pStyle w:val="ListParagraph"/>
        <w:numPr>
          <w:ilvl w:val="0"/>
          <w:numId w:val="7"/>
        </w:numPr>
        <w:rPr>
          <w:rFonts w:asciiTheme="minorHAnsi" w:hAnsiTheme="minorHAnsi"/>
          <w:sz w:val="22"/>
          <w:szCs w:val="22"/>
        </w:rPr>
      </w:pPr>
      <w:r w:rsidRPr="005D0F50">
        <w:rPr>
          <w:rFonts w:asciiTheme="minorHAnsi" w:hAnsiTheme="minorHAnsi"/>
          <w:sz w:val="22"/>
          <w:szCs w:val="22"/>
          <w:u w:val="single"/>
        </w:rPr>
        <w:t>Section 5(A)</w:t>
      </w:r>
      <w:r w:rsidRPr="005D0F50">
        <w:rPr>
          <w:rFonts w:asciiTheme="minorHAnsi" w:hAnsiTheme="minorHAnsi"/>
          <w:sz w:val="22"/>
          <w:szCs w:val="22"/>
        </w:rPr>
        <w:t xml:space="preserve">.  </w:t>
      </w:r>
      <w:r w:rsidR="00E32762" w:rsidRPr="005D0F50">
        <w:rPr>
          <w:rFonts w:asciiTheme="minorHAnsi" w:hAnsiTheme="minorHAnsi"/>
          <w:sz w:val="22"/>
          <w:szCs w:val="22"/>
        </w:rPr>
        <w:t xml:space="preserve">Regarding the paragraph that begins with </w:t>
      </w:r>
      <w:r w:rsidRPr="005D0F50">
        <w:rPr>
          <w:rFonts w:asciiTheme="minorHAnsi" w:hAnsiTheme="minorHAnsi"/>
          <w:sz w:val="22"/>
          <w:szCs w:val="22"/>
        </w:rPr>
        <w:t>“The assumed earned rate</w:t>
      </w:r>
      <w:r w:rsidR="00E32762" w:rsidRPr="005D0F50">
        <w:rPr>
          <w:rFonts w:asciiTheme="minorHAnsi" w:hAnsiTheme="minorHAnsi"/>
          <w:sz w:val="22"/>
          <w:szCs w:val="22"/>
        </w:rPr>
        <w:t xml:space="preserve"> used in testing</w:t>
      </w:r>
      <w:r w:rsidRPr="005D0F50">
        <w:rPr>
          <w:rFonts w:asciiTheme="minorHAnsi" w:hAnsiTheme="minorHAnsi"/>
          <w:sz w:val="22"/>
          <w:szCs w:val="22"/>
        </w:rPr>
        <w:t>”</w:t>
      </w:r>
      <w:r w:rsidR="00E32762" w:rsidRPr="005D0F50">
        <w:rPr>
          <w:rFonts w:asciiTheme="minorHAnsi" w:hAnsiTheme="minorHAnsi"/>
          <w:sz w:val="22"/>
          <w:szCs w:val="22"/>
        </w:rPr>
        <w:t xml:space="preserve">, </w:t>
      </w:r>
      <w:r w:rsidR="003B5FDF">
        <w:rPr>
          <w:rFonts w:asciiTheme="minorHAnsi" w:hAnsiTheme="minorHAnsi"/>
          <w:sz w:val="22"/>
          <w:szCs w:val="22"/>
        </w:rPr>
        <w:t xml:space="preserve">the word “interest” should be added between “earned” and “rate” to be consistent with the rest of Section 5(A).  </w:t>
      </w:r>
      <w:r w:rsidR="005D0F50" w:rsidRPr="005D0F50">
        <w:rPr>
          <w:rFonts w:asciiTheme="minorHAnsi" w:hAnsiTheme="minorHAnsi"/>
          <w:sz w:val="22"/>
          <w:szCs w:val="22"/>
        </w:rPr>
        <w:t>Also, “Disciplined Current Scale” should not be capitalized.</w:t>
      </w:r>
      <w:r w:rsidR="005D0F50">
        <w:rPr>
          <w:rFonts w:asciiTheme="minorHAnsi" w:hAnsiTheme="minorHAnsi"/>
          <w:sz w:val="22"/>
          <w:szCs w:val="22"/>
        </w:rPr>
        <w:t xml:space="preserve">  </w:t>
      </w:r>
      <w:r w:rsidR="00C87259">
        <w:rPr>
          <w:rFonts w:asciiTheme="minorHAnsi" w:hAnsiTheme="minorHAnsi"/>
          <w:sz w:val="22"/>
          <w:szCs w:val="22"/>
        </w:rPr>
        <w:t>Also, what if the Hedge Budget exceeds the Annual Net Investment Earnings Rate?</w:t>
      </w:r>
      <w:r w:rsidR="009F1446">
        <w:rPr>
          <w:rFonts w:asciiTheme="minorHAnsi" w:hAnsiTheme="minorHAnsi"/>
          <w:sz w:val="22"/>
          <w:szCs w:val="22"/>
        </w:rPr>
        <w:t xml:space="preserve">  Since the assumed earned rate used in DCS testing is </w:t>
      </w:r>
      <w:r w:rsidR="00D619D2">
        <w:rPr>
          <w:rFonts w:asciiTheme="minorHAnsi" w:hAnsiTheme="minorHAnsi"/>
          <w:sz w:val="22"/>
          <w:szCs w:val="22"/>
        </w:rPr>
        <w:t xml:space="preserve">already constrained by the minimum of the NIER and Hedge Budget in Section 5(A)(ii), it should not be further reduced when the Hedge Budget is greater than the NIER.  </w:t>
      </w:r>
      <w:r w:rsidR="00C87259">
        <w:rPr>
          <w:rFonts w:asciiTheme="minorHAnsi" w:hAnsiTheme="minorHAnsi"/>
          <w:sz w:val="22"/>
          <w:szCs w:val="22"/>
        </w:rPr>
        <w:t xml:space="preserve"> </w:t>
      </w:r>
      <w:r w:rsidR="009F1446">
        <w:rPr>
          <w:rFonts w:asciiTheme="minorHAnsi" w:hAnsiTheme="minorHAnsi"/>
          <w:sz w:val="22"/>
          <w:szCs w:val="22"/>
        </w:rPr>
        <w:t xml:space="preserve">To be more clear and avoid confusion, </w:t>
      </w:r>
      <w:r w:rsidR="005D0F50">
        <w:rPr>
          <w:rFonts w:asciiTheme="minorHAnsi" w:hAnsiTheme="minorHAnsi"/>
          <w:sz w:val="22"/>
          <w:szCs w:val="22"/>
        </w:rPr>
        <w:t>I would suggest the following alternative wording</w:t>
      </w:r>
      <w:r w:rsidR="00D619D2">
        <w:rPr>
          <w:rFonts w:asciiTheme="minorHAnsi" w:hAnsiTheme="minorHAnsi"/>
          <w:sz w:val="22"/>
          <w:szCs w:val="22"/>
        </w:rPr>
        <w:t xml:space="preserve"> for Section 5(A):</w:t>
      </w:r>
    </w:p>
    <w:p w:rsidR="00D619D2" w:rsidRPr="00D619D2" w:rsidRDefault="00D619D2" w:rsidP="00D619D2">
      <w:pPr>
        <w:pStyle w:val="ListParagraph"/>
        <w:rPr>
          <w:rFonts w:asciiTheme="minorHAnsi" w:hAnsiTheme="minorHAnsi"/>
          <w:sz w:val="22"/>
          <w:szCs w:val="22"/>
        </w:rPr>
      </w:pPr>
    </w:p>
    <w:p w:rsidR="00D619D2" w:rsidRPr="00D619D2" w:rsidRDefault="00D619D2" w:rsidP="00D619D2">
      <w:pPr>
        <w:pStyle w:val="ListParagraph"/>
        <w:numPr>
          <w:ilvl w:val="0"/>
          <w:numId w:val="11"/>
        </w:numPr>
        <w:rPr>
          <w:rFonts w:asciiTheme="minorHAnsi" w:hAnsiTheme="minorHAnsi"/>
          <w:sz w:val="22"/>
          <w:szCs w:val="22"/>
        </w:rPr>
      </w:pPr>
      <w:r>
        <w:rPr>
          <w:rFonts w:asciiTheme="minorHAnsi" w:hAnsiTheme="minorHAnsi"/>
          <w:sz w:val="22"/>
          <w:szCs w:val="22"/>
        </w:rPr>
        <w:t>If an insurer engages in a hedging program for Indexed Credits in an account, the assumed earned interest rate underlying the disciplined current scale for that account, inclusive of all general account assets, both hedge and non-hedge assets, that support</w:t>
      </w:r>
      <w:r w:rsidR="00910824">
        <w:rPr>
          <w:rFonts w:asciiTheme="minorHAnsi" w:hAnsiTheme="minorHAnsi"/>
          <w:sz w:val="22"/>
          <w:szCs w:val="22"/>
        </w:rPr>
        <w:t xml:space="preserve"> the policy, net of </w:t>
      </w:r>
      <w:r w:rsidR="00910824">
        <w:rPr>
          <w:rFonts w:asciiTheme="minorHAnsi" w:hAnsiTheme="minorHAnsi"/>
          <w:sz w:val="22"/>
          <w:szCs w:val="22"/>
        </w:rPr>
        <w:lastRenderedPageBreak/>
        <w:t xml:space="preserve">default costs and investment expenses (including the amount spent to generate the Indexed Credits of the policy) shall not exceed </w:t>
      </w:r>
      <w:r w:rsidRPr="00D619D2">
        <w:rPr>
          <w:rFonts w:asciiTheme="minorHAnsi" w:hAnsiTheme="minorHAnsi"/>
          <w:sz w:val="22"/>
          <w:szCs w:val="22"/>
        </w:rPr>
        <w:t>the</w:t>
      </w:r>
      <w:r w:rsidR="00910824">
        <w:rPr>
          <w:rFonts w:asciiTheme="minorHAnsi" w:hAnsiTheme="minorHAnsi"/>
          <w:sz w:val="22"/>
          <w:szCs w:val="22"/>
        </w:rPr>
        <w:t xml:space="preserve"> lesser of i) and ii):</w:t>
      </w:r>
    </w:p>
    <w:p w:rsidR="00D619D2" w:rsidRDefault="00D619D2" w:rsidP="00D619D2">
      <w:pPr>
        <w:pStyle w:val="ListParagraph"/>
        <w:rPr>
          <w:rFonts w:asciiTheme="minorHAnsi" w:hAnsiTheme="minorHAnsi"/>
          <w:sz w:val="22"/>
          <w:szCs w:val="22"/>
        </w:rPr>
      </w:pPr>
    </w:p>
    <w:p w:rsidR="00910824" w:rsidRDefault="00910824" w:rsidP="00910824">
      <w:pPr>
        <w:pStyle w:val="ListParagraph"/>
        <w:numPr>
          <w:ilvl w:val="0"/>
          <w:numId w:val="12"/>
        </w:numPr>
        <w:rPr>
          <w:rFonts w:asciiTheme="minorHAnsi" w:hAnsiTheme="minorHAnsi"/>
          <w:sz w:val="22"/>
          <w:szCs w:val="22"/>
        </w:rPr>
      </w:pPr>
      <w:r>
        <w:rPr>
          <w:rFonts w:asciiTheme="minorHAnsi" w:hAnsiTheme="minorHAnsi"/>
          <w:sz w:val="22"/>
          <w:szCs w:val="22"/>
        </w:rPr>
        <w:t>The Annual Net Investment Earnings Rate</w:t>
      </w:r>
      <w:r w:rsidR="005A6FC8">
        <w:rPr>
          <w:rFonts w:asciiTheme="minorHAnsi" w:hAnsiTheme="minorHAnsi"/>
          <w:sz w:val="22"/>
          <w:szCs w:val="22"/>
        </w:rPr>
        <w:t>,</w:t>
      </w:r>
      <w:r>
        <w:rPr>
          <w:rFonts w:asciiTheme="minorHAnsi" w:hAnsiTheme="minorHAnsi"/>
          <w:sz w:val="22"/>
          <w:szCs w:val="22"/>
        </w:rPr>
        <w:t xml:space="preserve"> plus 45% of the lesser of (1) and (2):</w:t>
      </w:r>
    </w:p>
    <w:p w:rsidR="00910824" w:rsidRDefault="00910824" w:rsidP="00910824">
      <w:pPr>
        <w:rPr>
          <w:rFonts w:asciiTheme="minorHAnsi" w:hAnsiTheme="minorHAnsi"/>
        </w:rPr>
      </w:pPr>
    </w:p>
    <w:p w:rsidR="00910824" w:rsidRDefault="00910824" w:rsidP="00910824">
      <w:pPr>
        <w:pStyle w:val="ListParagraph"/>
        <w:numPr>
          <w:ilvl w:val="0"/>
          <w:numId w:val="13"/>
        </w:numPr>
        <w:rPr>
          <w:rFonts w:asciiTheme="minorHAnsi" w:hAnsiTheme="minorHAnsi"/>
          <w:sz w:val="22"/>
          <w:szCs w:val="22"/>
        </w:rPr>
      </w:pPr>
      <w:r w:rsidRPr="00910824">
        <w:rPr>
          <w:rFonts w:asciiTheme="minorHAnsi" w:hAnsiTheme="minorHAnsi"/>
          <w:sz w:val="22"/>
          <w:szCs w:val="22"/>
        </w:rPr>
        <w:t>Hedge</w:t>
      </w:r>
      <w:r>
        <w:rPr>
          <w:rFonts w:asciiTheme="minorHAnsi" w:hAnsiTheme="minorHAnsi"/>
          <w:sz w:val="22"/>
          <w:szCs w:val="22"/>
        </w:rPr>
        <w:t xml:space="preserve"> Budget minus any annual floor, to the extent that the floor is supported by the Hedge Budget,</w:t>
      </w:r>
    </w:p>
    <w:p w:rsidR="00910824" w:rsidRDefault="00910824" w:rsidP="00910824">
      <w:pPr>
        <w:rPr>
          <w:rFonts w:asciiTheme="minorHAnsi" w:hAnsiTheme="minorHAnsi"/>
        </w:rPr>
      </w:pPr>
    </w:p>
    <w:p w:rsidR="00910824" w:rsidRDefault="00910824" w:rsidP="00910824">
      <w:pPr>
        <w:pStyle w:val="ListParagraph"/>
        <w:numPr>
          <w:ilvl w:val="0"/>
          <w:numId w:val="13"/>
        </w:numPr>
        <w:rPr>
          <w:rFonts w:asciiTheme="minorHAnsi" w:hAnsiTheme="minorHAnsi"/>
          <w:sz w:val="22"/>
          <w:szCs w:val="22"/>
        </w:rPr>
      </w:pPr>
      <w:r w:rsidRPr="00910824">
        <w:rPr>
          <w:rFonts w:asciiTheme="minorHAnsi" w:hAnsiTheme="minorHAnsi"/>
          <w:sz w:val="22"/>
          <w:szCs w:val="22"/>
        </w:rPr>
        <w:t>The minimum</w:t>
      </w:r>
      <w:r>
        <w:rPr>
          <w:rFonts w:asciiTheme="minorHAnsi" w:hAnsiTheme="minorHAnsi"/>
          <w:sz w:val="22"/>
          <w:szCs w:val="22"/>
        </w:rPr>
        <w:t xml:space="preserve"> of the Annual Net Investment Earnings Rate and the Hedge Budget that is used in the determination of the Benchmark Index Account,</w:t>
      </w:r>
    </w:p>
    <w:p w:rsidR="00910824" w:rsidRDefault="00910824" w:rsidP="00910824">
      <w:pPr>
        <w:rPr>
          <w:rFonts w:asciiTheme="minorHAnsi" w:hAnsiTheme="minorHAnsi"/>
        </w:rPr>
      </w:pPr>
    </w:p>
    <w:p w:rsidR="00910824" w:rsidRPr="00910824" w:rsidRDefault="00910824" w:rsidP="00910824">
      <w:pPr>
        <w:pStyle w:val="ListParagraph"/>
        <w:numPr>
          <w:ilvl w:val="0"/>
          <w:numId w:val="12"/>
        </w:numPr>
        <w:rPr>
          <w:rFonts w:asciiTheme="minorHAnsi" w:hAnsiTheme="minorHAnsi"/>
          <w:sz w:val="22"/>
          <w:szCs w:val="22"/>
        </w:rPr>
      </w:pPr>
      <w:r w:rsidRPr="00910824">
        <w:rPr>
          <w:rFonts w:asciiTheme="minorHAnsi" w:hAnsiTheme="minorHAnsi"/>
          <w:sz w:val="22"/>
          <w:szCs w:val="22"/>
        </w:rPr>
        <w:t>The</w:t>
      </w:r>
      <w:r>
        <w:rPr>
          <w:rFonts w:asciiTheme="minorHAnsi" w:hAnsiTheme="minorHAnsi"/>
          <w:sz w:val="22"/>
          <w:szCs w:val="22"/>
        </w:rPr>
        <w:t xml:space="preserve"> Annual Rate of Indexed Credits</w:t>
      </w:r>
      <w:r w:rsidR="00E226B6">
        <w:rPr>
          <w:rFonts w:asciiTheme="minorHAnsi" w:hAnsiTheme="minorHAnsi"/>
          <w:sz w:val="22"/>
          <w:szCs w:val="22"/>
        </w:rPr>
        <w:t xml:space="preserve"> plus the </w:t>
      </w:r>
      <w:r w:rsidR="003D42FF">
        <w:rPr>
          <w:rFonts w:asciiTheme="minorHAnsi" w:hAnsiTheme="minorHAnsi"/>
          <w:sz w:val="22"/>
          <w:szCs w:val="22"/>
        </w:rPr>
        <w:t xml:space="preserve">excess, if any, of the Annual Net Investment Earnings Rate over the Hedge Budget. </w:t>
      </w:r>
    </w:p>
    <w:p w:rsidR="00D619D2" w:rsidRDefault="00D619D2" w:rsidP="00D619D2">
      <w:pPr>
        <w:ind w:left="360"/>
        <w:rPr>
          <w:rFonts w:asciiTheme="minorHAnsi" w:hAnsiTheme="minorHAnsi"/>
        </w:rPr>
      </w:pPr>
    </w:p>
    <w:p w:rsidR="00D619D2" w:rsidRDefault="00596122" w:rsidP="00596122">
      <w:pPr>
        <w:pStyle w:val="ListParagraph"/>
        <w:ind w:left="1080"/>
        <w:rPr>
          <w:rFonts w:asciiTheme="minorHAnsi" w:hAnsiTheme="minorHAnsi"/>
          <w:sz w:val="22"/>
          <w:szCs w:val="22"/>
        </w:rPr>
      </w:pPr>
      <w:r>
        <w:rPr>
          <w:rFonts w:asciiTheme="minorHAnsi" w:hAnsiTheme="minorHAnsi"/>
          <w:sz w:val="22"/>
          <w:szCs w:val="22"/>
        </w:rPr>
        <w:t>Guidance Note: The above approach does not stipulate any required methodology as long as it produces a consistent limit on the assumed earned interest rate underlying the disciplined current scale.</w:t>
      </w:r>
    </w:p>
    <w:p w:rsidR="00596122" w:rsidRDefault="00596122" w:rsidP="00596122">
      <w:pPr>
        <w:pStyle w:val="ListParagraph"/>
        <w:ind w:left="1080"/>
        <w:rPr>
          <w:rFonts w:asciiTheme="minorHAnsi" w:hAnsiTheme="minorHAnsi"/>
          <w:sz w:val="22"/>
          <w:szCs w:val="22"/>
        </w:rPr>
      </w:pPr>
    </w:p>
    <w:p w:rsidR="00596122" w:rsidRPr="00D619D2" w:rsidRDefault="00596122" w:rsidP="00596122">
      <w:pPr>
        <w:pStyle w:val="ListParagraph"/>
        <w:ind w:left="1080"/>
        <w:rPr>
          <w:rFonts w:asciiTheme="minorHAnsi" w:hAnsiTheme="minorHAnsi"/>
          <w:sz w:val="22"/>
          <w:szCs w:val="22"/>
        </w:rPr>
      </w:pPr>
      <w:r>
        <w:rPr>
          <w:rFonts w:asciiTheme="minorHAnsi" w:hAnsiTheme="minorHAnsi"/>
          <w:sz w:val="22"/>
          <w:szCs w:val="22"/>
        </w:rPr>
        <w:t>For a policy with multiple Index Accounts, a maximum rate in 5(A) should be calculated for each account.  All accounts, fixed and indexed, within a policy can be tested in aggregate.</w:t>
      </w:r>
    </w:p>
    <w:p w:rsidR="00D619D2" w:rsidRPr="00596122" w:rsidRDefault="00D619D2" w:rsidP="00596122">
      <w:pPr>
        <w:ind w:left="720"/>
        <w:rPr>
          <w:rFonts w:asciiTheme="minorHAnsi" w:hAnsiTheme="minorHAnsi"/>
        </w:rPr>
      </w:pPr>
    </w:p>
    <w:p w:rsidR="00872CF3" w:rsidRDefault="00872CF3" w:rsidP="00596122">
      <w:pPr>
        <w:pStyle w:val="ListParagraph"/>
        <w:numPr>
          <w:ilvl w:val="0"/>
          <w:numId w:val="7"/>
        </w:numPr>
        <w:rPr>
          <w:rFonts w:asciiTheme="minorHAnsi" w:hAnsiTheme="minorHAnsi"/>
          <w:sz w:val="22"/>
          <w:szCs w:val="22"/>
        </w:rPr>
      </w:pPr>
      <w:r w:rsidRPr="00596122">
        <w:rPr>
          <w:rFonts w:asciiTheme="minorHAnsi" w:hAnsiTheme="minorHAnsi"/>
          <w:sz w:val="22"/>
          <w:szCs w:val="22"/>
          <w:u w:val="single"/>
        </w:rPr>
        <w:t>Section 5(A)</w:t>
      </w:r>
      <w:r w:rsidRPr="00596122">
        <w:rPr>
          <w:rFonts w:asciiTheme="minorHAnsi" w:hAnsiTheme="minorHAnsi"/>
          <w:sz w:val="22"/>
          <w:szCs w:val="22"/>
        </w:rPr>
        <w:t>.  In the last paragraph, to be consistent with the rest of the guideline, the reference to “5.A” should be changed to “5(A)”.</w:t>
      </w:r>
    </w:p>
    <w:p w:rsidR="009E125B" w:rsidRDefault="009E125B" w:rsidP="009E125B">
      <w:pPr>
        <w:rPr>
          <w:rFonts w:asciiTheme="minorHAnsi" w:hAnsiTheme="minorHAnsi"/>
        </w:rPr>
      </w:pPr>
    </w:p>
    <w:p w:rsidR="009E125B" w:rsidRPr="009E125B" w:rsidRDefault="009E125B" w:rsidP="009E125B">
      <w:pPr>
        <w:pStyle w:val="ListParagraph"/>
        <w:numPr>
          <w:ilvl w:val="0"/>
          <w:numId w:val="7"/>
        </w:numPr>
        <w:rPr>
          <w:rFonts w:asciiTheme="minorHAnsi" w:hAnsiTheme="minorHAnsi"/>
        </w:rPr>
      </w:pPr>
      <w:r w:rsidRPr="009E125B">
        <w:rPr>
          <w:rFonts w:asciiTheme="minorHAnsi" w:hAnsiTheme="minorHAnsi"/>
          <w:sz w:val="22"/>
          <w:szCs w:val="22"/>
          <w:u w:val="single"/>
        </w:rPr>
        <w:t>Section 6</w:t>
      </w:r>
      <w:r>
        <w:rPr>
          <w:rFonts w:asciiTheme="minorHAnsi" w:hAnsiTheme="minorHAnsi"/>
        </w:rPr>
        <w:t xml:space="preserve">.  </w:t>
      </w:r>
      <w:r w:rsidR="00732621">
        <w:rPr>
          <w:rFonts w:asciiTheme="minorHAnsi" w:hAnsiTheme="minorHAnsi"/>
          <w:sz w:val="22"/>
          <w:szCs w:val="22"/>
        </w:rPr>
        <w:t>The 5% at the end of the Section should be 4.5%.</w:t>
      </w:r>
    </w:p>
    <w:p w:rsidR="00872CF3" w:rsidRPr="00872CF3" w:rsidRDefault="00872CF3" w:rsidP="00872CF3">
      <w:pPr>
        <w:pStyle w:val="ListParagraph"/>
        <w:rPr>
          <w:rFonts w:asciiTheme="minorHAnsi" w:hAnsiTheme="minorHAnsi"/>
          <w:sz w:val="22"/>
          <w:szCs w:val="22"/>
        </w:rPr>
      </w:pPr>
    </w:p>
    <w:p w:rsidR="00363178" w:rsidRPr="00C06482" w:rsidRDefault="00363178" w:rsidP="00363178">
      <w:r w:rsidRPr="00C06482">
        <w:t>Thank</w:t>
      </w:r>
      <w:r w:rsidR="00AF2890" w:rsidRPr="00C06482">
        <w:t xml:space="preserve"> you</w:t>
      </w:r>
      <w:r w:rsidR="00816678" w:rsidRPr="00C06482">
        <w:t xml:space="preserve"> for providing me the opportunity to submit th</w:t>
      </w:r>
      <w:r w:rsidR="00596122">
        <w:t>ese comments</w:t>
      </w:r>
      <w:r w:rsidR="00AF2890" w:rsidRPr="00C06482">
        <w:t>.</w:t>
      </w:r>
      <w:r w:rsidRPr="00C06482">
        <w:t xml:space="preserve"> </w:t>
      </w:r>
    </w:p>
    <w:p w:rsidR="00363178" w:rsidRPr="00C06482" w:rsidRDefault="00363178" w:rsidP="00363178"/>
    <w:p w:rsidR="00363178" w:rsidRDefault="00363178" w:rsidP="00363178"/>
    <w:p w:rsidR="00363178" w:rsidRPr="00AF2890" w:rsidRDefault="00AF2890" w:rsidP="00363178">
      <w:pPr>
        <w:rPr>
          <w:rFonts w:ascii="Times New Roman" w:hAnsi="Times New Roman"/>
        </w:rPr>
      </w:pPr>
      <w:r w:rsidRPr="00AF2890">
        <w:rPr>
          <w:rFonts w:ascii="Times New Roman" w:hAnsi="Times New Roman"/>
        </w:rPr>
        <w:t>Craig Chupp</w:t>
      </w:r>
      <w:r w:rsidR="00363178" w:rsidRPr="00AF2890">
        <w:rPr>
          <w:rFonts w:ascii="Times New Roman" w:hAnsi="Times New Roman"/>
        </w:rPr>
        <w:t>, FSA, MAAA</w:t>
      </w:r>
    </w:p>
    <w:p w:rsidR="00363178" w:rsidRPr="00AF2890" w:rsidRDefault="00363178" w:rsidP="00363178">
      <w:pPr>
        <w:rPr>
          <w:rFonts w:ascii="Times New Roman" w:hAnsi="Times New Roman"/>
        </w:rPr>
      </w:pPr>
      <w:r w:rsidRPr="00AF2890">
        <w:rPr>
          <w:rFonts w:ascii="Times New Roman" w:hAnsi="Times New Roman"/>
        </w:rPr>
        <w:t xml:space="preserve">Life </w:t>
      </w:r>
      <w:r w:rsidR="00AF2890" w:rsidRPr="00AF2890">
        <w:rPr>
          <w:rFonts w:ascii="Times New Roman" w:hAnsi="Times New Roman"/>
        </w:rPr>
        <w:t xml:space="preserve">and Health Insurance </w:t>
      </w:r>
      <w:r w:rsidRPr="00AF2890">
        <w:rPr>
          <w:rFonts w:ascii="Times New Roman" w:hAnsi="Times New Roman"/>
        </w:rPr>
        <w:t>Actuary</w:t>
      </w:r>
    </w:p>
    <w:p w:rsidR="00363178" w:rsidRPr="00AF2890" w:rsidRDefault="00AF2890" w:rsidP="00363178">
      <w:pPr>
        <w:rPr>
          <w:rFonts w:ascii="Times New Roman" w:hAnsi="Times New Roman"/>
        </w:rPr>
      </w:pPr>
      <w:r w:rsidRPr="00AF2890">
        <w:rPr>
          <w:rFonts w:ascii="Times New Roman" w:hAnsi="Times New Roman"/>
        </w:rPr>
        <w:t>Virginia Bureau of Insurance</w:t>
      </w:r>
    </w:p>
    <w:p w:rsidR="00363178" w:rsidRPr="00AF2890" w:rsidRDefault="001E1840" w:rsidP="00363178">
      <w:pPr>
        <w:rPr>
          <w:rFonts w:ascii="Times New Roman" w:hAnsi="Times New Roman"/>
        </w:rPr>
      </w:pPr>
      <w:hyperlink r:id="rId8" w:history="1">
        <w:r w:rsidR="00AF2890" w:rsidRPr="00DC66BF">
          <w:rPr>
            <w:rStyle w:val="Hyperlink"/>
            <w:rFonts w:ascii="Times New Roman" w:hAnsi="Times New Roman"/>
          </w:rPr>
          <w:t>craig.chupp@scc.virginia.gov</w:t>
        </w:r>
      </w:hyperlink>
      <w:r w:rsidR="00363178" w:rsidRPr="00AF2890">
        <w:rPr>
          <w:rFonts w:ascii="Times New Roman" w:hAnsi="Times New Roman"/>
        </w:rPr>
        <w:t> </w:t>
      </w:r>
    </w:p>
    <w:p w:rsidR="00363178" w:rsidRPr="00AF2890" w:rsidRDefault="00AF2890" w:rsidP="00363178">
      <w:pPr>
        <w:rPr>
          <w:rFonts w:ascii="Times New Roman" w:hAnsi="Times New Roman"/>
        </w:rPr>
      </w:pPr>
      <w:r>
        <w:rPr>
          <w:rFonts w:ascii="Times New Roman" w:hAnsi="Times New Roman"/>
        </w:rPr>
        <w:t xml:space="preserve">Phone: </w:t>
      </w:r>
      <w:r w:rsidR="00363178" w:rsidRPr="00AF2890">
        <w:rPr>
          <w:rFonts w:ascii="Times New Roman" w:hAnsi="Times New Roman"/>
        </w:rPr>
        <w:t>(</w:t>
      </w:r>
      <w:r>
        <w:rPr>
          <w:rFonts w:ascii="Times New Roman" w:hAnsi="Times New Roman"/>
        </w:rPr>
        <w:t>804</w:t>
      </w:r>
      <w:r w:rsidR="00363178" w:rsidRPr="00AF2890">
        <w:rPr>
          <w:rFonts w:ascii="Times New Roman" w:hAnsi="Times New Roman"/>
        </w:rPr>
        <w:t>)</w:t>
      </w:r>
      <w:r>
        <w:rPr>
          <w:rFonts w:ascii="Times New Roman" w:hAnsi="Times New Roman"/>
        </w:rPr>
        <w:t xml:space="preserve"> 371-9131</w:t>
      </w:r>
    </w:p>
    <w:p w:rsidR="00B44069" w:rsidRDefault="00B44069">
      <w:pPr>
        <w:rPr>
          <w:rFonts w:ascii="Times New Roman" w:hAnsi="Times New Roman"/>
        </w:rPr>
      </w:pPr>
    </w:p>
    <w:sectPr w:rsidR="00B440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D8" w:rsidRDefault="00B03AD8" w:rsidP="00B03AD8">
      <w:r>
        <w:separator/>
      </w:r>
    </w:p>
  </w:endnote>
  <w:endnote w:type="continuationSeparator" w:id="0">
    <w:p w:rsidR="00B03AD8" w:rsidRDefault="00B03AD8" w:rsidP="00B0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40" w:rsidRDefault="001E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AD8" w:rsidRDefault="00B03AD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52ad47d195231a9dee647948"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3AD8" w:rsidRPr="00B03AD8" w:rsidRDefault="00B03AD8" w:rsidP="00B03AD8">
                          <w:pPr>
                            <w:jc w:val="center"/>
                            <w:rPr>
                              <w:rFonts w:cs="Calibri"/>
                              <w:color w:val="000000"/>
                              <w:sz w:val="20"/>
                            </w:rPr>
                          </w:pPr>
                          <w:r w:rsidRPr="00B03AD8">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ad47d195231a9dee647948" o:spid="_x0000_s1026"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LHnmTRUDAAA2BgAADgAAAAAAAAAAAAAAAAAuAgAA&#10;ZHJzL2Uyb0RvYy54bWxQSwECLQAUAAYACAAAACEAWOOkPNwAAAALAQAADwAAAAAAAAAAAAAAAABv&#10;BQAAZHJzL2Rvd25yZXYueG1sUEsFBgAAAAAEAAQA8wAAAHgGAAAAAA==&#10;" o:allowincell="f" filled="f" stroked="f" strokeweight=".5pt">
              <v:textbox inset=",0,,0">
                <w:txbxContent>
                  <w:p w:rsidR="00B03AD8" w:rsidRPr="00B03AD8" w:rsidRDefault="00B03AD8" w:rsidP="00B03AD8">
                    <w:pPr>
                      <w:jc w:val="center"/>
                      <w:rPr>
                        <w:rFonts w:cs="Calibri"/>
                        <w:color w:val="000000"/>
                        <w:sz w:val="20"/>
                      </w:rPr>
                    </w:pPr>
                    <w:r w:rsidRPr="00B03AD8">
                      <w:rPr>
                        <w:rFonts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40" w:rsidRDefault="001E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D8" w:rsidRDefault="00B03AD8" w:rsidP="00B03AD8">
      <w:r>
        <w:separator/>
      </w:r>
    </w:p>
  </w:footnote>
  <w:footnote w:type="continuationSeparator" w:id="0">
    <w:p w:rsidR="00B03AD8" w:rsidRDefault="00B03AD8" w:rsidP="00B0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40" w:rsidRDefault="001E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40" w:rsidRDefault="001E1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40" w:rsidRDefault="001E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1D5"/>
    <w:multiLevelType w:val="hybridMultilevel"/>
    <w:tmpl w:val="A03C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110A0"/>
    <w:multiLevelType w:val="hybridMultilevel"/>
    <w:tmpl w:val="3070825E"/>
    <w:lvl w:ilvl="0" w:tplc="EEB6723A">
      <w:start w:val="1"/>
      <w:numFmt w:val="lowerRoman"/>
      <w:lvlText w:val="%1."/>
      <w:lvlJc w:val="left"/>
      <w:pPr>
        <w:ind w:left="1800" w:hanging="72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21036"/>
    <w:multiLevelType w:val="hybridMultilevel"/>
    <w:tmpl w:val="2BAA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6577"/>
    <w:multiLevelType w:val="hybridMultilevel"/>
    <w:tmpl w:val="8C8A0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047BF"/>
    <w:multiLevelType w:val="hybridMultilevel"/>
    <w:tmpl w:val="A03C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63496"/>
    <w:multiLevelType w:val="hybridMultilevel"/>
    <w:tmpl w:val="FA3E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275A9"/>
    <w:multiLevelType w:val="hybridMultilevel"/>
    <w:tmpl w:val="E26832E2"/>
    <w:lvl w:ilvl="0" w:tplc="82E87A04">
      <w:start w:val="4"/>
      <w:numFmt w:val="decimal"/>
      <w:lvlText w:val="%1."/>
      <w:lvlJc w:val="left"/>
      <w:pPr>
        <w:ind w:left="99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770EE2"/>
    <w:multiLevelType w:val="hybridMultilevel"/>
    <w:tmpl w:val="2B969596"/>
    <w:lvl w:ilvl="0" w:tplc="3C1086A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041FB"/>
    <w:multiLevelType w:val="hybridMultilevel"/>
    <w:tmpl w:val="327066A2"/>
    <w:lvl w:ilvl="0" w:tplc="BBFC43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B731F0"/>
    <w:multiLevelType w:val="hybridMultilevel"/>
    <w:tmpl w:val="7646D3E8"/>
    <w:lvl w:ilvl="0" w:tplc="14903BB8">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F2C1FCD"/>
    <w:multiLevelType w:val="hybridMultilevel"/>
    <w:tmpl w:val="7646D3E8"/>
    <w:lvl w:ilvl="0" w:tplc="14903BB8">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54008A1"/>
    <w:multiLevelType w:val="hybridMultilevel"/>
    <w:tmpl w:val="8B640B72"/>
    <w:lvl w:ilvl="0" w:tplc="DBDE4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4758DE"/>
    <w:multiLevelType w:val="hybridMultilevel"/>
    <w:tmpl w:val="7B783E58"/>
    <w:lvl w:ilvl="0" w:tplc="2408D13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387738"/>
    <w:multiLevelType w:val="hybridMultilevel"/>
    <w:tmpl w:val="AD16B010"/>
    <w:lvl w:ilvl="0" w:tplc="7AC42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7"/>
  </w:num>
  <w:num w:numId="8">
    <w:abstractNumId w:val="13"/>
  </w:num>
  <w:num w:numId="9">
    <w:abstractNumId w:val="8"/>
  </w:num>
  <w:num w:numId="10">
    <w:abstractNumId w:val="11"/>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78"/>
    <w:rsid w:val="00006F8B"/>
    <w:rsid w:val="00017B92"/>
    <w:rsid w:val="00042C87"/>
    <w:rsid w:val="00042F07"/>
    <w:rsid w:val="000879DD"/>
    <w:rsid w:val="00090D57"/>
    <w:rsid w:val="000A1515"/>
    <w:rsid w:val="000B663D"/>
    <w:rsid w:val="000E66AA"/>
    <w:rsid w:val="001179B3"/>
    <w:rsid w:val="00154C3D"/>
    <w:rsid w:val="001E1840"/>
    <w:rsid w:val="001E566C"/>
    <w:rsid w:val="0020281A"/>
    <w:rsid w:val="00213EAB"/>
    <w:rsid w:val="00237ECE"/>
    <w:rsid w:val="00247765"/>
    <w:rsid w:val="0025769D"/>
    <w:rsid w:val="00292519"/>
    <w:rsid w:val="0031759A"/>
    <w:rsid w:val="00332D44"/>
    <w:rsid w:val="00335A7B"/>
    <w:rsid w:val="003564A4"/>
    <w:rsid w:val="00360480"/>
    <w:rsid w:val="00363178"/>
    <w:rsid w:val="003834A1"/>
    <w:rsid w:val="003B5FDF"/>
    <w:rsid w:val="003C221A"/>
    <w:rsid w:val="003D42FF"/>
    <w:rsid w:val="003F7523"/>
    <w:rsid w:val="00467127"/>
    <w:rsid w:val="00473AF5"/>
    <w:rsid w:val="00475D0A"/>
    <w:rsid w:val="00496D7A"/>
    <w:rsid w:val="0049791A"/>
    <w:rsid w:val="004B6691"/>
    <w:rsid w:val="005021C2"/>
    <w:rsid w:val="005032C4"/>
    <w:rsid w:val="00530014"/>
    <w:rsid w:val="00575010"/>
    <w:rsid w:val="0057751C"/>
    <w:rsid w:val="00594F73"/>
    <w:rsid w:val="00596122"/>
    <w:rsid w:val="005A03F1"/>
    <w:rsid w:val="005A6FC8"/>
    <w:rsid w:val="005B4C6B"/>
    <w:rsid w:val="005D0F50"/>
    <w:rsid w:val="005E02CA"/>
    <w:rsid w:val="00613450"/>
    <w:rsid w:val="00676F87"/>
    <w:rsid w:val="00677697"/>
    <w:rsid w:val="006A62B5"/>
    <w:rsid w:val="006D4417"/>
    <w:rsid w:val="00717BBC"/>
    <w:rsid w:val="00724B95"/>
    <w:rsid w:val="00732621"/>
    <w:rsid w:val="007773E0"/>
    <w:rsid w:val="007922B7"/>
    <w:rsid w:val="007B41A7"/>
    <w:rsid w:val="007E7AFB"/>
    <w:rsid w:val="007F2FB2"/>
    <w:rsid w:val="00816678"/>
    <w:rsid w:val="00872CF3"/>
    <w:rsid w:val="00881E45"/>
    <w:rsid w:val="008A2764"/>
    <w:rsid w:val="008A28B8"/>
    <w:rsid w:val="008B4605"/>
    <w:rsid w:val="008E4273"/>
    <w:rsid w:val="009051EB"/>
    <w:rsid w:val="00906AB4"/>
    <w:rsid w:val="00910824"/>
    <w:rsid w:val="00914D59"/>
    <w:rsid w:val="00917B87"/>
    <w:rsid w:val="00917F49"/>
    <w:rsid w:val="0093667A"/>
    <w:rsid w:val="009470F5"/>
    <w:rsid w:val="0095485E"/>
    <w:rsid w:val="009A0D67"/>
    <w:rsid w:val="009C0CB7"/>
    <w:rsid w:val="009D46DC"/>
    <w:rsid w:val="009E125B"/>
    <w:rsid w:val="009F1446"/>
    <w:rsid w:val="00A05220"/>
    <w:rsid w:val="00A322A6"/>
    <w:rsid w:val="00A71C11"/>
    <w:rsid w:val="00A92017"/>
    <w:rsid w:val="00A97620"/>
    <w:rsid w:val="00AF2890"/>
    <w:rsid w:val="00AF2A7A"/>
    <w:rsid w:val="00AF2FD9"/>
    <w:rsid w:val="00AF38CF"/>
    <w:rsid w:val="00B01BB9"/>
    <w:rsid w:val="00B03AD8"/>
    <w:rsid w:val="00B10CD9"/>
    <w:rsid w:val="00B44069"/>
    <w:rsid w:val="00B515B2"/>
    <w:rsid w:val="00B83467"/>
    <w:rsid w:val="00BB0725"/>
    <w:rsid w:val="00BC4E3B"/>
    <w:rsid w:val="00C042B9"/>
    <w:rsid w:val="00C06482"/>
    <w:rsid w:val="00C15F85"/>
    <w:rsid w:val="00C87259"/>
    <w:rsid w:val="00CC180F"/>
    <w:rsid w:val="00CC30E8"/>
    <w:rsid w:val="00CC4522"/>
    <w:rsid w:val="00CF5CB1"/>
    <w:rsid w:val="00D020EA"/>
    <w:rsid w:val="00D061BA"/>
    <w:rsid w:val="00D2572F"/>
    <w:rsid w:val="00D527A7"/>
    <w:rsid w:val="00D619D2"/>
    <w:rsid w:val="00D97572"/>
    <w:rsid w:val="00DF221E"/>
    <w:rsid w:val="00DF6A30"/>
    <w:rsid w:val="00E226B6"/>
    <w:rsid w:val="00E32762"/>
    <w:rsid w:val="00E5637F"/>
    <w:rsid w:val="00E62C5A"/>
    <w:rsid w:val="00E8229D"/>
    <w:rsid w:val="00E8590A"/>
    <w:rsid w:val="00EA23CD"/>
    <w:rsid w:val="00EC2248"/>
    <w:rsid w:val="00EC43F7"/>
    <w:rsid w:val="00EC7ED6"/>
    <w:rsid w:val="00F24A34"/>
    <w:rsid w:val="00F4481A"/>
    <w:rsid w:val="00F74E16"/>
    <w:rsid w:val="00F8425E"/>
    <w:rsid w:val="00F91122"/>
    <w:rsid w:val="00F91D4C"/>
    <w:rsid w:val="00FA343B"/>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0543501-E2C3-4BE2-8DF5-9B3600BD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1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78"/>
    <w:rPr>
      <w:color w:val="0000FF"/>
      <w:u w:val="single"/>
    </w:rPr>
  </w:style>
  <w:style w:type="paragraph" w:styleId="ListParagraph">
    <w:name w:val="List Paragraph"/>
    <w:basedOn w:val="Normal"/>
    <w:uiPriority w:val="34"/>
    <w:qFormat/>
    <w:rsid w:val="00724B95"/>
    <w:pPr>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03AD8"/>
    <w:pPr>
      <w:tabs>
        <w:tab w:val="center" w:pos="4680"/>
        <w:tab w:val="right" w:pos="9360"/>
      </w:tabs>
    </w:pPr>
  </w:style>
  <w:style w:type="character" w:customStyle="1" w:styleId="HeaderChar">
    <w:name w:val="Header Char"/>
    <w:basedOn w:val="DefaultParagraphFont"/>
    <w:link w:val="Header"/>
    <w:uiPriority w:val="99"/>
    <w:rsid w:val="00B03AD8"/>
    <w:rPr>
      <w:rFonts w:ascii="Calibri" w:hAnsi="Calibri" w:cs="Times New Roman"/>
    </w:rPr>
  </w:style>
  <w:style w:type="paragraph" w:styleId="Footer">
    <w:name w:val="footer"/>
    <w:basedOn w:val="Normal"/>
    <w:link w:val="FooterChar"/>
    <w:uiPriority w:val="99"/>
    <w:unhideWhenUsed/>
    <w:rsid w:val="00B03AD8"/>
    <w:pPr>
      <w:tabs>
        <w:tab w:val="center" w:pos="4680"/>
        <w:tab w:val="right" w:pos="9360"/>
      </w:tabs>
    </w:pPr>
  </w:style>
  <w:style w:type="character" w:customStyle="1" w:styleId="FooterChar">
    <w:name w:val="Footer Char"/>
    <w:basedOn w:val="DefaultParagraphFont"/>
    <w:link w:val="Footer"/>
    <w:uiPriority w:val="99"/>
    <w:rsid w:val="00B03AD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83090">
      <w:bodyDiv w:val="1"/>
      <w:marLeft w:val="0"/>
      <w:marRight w:val="0"/>
      <w:marTop w:val="0"/>
      <w:marBottom w:val="0"/>
      <w:divBdr>
        <w:top w:val="none" w:sz="0" w:space="0" w:color="auto"/>
        <w:left w:val="none" w:sz="0" w:space="0" w:color="auto"/>
        <w:bottom w:val="none" w:sz="0" w:space="0" w:color="auto"/>
        <w:right w:val="none" w:sz="0" w:space="0" w:color="auto"/>
      </w:divBdr>
    </w:div>
    <w:div w:id="13297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chupp@scc.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0873-628B-4F34-9B8C-34923375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Mazyck, Reggie</dc:creator>
  <cp:lastModifiedBy>Craig Chupp</cp:lastModifiedBy>
  <cp:revision>9</cp:revision>
  <dcterms:created xsi:type="dcterms:W3CDTF">2020-06-19T23:55:00Z</dcterms:created>
  <dcterms:modified xsi:type="dcterms:W3CDTF">2020-06-21T15:05:00Z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MSIP_Label_54cbfde1-7928-4a1c-94cb-201c594fc53a_Enabled">
    <vt:lpwstr>True</vt:lpwstr>
  </property>
  <property fmtid="{D5CDD505-2E9C-101B-9397-08002B2CF9AE}" pid="9" name="MSIP_Label_54cbfde1-7928-4a1c-94cb-201c594fc53a_SiteId">
    <vt:lpwstr>1791a7f1-2629-474f-8283-d4da7899c3be</vt:lpwstr>
  </property>
  <property fmtid="{D5CDD505-2E9C-101B-9397-08002B2CF9AE}" pid="10" name="MSIP_Label_54cbfde1-7928-4a1c-94cb-201c594fc53a_Owner">
    <vt:lpwstr>CCHUPP@scc.virginia.gov</vt:lpwstr>
  </property>
  <property fmtid="{D5CDD505-2E9C-101B-9397-08002B2CF9AE}" pid="11" name="MSIP_Label_54cbfde1-7928-4a1c-94cb-201c594fc53a_SetDate">
    <vt:lpwstr>2020-04-17T18:57:14.8037585Z</vt:lpwstr>
  </property>
  <property fmtid="{D5CDD505-2E9C-101B-9397-08002B2CF9AE}" pid="12" name="MSIP_Label_54cbfde1-7928-4a1c-94cb-201c594fc53a_Name">
    <vt:lpwstr>Confidential</vt:lpwstr>
  </property>
  <property fmtid="{D5CDD505-2E9C-101B-9397-08002B2CF9AE}" pid="13" name="MSIP_Label_54cbfde1-7928-4a1c-94cb-201c594fc53a_Application">
    <vt:lpwstr>Microsoft Azure Information Protection</vt:lpwstr>
  </property>
  <property fmtid="{D5CDD505-2E9C-101B-9397-08002B2CF9AE}" pid="14" name="MSIP_Label_54cbfde1-7928-4a1c-94cb-201c594fc53a_ActionId">
    <vt:lpwstr>8b4da905-254b-46bb-b97f-a7bcb23dd3f5</vt:lpwstr>
  </property>
  <property fmtid="{D5CDD505-2E9C-101B-9397-08002B2CF9AE}" pid="15" name="MSIP_Label_54cbfde1-7928-4a1c-94cb-201c594fc53a_Extended_MSFT_Method">
    <vt:lpwstr>Automatic</vt:lpwstr>
  </property>
  <property fmtid="{D5CDD505-2E9C-101B-9397-08002B2CF9AE}" pid="16" name="MSIP_Label_8e953dd5-1b53-4742-b186-f2a38279ffcd_Enabled">
    <vt:lpwstr>True</vt:lpwstr>
  </property>
  <property fmtid="{D5CDD505-2E9C-101B-9397-08002B2CF9AE}" pid="17" name="MSIP_Label_8e953dd5-1b53-4742-b186-f2a38279ffcd_SiteId">
    <vt:lpwstr>1791a7f1-2629-474f-8283-d4da7899c3be</vt:lpwstr>
  </property>
  <property fmtid="{D5CDD505-2E9C-101B-9397-08002B2CF9AE}" pid="18" name="MSIP_Label_8e953dd5-1b53-4742-b186-f2a38279ffcd_Owner">
    <vt:lpwstr>CCHUPP@scc.virginia.gov</vt:lpwstr>
  </property>
  <property fmtid="{D5CDD505-2E9C-101B-9397-08002B2CF9AE}" pid="19" name="MSIP_Label_8e953dd5-1b53-4742-b186-f2a38279ffcd_SetDate">
    <vt:lpwstr>2020-04-17T18:57:14.8037585Z</vt:lpwstr>
  </property>
  <property fmtid="{D5CDD505-2E9C-101B-9397-08002B2CF9AE}" pid="20" name="MSIP_Label_8e953dd5-1b53-4742-b186-f2a38279ffcd_Name">
    <vt:lpwstr>Anyone</vt:lpwstr>
  </property>
  <property fmtid="{D5CDD505-2E9C-101B-9397-08002B2CF9AE}" pid="21" name="MSIP_Label_8e953dd5-1b53-4742-b186-f2a38279ffcd_Application">
    <vt:lpwstr>Microsoft Azure Information Protection</vt:lpwstr>
  </property>
  <property fmtid="{D5CDD505-2E9C-101B-9397-08002B2CF9AE}" pid="22" name="MSIP_Label_8e953dd5-1b53-4742-b186-f2a38279ffcd_ActionId">
    <vt:lpwstr>8b4da905-254b-46bb-b97f-a7bcb23dd3f5</vt:lpwstr>
  </property>
  <property fmtid="{D5CDD505-2E9C-101B-9397-08002B2CF9AE}" pid="23" name="MSIP_Label_8e953dd5-1b53-4742-b186-f2a38279ffcd_Parent">
    <vt:lpwstr>54cbfde1-7928-4a1c-94cb-201c594fc53a</vt:lpwstr>
  </property>
  <property fmtid="{D5CDD505-2E9C-101B-9397-08002B2CF9AE}" pid="24" name="MSIP_Label_8e953dd5-1b53-4742-b186-f2a38279ffcd_Extended_MSFT_Method">
    <vt:lpwstr>Automatic</vt:lpwstr>
  </property>
  <property fmtid="{D5CDD505-2E9C-101B-9397-08002B2CF9AE}" pid="25" name="Sensitivity">
    <vt:lpwstr>Confidential Anyone</vt:lpwstr>
  </property>
</Properties>
</file>