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87C8" w14:textId="77777777" w:rsidR="00363178" w:rsidRDefault="00363178" w:rsidP="00363178"/>
    <w:p w14:paraId="18D6FB8B" w14:textId="332EF6B1" w:rsidR="00816678" w:rsidRPr="001624CA" w:rsidRDefault="00816678" w:rsidP="00363178">
      <w:pPr>
        <w:rPr>
          <w:sz w:val="24"/>
          <w:szCs w:val="24"/>
        </w:rPr>
      </w:pPr>
      <w:r w:rsidRPr="001624CA">
        <w:rPr>
          <w:sz w:val="24"/>
          <w:szCs w:val="24"/>
        </w:rPr>
        <w:t xml:space="preserve">Date: </w:t>
      </w:r>
      <w:r w:rsidR="006B7E7B" w:rsidRPr="001624CA">
        <w:rPr>
          <w:sz w:val="24"/>
          <w:szCs w:val="24"/>
        </w:rPr>
        <w:t>May 1</w:t>
      </w:r>
      <w:r w:rsidR="002C6C98">
        <w:rPr>
          <w:sz w:val="24"/>
          <w:szCs w:val="24"/>
        </w:rPr>
        <w:t>3</w:t>
      </w:r>
      <w:r w:rsidR="00BB0725" w:rsidRPr="001624CA">
        <w:rPr>
          <w:sz w:val="24"/>
          <w:szCs w:val="24"/>
        </w:rPr>
        <w:t>, 20</w:t>
      </w:r>
      <w:r w:rsidR="009C345B" w:rsidRPr="001624CA">
        <w:rPr>
          <w:sz w:val="24"/>
          <w:szCs w:val="24"/>
        </w:rPr>
        <w:t>2</w:t>
      </w:r>
      <w:r w:rsidR="0041664A">
        <w:rPr>
          <w:sz w:val="24"/>
          <w:szCs w:val="24"/>
        </w:rPr>
        <w:t>5</w:t>
      </w:r>
    </w:p>
    <w:p w14:paraId="0A7CCEF4" w14:textId="77777777" w:rsidR="00816678" w:rsidRPr="001624CA" w:rsidRDefault="00816678" w:rsidP="00363178">
      <w:pPr>
        <w:rPr>
          <w:sz w:val="24"/>
          <w:szCs w:val="24"/>
        </w:rPr>
      </w:pPr>
    </w:p>
    <w:p w14:paraId="7494A7EB" w14:textId="4A5D9349" w:rsidR="009C345B" w:rsidRPr="001624CA" w:rsidRDefault="009C345B" w:rsidP="009C345B">
      <w:pPr>
        <w:rPr>
          <w:sz w:val="24"/>
          <w:szCs w:val="24"/>
        </w:rPr>
      </w:pPr>
      <w:r w:rsidRPr="001624CA">
        <w:rPr>
          <w:sz w:val="24"/>
          <w:szCs w:val="24"/>
        </w:rPr>
        <w:t>Virginia is submitting comment</w:t>
      </w:r>
      <w:r w:rsidR="00E132D6" w:rsidRPr="001624CA">
        <w:rPr>
          <w:sz w:val="24"/>
          <w:szCs w:val="24"/>
        </w:rPr>
        <w:t>s</w:t>
      </w:r>
      <w:r w:rsidRPr="001624CA">
        <w:rPr>
          <w:sz w:val="24"/>
          <w:szCs w:val="24"/>
        </w:rPr>
        <w:t xml:space="preserve"> regarding the following exposure:</w:t>
      </w:r>
    </w:p>
    <w:p w14:paraId="05FAD4A4" w14:textId="77777777" w:rsidR="009C345B" w:rsidRPr="001624CA" w:rsidRDefault="009C345B" w:rsidP="009C345B">
      <w:pPr>
        <w:rPr>
          <w:sz w:val="24"/>
          <w:szCs w:val="24"/>
        </w:rPr>
      </w:pPr>
    </w:p>
    <w:p w14:paraId="02BC4B35" w14:textId="2833485E" w:rsidR="009C345B" w:rsidRPr="001624CA" w:rsidRDefault="00BC2668" w:rsidP="009C345B">
      <w:pPr>
        <w:ind w:left="720"/>
        <w:rPr>
          <w:b/>
          <w:sz w:val="24"/>
          <w:szCs w:val="24"/>
        </w:rPr>
      </w:pPr>
      <w:r>
        <w:rPr>
          <w:b/>
          <w:sz w:val="24"/>
          <w:szCs w:val="24"/>
        </w:rPr>
        <w:t xml:space="preserve">Proposed </w:t>
      </w:r>
      <w:r w:rsidR="00B85922">
        <w:rPr>
          <w:b/>
          <w:sz w:val="24"/>
          <w:szCs w:val="24"/>
        </w:rPr>
        <w:t xml:space="preserve">AG </w:t>
      </w:r>
      <w:proofErr w:type="spellStart"/>
      <w:r w:rsidR="00B85922">
        <w:rPr>
          <w:b/>
          <w:sz w:val="24"/>
          <w:szCs w:val="24"/>
        </w:rPr>
        <w:t>ReAAT</w:t>
      </w:r>
      <w:proofErr w:type="spellEnd"/>
      <w:r w:rsidR="00B85922">
        <w:rPr>
          <w:b/>
          <w:sz w:val="24"/>
          <w:szCs w:val="24"/>
        </w:rPr>
        <w:t xml:space="preserve"> </w:t>
      </w:r>
      <w:r>
        <w:rPr>
          <w:b/>
          <w:sz w:val="24"/>
          <w:szCs w:val="24"/>
        </w:rPr>
        <w:t xml:space="preserve">exposed on </w:t>
      </w:r>
      <w:r w:rsidR="00B85922">
        <w:rPr>
          <w:b/>
          <w:sz w:val="24"/>
          <w:szCs w:val="24"/>
        </w:rPr>
        <w:t>May 2</w:t>
      </w:r>
      <w:r>
        <w:rPr>
          <w:b/>
          <w:sz w:val="24"/>
          <w:szCs w:val="24"/>
        </w:rPr>
        <w:t>, 2025</w:t>
      </w:r>
    </w:p>
    <w:p w14:paraId="0C9DE981" w14:textId="77777777" w:rsidR="009C345B" w:rsidRPr="001624CA" w:rsidRDefault="009C345B" w:rsidP="009C345B">
      <w:pPr>
        <w:ind w:left="720"/>
        <w:rPr>
          <w:b/>
          <w:sz w:val="24"/>
          <w:szCs w:val="24"/>
        </w:rPr>
      </w:pPr>
    </w:p>
    <w:p w14:paraId="2113A4A7" w14:textId="21D41190" w:rsidR="009C345B" w:rsidRPr="001624CA" w:rsidRDefault="009C345B" w:rsidP="009C345B">
      <w:pPr>
        <w:rPr>
          <w:b/>
          <w:sz w:val="24"/>
          <w:szCs w:val="24"/>
        </w:rPr>
      </w:pPr>
      <w:r w:rsidRPr="001624CA">
        <w:rPr>
          <w:b/>
          <w:sz w:val="24"/>
          <w:szCs w:val="24"/>
        </w:rPr>
        <w:t>Comment</w:t>
      </w:r>
      <w:r w:rsidR="006B7E7B" w:rsidRPr="001624CA">
        <w:rPr>
          <w:b/>
          <w:sz w:val="24"/>
          <w:szCs w:val="24"/>
        </w:rPr>
        <w:t>s</w:t>
      </w:r>
      <w:r w:rsidRPr="001624CA">
        <w:rPr>
          <w:b/>
          <w:sz w:val="24"/>
          <w:szCs w:val="24"/>
        </w:rPr>
        <w:t>:</w:t>
      </w:r>
    </w:p>
    <w:p w14:paraId="09A05A47" w14:textId="77777777" w:rsidR="009C345B" w:rsidRDefault="009C345B" w:rsidP="009C345B">
      <w:pPr>
        <w:ind w:left="720"/>
        <w:rPr>
          <w:b/>
          <w:sz w:val="24"/>
          <w:szCs w:val="24"/>
        </w:rPr>
      </w:pPr>
    </w:p>
    <w:p w14:paraId="466B1609" w14:textId="3DB3BFB6" w:rsidR="00B85922" w:rsidRDefault="000C6CCB" w:rsidP="00F0472B">
      <w:pPr>
        <w:pStyle w:val="ListParagraph"/>
        <w:numPr>
          <w:ilvl w:val="0"/>
          <w:numId w:val="20"/>
        </w:numPr>
        <w:rPr>
          <w:rFonts w:asciiTheme="minorHAnsi" w:hAnsiTheme="minorHAnsi" w:cstheme="minorHAnsi"/>
        </w:rPr>
      </w:pPr>
      <w:r w:rsidRPr="000C6CCB">
        <w:rPr>
          <w:rFonts w:asciiTheme="minorHAnsi" w:hAnsiTheme="minorHAnsi" w:cstheme="minorHAnsi"/>
          <w:u w:val="single"/>
        </w:rPr>
        <w:t>Starting Asset Amount</w:t>
      </w:r>
      <w:r>
        <w:rPr>
          <w:rFonts w:asciiTheme="minorHAnsi" w:hAnsiTheme="minorHAnsi" w:cstheme="minorHAnsi"/>
        </w:rPr>
        <w:t xml:space="preserve">.  </w:t>
      </w:r>
      <w:r w:rsidR="00B85922" w:rsidRPr="00B85922">
        <w:rPr>
          <w:rFonts w:asciiTheme="minorHAnsi" w:hAnsiTheme="minorHAnsi" w:cstheme="minorHAnsi"/>
        </w:rPr>
        <w:t xml:space="preserve">There is a loophole in the current draft regarding the amount of starting assets used in the mandatory run vs. the alternative run.  Consider a company ceding to two different reinsurers both using </w:t>
      </w:r>
      <w:r w:rsidR="00211596">
        <w:rPr>
          <w:rFonts w:asciiTheme="minorHAnsi" w:hAnsiTheme="minorHAnsi" w:cstheme="minorHAnsi"/>
        </w:rPr>
        <w:t xml:space="preserve">100% </w:t>
      </w:r>
      <w:r w:rsidR="00B85922" w:rsidRPr="00B85922">
        <w:rPr>
          <w:rFonts w:asciiTheme="minorHAnsi" w:hAnsiTheme="minorHAnsi" w:cstheme="minorHAnsi"/>
        </w:rPr>
        <w:t xml:space="preserve">coinsurance w/FWH agreements.  For Reinsurer A, FWH = </w:t>
      </w:r>
      <w:r w:rsidR="001F0D51">
        <w:rPr>
          <w:rFonts w:asciiTheme="minorHAnsi" w:hAnsiTheme="minorHAnsi" w:cstheme="minorHAnsi"/>
        </w:rPr>
        <w:t>$</w:t>
      </w:r>
      <w:r w:rsidR="00B85922" w:rsidRPr="00B85922">
        <w:rPr>
          <w:rFonts w:asciiTheme="minorHAnsi" w:hAnsiTheme="minorHAnsi" w:cstheme="minorHAnsi"/>
        </w:rPr>
        <w:t xml:space="preserve">100, and for Reinsurer B, FWH = </w:t>
      </w:r>
      <w:r w:rsidR="001F0D51">
        <w:rPr>
          <w:rFonts w:asciiTheme="minorHAnsi" w:hAnsiTheme="minorHAnsi" w:cstheme="minorHAnsi"/>
        </w:rPr>
        <w:t>$</w:t>
      </w:r>
      <w:r w:rsidR="00B85922" w:rsidRPr="00B85922">
        <w:rPr>
          <w:rFonts w:asciiTheme="minorHAnsi" w:hAnsiTheme="minorHAnsi" w:cstheme="minorHAnsi"/>
        </w:rPr>
        <w:t xml:space="preserve">50.  Both reinsurers are holding reserve of </w:t>
      </w:r>
      <w:r w:rsidR="001F0D51">
        <w:rPr>
          <w:rFonts w:asciiTheme="minorHAnsi" w:hAnsiTheme="minorHAnsi" w:cstheme="minorHAnsi"/>
        </w:rPr>
        <w:t>$</w:t>
      </w:r>
      <w:r w:rsidR="00B85922" w:rsidRPr="00B85922">
        <w:rPr>
          <w:rFonts w:asciiTheme="minorHAnsi" w:hAnsiTheme="minorHAnsi" w:cstheme="minorHAnsi"/>
        </w:rPr>
        <w:t xml:space="preserve">50.  Reinsurer A is holding </w:t>
      </w:r>
      <w:r w:rsidR="001F0D51">
        <w:rPr>
          <w:rFonts w:asciiTheme="minorHAnsi" w:hAnsiTheme="minorHAnsi" w:cstheme="minorHAnsi"/>
        </w:rPr>
        <w:t>$</w:t>
      </w:r>
      <w:r w:rsidR="00B85922" w:rsidRPr="00B85922">
        <w:rPr>
          <w:rFonts w:asciiTheme="minorHAnsi" w:hAnsiTheme="minorHAnsi" w:cstheme="minorHAnsi"/>
        </w:rPr>
        <w:t xml:space="preserve">30 of excess capital based on U.S. RBC, but Reinsurer B is holding no excess capital.  In the alternative run, Reinsurer A could increase the starting assets used in CFT by </w:t>
      </w:r>
      <w:r w:rsidR="001F0D51">
        <w:rPr>
          <w:rFonts w:asciiTheme="minorHAnsi" w:hAnsiTheme="minorHAnsi" w:cstheme="minorHAnsi"/>
        </w:rPr>
        <w:t>$</w:t>
      </w:r>
      <w:r w:rsidR="00B85922" w:rsidRPr="00B85922">
        <w:rPr>
          <w:rFonts w:asciiTheme="minorHAnsi" w:hAnsiTheme="minorHAnsi" w:cstheme="minorHAnsi"/>
        </w:rPr>
        <w:t xml:space="preserve">20 (from </w:t>
      </w:r>
      <w:r w:rsidR="001F0D51">
        <w:rPr>
          <w:rFonts w:asciiTheme="minorHAnsi" w:hAnsiTheme="minorHAnsi" w:cstheme="minorHAnsi"/>
        </w:rPr>
        <w:t>$</w:t>
      </w:r>
      <w:r w:rsidR="00B85922" w:rsidRPr="00B85922">
        <w:rPr>
          <w:rFonts w:asciiTheme="minorHAnsi" w:hAnsiTheme="minorHAnsi" w:cstheme="minorHAnsi"/>
        </w:rPr>
        <w:t xml:space="preserve">50 to </w:t>
      </w:r>
      <w:r w:rsidR="001F0D51">
        <w:rPr>
          <w:rFonts w:asciiTheme="minorHAnsi" w:hAnsiTheme="minorHAnsi" w:cstheme="minorHAnsi"/>
        </w:rPr>
        <w:t>$</w:t>
      </w:r>
      <w:r w:rsidR="00B85922" w:rsidRPr="00B85922">
        <w:rPr>
          <w:rFonts w:asciiTheme="minorHAnsi" w:hAnsiTheme="minorHAnsi" w:cstheme="minorHAnsi"/>
        </w:rPr>
        <w:t xml:space="preserve">70), since there is enough excess capital.  However, for Reinsurer B, the amount of starting assets in the alternative run would need to be reduced by </w:t>
      </w:r>
      <w:r w:rsidR="00C27B4B">
        <w:rPr>
          <w:rFonts w:asciiTheme="minorHAnsi" w:hAnsiTheme="minorHAnsi" w:cstheme="minorHAnsi"/>
        </w:rPr>
        <w:t>$</w:t>
      </w:r>
      <w:r w:rsidR="00B85922" w:rsidRPr="00B85922">
        <w:rPr>
          <w:rFonts w:asciiTheme="minorHAnsi" w:hAnsiTheme="minorHAnsi" w:cstheme="minorHAnsi"/>
        </w:rPr>
        <w:t xml:space="preserve">30 (from </w:t>
      </w:r>
      <w:r w:rsidR="00C27B4B">
        <w:rPr>
          <w:rFonts w:asciiTheme="minorHAnsi" w:hAnsiTheme="minorHAnsi" w:cstheme="minorHAnsi"/>
        </w:rPr>
        <w:t>$</w:t>
      </w:r>
      <w:r w:rsidR="00B85922" w:rsidRPr="00B85922">
        <w:rPr>
          <w:rFonts w:asciiTheme="minorHAnsi" w:hAnsiTheme="minorHAnsi" w:cstheme="minorHAnsi"/>
        </w:rPr>
        <w:t xml:space="preserve">50 to </w:t>
      </w:r>
      <w:r w:rsidR="00C27B4B">
        <w:rPr>
          <w:rFonts w:asciiTheme="minorHAnsi" w:hAnsiTheme="minorHAnsi" w:cstheme="minorHAnsi"/>
        </w:rPr>
        <w:t>$</w:t>
      </w:r>
      <w:r w:rsidR="00B85922" w:rsidRPr="00B85922">
        <w:rPr>
          <w:rFonts w:asciiTheme="minorHAnsi" w:hAnsiTheme="minorHAnsi" w:cstheme="minorHAnsi"/>
        </w:rPr>
        <w:t>20) since there is no excess capital.</w:t>
      </w:r>
      <w:r w:rsidR="00B85922">
        <w:rPr>
          <w:rFonts w:asciiTheme="minorHAnsi" w:hAnsiTheme="minorHAnsi" w:cstheme="minorHAnsi"/>
        </w:rPr>
        <w:t xml:space="preserve">  </w:t>
      </w:r>
      <w:r w:rsidR="00B85922" w:rsidRPr="00B85922">
        <w:rPr>
          <w:rFonts w:asciiTheme="minorHAnsi" w:hAnsiTheme="minorHAnsi" w:cstheme="minorHAnsi"/>
        </w:rPr>
        <w:t>The loophole is that this consideration of excess capital and how it affects starting assets is only applicable to the alternative CFT run and not the mandatory CFT run.  I</w:t>
      </w:r>
      <w:r w:rsidR="00B85922">
        <w:rPr>
          <w:rFonts w:asciiTheme="minorHAnsi" w:hAnsiTheme="minorHAnsi" w:cstheme="minorHAnsi"/>
        </w:rPr>
        <w:t xml:space="preserve">t </w:t>
      </w:r>
      <w:r w:rsidR="00B85922" w:rsidRPr="00B85922">
        <w:rPr>
          <w:rFonts w:asciiTheme="minorHAnsi" w:hAnsiTheme="minorHAnsi" w:cstheme="minorHAnsi"/>
        </w:rPr>
        <w:t xml:space="preserve">should be applicable to both.  For the mandatory run, Reinsurer B could use starting assets equal to the entire FWH balance of </w:t>
      </w:r>
      <w:r w:rsidR="00C27B4B">
        <w:rPr>
          <w:rFonts w:asciiTheme="minorHAnsi" w:hAnsiTheme="minorHAnsi" w:cstheme="minorHAnsi"/>
        </w:rPr>
        <w:t>$</w:t>
      </w:r>
      <w:r w:rsidR="00B85922" w:rsidRPr="00B85922">
        <w:rPr>
          <w:rFonts w:asciiTheme="minorHAnsi" w:hAnsiTheme="minorHAnsi" w:cstheme="minorHAnsi"/>
        </w:rPr>
        <w:t xml:space="preserve">50, even though there is no excess capital being held.  </w:t>
      </w:r>
      <w:r w:rsidR="00B85922">
        <w:rPr>
          <w:rFonts w:asciiTheme="minorHAnsi" w:hAnsiTheme="minorHAnsi" w:cstheme="minorHAnsi"/>
        </w:rPr>
        <w:t>T</w:t>
      </w:r>
      <w:r w:rsidR="00B85922" w:rsidRPr="00B85922">
        <w:rPr>
          <w:rFonts w:asciiTheme="minorHAnsi" w:hAnsiTheme="minorHAnsi" w:cstheme="minorHAnsi"/>
        </w:rPr>
        <w:t>his is a loophole that needs to be filled.  </w:t>
      </w:r>
    </w:p>
    <w:p w14:paraId="665B0D3B" w14:textId="77777777" w:rsidR="00155B93" w:rsidRDefault="00155B93" w:rsidP="00155B93">
      <w:pPr>
        <w:rPr>
          <w:rFonts w:asciiTheme="minorHAnsi" w:hAnsiTheme="minorHAnsi" w:cstheme="minorHAnsi"/>
        </w:rPr>
      </w:pPr>
    </w:p>
    <w:p w14:paraId="7DAC50DA" w14:textId="77777777" w:rsidR="005B7E22" w:rsidRDefault="00155B93" w:rsidP="00155B93">
      <w:pPr>
        <w:ind w:left="720"/>
        <w:rPr>
          <w:rFonts w:asciiTheme="minorHAnsi" w:hAnsiTheme="minorHAnsi" w:cstheme="minorHAnsi"/>
          <w:sz w:val="24"/>
          <w:szCs w:val="24"/>
        </w:rPr>
      </w:pPr>
      <w:r>
        <w:rPr>
          <w:rFonts w:asciiTheme="minorHAnsi" w:hAnsiTheme="minorHAnsi" w:cstheme="minorHAnsi"/>
          <w:sz w:val="24"/>
          <w:szCs w:val="24"/>
        </w:rPr>
        <w:t>This can easily be done by moving paragraph 6.B.iv(a)(4)(A) to a new section 6.B.iii(b)</w:t>
      </w:r>
      <w:r w:rsidR="004444B4">
        <w:rPr>
          <w:rFonts w:asciiTheme="minorHAnsi" w:hAnsiTheme="minorHAnsi" w:cstheme="minorHAnsi"/>
          <w:sz w:val="24"/>
          <w:szCs w:val="24"/>
        </w:rPr>
        <w:t xml:space="preserve"> and changing the wording in Section 6.B.iii slightly</w:t>
      </w:r>
      <w:r w:rsidR="00C16542">
        <w:rPr>
          <w:rFonts w:asciiTheme="minorHAnsi" w:hAnsiTheme="minorHAnsi" w:cstheme="minorHAnsi"/>
          <w:sz w:val="24"/>
          <w:szCs w:val="24"/>
        </w:rPr>
        <w:t>.</w:t>
      </w:r>
    </w:p>
    <w:p w14:paraId="560862DF" w14:textId="77777777" w:rsidR="005B7E22" w:rsidRDefault="005B7E22" w:rsidP="00155B93">
      <w:pPr>
        <w:ind w:left="720"/>
        <w:rPr>
          <w:rFonts w:asciiTheme="minorHAnsi" w:hAnsiTheme="minorHAnsi" w:cstheme="minorHAnsi"/>
          <w:sz w:val="24"/>
          <w:szCs w:val="24"/>
        </w:rPr>
      </w:pPr>
    </w:p>
    <w:p w14:paraId="070B8DD6" w14:textId="6277146B" w:rsidR="004444B4" w:rsidRDefault="005B7E22" w:rsidP="00155B93">
      <w:pPr>
        <w:ind w:left="720"/>
        <w:rPr>
          <w:rFonts w:asciiTheme="minorHAnsi" w:hAnsiTheme="minorHAnsi" w:cstheme="minorHAnsi"/>
          <w:sz w:val="24"/>
          <w:szCs w:val="24"/>
        </w:rPr>
      </w:pPr>
      <w:r>
        <w:rPr>
          <w:rFonts w:asciiTheme="minorHAnsi" w:hAnsiTheme="minorHAnsi" w:cstheme="minorHAnsi"/>
          <w:sz w:val="24"/>
          <w:szCs w:val="24"/>
        </w:rPr>
        <w:t>Proposed new Section 6.B.</w:t>
      </w:r>
      <w:r w:rsidR="008B441B">
        <w:rPr>
          <w:rFonts w:asciiTheme="minorHAnsi" w:hAnsiTheme="minorHAnsi" w:cstheme="minorHAnsi"/>
          <w:sz w:val="24"/>
          <w:szCs w:val="24"/>
        </w:rPr>
        <w:t>iii:</w:t>
      </w:r>
    </w:p>
    <w:p w14:paraId="2B6C9493" w14:textId="77777777" w:rsidR="00E706F1" w:rsidRDefault="00E706F1" w:rsidP="00155B93">
      <w:pPr>
        <w:ind w:left="720"/>
        <w:rPr>
          <w:rFonts w:asciiTheme="minorHAnsi" w:hAnsiTheme="minorHAnsi" w:cstheme="minorHAnsi"/>
          <w:sz w:val="24"/>
          <w:szCs w:val="24"/>
        </w:rPr>
      </w:pPr>
    </w:p>
    <w:p w14:paraId="546FF5DD" w14:textId="7535734C" w:rsidR="00E706F1" w:rsidRPr="00E706F1" w:rsidRDefault="00E706F1" w:rsidP="00E706F1">
      <w:pPr>
        <w:tabs>
          <w:tab w:val="left" w:pos="720"/>
        </w:tabs>
        <w:ind w:left="1080" w:hanging="360"/>
        <w:rPr>
          <w:rFonts w:asciiTheme="minorHAnsi" w:hAnsiTheme="minorHAnsi" w:cstheme="minorHAnsi"/>
          <w:sz w:val="24"/>
          <w:szCs w:val="24"/>
        </w:rPr>
      </w:pPr>
      <w:r w:rsidRPr="00E706F1">
        <w:rPr>
          <w:rFonts w:asciiTheme="minorHAnsi" w:hAnsiTheme="minorHAnsi" w:cstheme="minorHAnsi"/>
          <w:sz w:val="24"/>
          <w:szCs w:val="24"/>
        </w:rPr>
        <w:t>iii.</w:t>
      </w:r>
      <w:r w:rsidRPr="00E706F1">
        <w:rPr>
          <w:rFonts w:asciiTheme="minorHAnsi" w:hAnsiTheme="minorHAnsi" w:cstheme="minorHAnsi"/>
          <w:sz w:val="24"/>
          <w:szCs w:val="24"/>
        </w:rPr>
        <w:tab/>
        <w:t xml:space="preserve">For one mandatory run of cash-flow testing, the Starting Asset Amount shall be </w:t>
      </w:r>
      <w:r w:rsidR="00040B82" w:rsidRPr="00040B82">
        <w:rPr>
          <w:rFonts w:asciiTheme="minorHAnsi" w:hAnsiTheme="minorHAnsi" w:cstheme="minorHAnsi"/>
          <w:color w:val="FF0000"/>
          <w:sz w:val="24"/>
          <w:szCs w:val="24"/>
          <w:u w:val="single"/>
        </w:rPr>
        <w:t xml:space="preserve">no greater </w:t>
      </w:r>
      <w:proofErr w:type="spellStart"/>
      <w:r w:rsidR="00040B82" w:rsidRPr="00040B82">
        <w:rPr>
          <w:rFonts w:asciiTheme="minorHAnsi" w:hAnsiTheme="minorHAnsi" w:cstheme="minorHAnsi"/>
          <w:color w:val="FF0000"/>
          <w:sz w:val="24"/>
          <w:szCs w:val="24"/>
          <w:u w:val="single"/>
        </w:rPr>
        <w:t>than</w:t>
      </w:r>
      <w:r w:rsidRPr="00040B82">
        <w:rPr>
          <w:rFonts w:asciiTheme="minorHAnsi" w:hAnsiTheme="minorHAnsi" w:cstheme="minorHAnsi"/>
          <w:strike/>
          <w:color w:val="FF0000"/>
          <w:sz w:val="24"/>
          <w:szCs w:val="24"/>
        </w:rPr>
        <w:t>equal</w:t>
      </w:r>
      <w:proofErr w:type="spellEnd"/>
      <w:r w:rsidRPr="008E1C25">
        <w:rPr>
          <w:rFonts w:asciiTheme="minorHAnsi" w:hAnsiTheme="minorHAnsi" w:cstheme="minorHAnsi"/>
          <w:strike/>
          <w:color w:val="FF0000"/>
          <w:sz w:val="24"/>
          <w:szCs w:val="24"/>
        </w:rPr>
        <w:t xml:space="preserve"> to</w:t>
      </w:r>
      <w:r w:rsidRPr="00E706F1">
        <w:rPr>
          <w:rFonts w:asciiTheme="minorHAnsi" w:hAnsiTheme="minorHAnsi" w:cstheme="minorHAnsi"/>
          <w:sz w:val="24"/>
          <w:szCs w:val="24"/>
        </w:rPr>
        <w:t xml:space="preserve"> the Post-Reinsurance Reserve.</w:t>
      </w:r>
    </w:p>
    <w:p w14:paraId="6637F719" w14:textId="77777777" w:rsidR="00E706F1" w:rsidRPr="00D36019" w:rsidRDefault="00E706F1" w:rsidP="00E706F1">
      <w:pPr>
        <w:pStyle w:val="ListParagraph"/>
        <w:numPr>
          <w:ilvl w:val="0"/>
          <w:numId w:val="21"/>
        </w:numPr>
        <w:tabs>
          <w:tab w:val="left" w:pos="720"/>
        </w:tabs>
        <w:spacing w:after="160" w:line="259" w:lineRule="auto"/>
        <w:rPr>
          <w:rFonts w:asciiTheme="minorHAnsi" w:hAnsiTheme="minorHAnsi" w:cstheme="minorHAnsi"/>
        </w:rPr>
      </w:pPr>
      <w:r w:rsidRPr="00E706F1">
        <w:rPr>
          <w:rFonts w:asciiTheme="minorHAnsi" w:hAnsiTheme="minorHAnsi" w:cstheme="minorHAnsi"/>
        </w:rPr>
        <w:t>If the Post-Reinsurance Reserve held by a non-affiliate is unavailable, then consider principles in Section 6.B.</w:t>
      </w:r>
      <w:proofErr w:type="gramStart"/>
      <w:r w:rsidRPr="00E706F1">
        <w:rPr>
          <w:rFonts w:asciiTheme="minorHAnsi" w:hAnsiTheme="minorHAnsi" w:cstheme="minorHAnsi"/>
        </w:rPr>
        <w:t>iv.(</w:t>
      </w:r>
      <w:proofErr w:type="gramEnd"/>
      <w:r w:rsidRPr="00E706F1">
        <w:rPr>
          <w:rFonts w:asciiTheme="minorHAnsi" w:hAnsiTheme="minorHAnsi" w:cstheme="minorHAnsi"/>
        </w:rPr>
        <w:t xml:space="preserve">a) regarding the roles of reserves, Excess Capital, collateral assets, and Primary Security in establishing the Starting Asset </w:t>
      </w:r>
      <w:r w:rsidRPr="00D36019">
        <w:rPr>
          <w:rFonts w:asciiTheme="minorHAnsi" w:hAnsiTheme="minorHAnsi" w:cstheme="minorHAnsi"/>
        </w:rPr>
        <w:t>Amount.</w:t>
      </w:r>
    </w:p>
    <w:p w14:paraId="6DA1E001" w14:textId="77777777" w:rsidR="00D36019" w:rsidRPr="00D36019" w:rsidRDefault="00D36019" w:rsidP="00D36019">
      <w:pPr>
        <w:pStyle w:val="ListParagraph"/>
        <w:numPr>
          <w:ilvl w:val="0"/>
          <w:numId w:val="21"/>
        </w:numPr>
        <w:tabs>
          <w:tab w:val="left" w:pos="720"/>
        </w:tabs>
        <w:rPr>
          <w:rFonts w:asciiTheme="minorHAnsi" w:hAnsiTheme="minorHAnsi" w:cstheme="minorHAnsi"/>
        </w:rPr>
      </w:pPr>
      <w:r w:rsidRPr="00D36019">
        <w:rPr>
          <w:rFonts w:asciiTheme="minorHAnsi" w:hAnsiTheme="minorHAnsi" w:cstheme="minorHAnsi"/>
        </w:rPr>
        <w:t>If little or no Excess Capital is available in addition to the amount equal to the Starting Asset Amount, then the Starting Asset Amount should be reduced such that appropriate Excess Capital would be available to support the block in beyond moderately adverse conditions (conditions contemplated in the US risk-based capital (RBC) system as stated in the RBC For Insurers Model Act).</w:t>
      </w:r>
    </w:p>
    <w:p w14:paraId="51C02C4A" w14:textId="77777777" w:rsidR="00E706F1" w:rsidRPr="00D36019" w:rsidRDefault="00E706F1" w:rsidP="00155B93">
      <w:pPr>
        <w:ind w:left="720"/>
        <w:rPr>
          <w:rFonts w:asciiTheme="minorHAnsi" w:hAnsiTheme="minorHAnsi" w:cstheme="minorHAnsi"/>
          <w:sz w:val="24"/>
          <w:szCs w:val="24"/>
        </w:rPr>
      </w:pPr>
    </w:p>
    <w:p w14:paraId="05026088" w14:textId="1307F5B5" w:rsidR="00155B93" w:rsidRDefault="00155B93" w:rsidP="00155B93">
      <w:pPr>
        <w:ind w:left="720"/>
        <w:rPr>
          <w:rFonts w:asciiTheme="minorHAnsi" w:hAnsiTheme="minorHAnsi" w:cstheme="minorHAnsi"/>
          <w:sz w:val="24"/>
          <w:szCs w:val="24"/>
        </w:rPr>
      </w:pPr>
      <w:r>
        <w:rPr>
          <w:rFonts w:asciiTheme="minorHAnsi" w:hAnsiTheme="minorHAnsi" w:cstheme="minorHAnsi"/>
          <w:sz w:val="24"/>
          <w:szCs w:val="24"/>
        </w:rPr>
        <w:t>Section 6.B.</w:t>
      </w:r>
      <w:proofErr w:type="gramStart"/>
      <w:r>
        <w:rPr>
          <w:rFonts w:asciiTheme="minorHAnsi" w:hAnsiTheme="minorHAnsi" w:cstheme="minorHAnsi"/>
          <w:sz w:val="24"/>
          <w:szCs w:val="24"/>
        </w:rPr>
        <w:t>iv.(</w:t>
      </w:r>
      <w:proofErr w:type="gramEnd"/>
      <w:r>
        <w:rPr>
          <w:rFonts w:asciiTheme="minorHAnsi" w:hAnsiTheme="minorHAnsi" w:cstheme="minorHAnsi"/>
          <w:sz w:val="24"/>
          <w:szCs w:val="24"/>
        </w:rPr>
        <w:t xml:space="preserve">a)(4) </w:t>
      </w:r>
      <w:r w:rsidR="005B7E22">
        <w:rPr>
          <w:rFonts w:asciiTheme="minorHAnsi" w:hAnsiTheme="minorHAnsi" w:cstheme="minorHAnsi"/>
          <w:sz w:val="24"/>
          <w:szCs w:val="24"/>
        </w:rPr>
        <w:t>w</w:t>
      </w:r>
      <w:r>
        <w:rPr>
          <w:rFonts w:asciiTheme="minorHAnsi" w:hAnsiTheme="minorHAnsi" w:cstheme="minorHAnsi"/>
          <w:sz w:val="24"/>
          <w:szCs w:val="24"/>
        </w:rPr>
        <w:t>ould then be changed to:</w:t>
      </w:r>
    </w:p>
    <w:p w14:paraId="2C0874E2" w14:textId="77777777" w:rsidR="00155B93" w:rsidRDefault="00155B93" w:rsidP="00155B93">
      <w:pPr>
        <w:ind w:left="720"/>
        <w:rPr>
          <w:rFonts w:asciiTheme="minorHAnsi" w:hAnsiTheme="minorHAnsi" w:cstheme="minorHAnsi"/>
          <w:sz w:val="24"/>
          <w:szCs w:val="24"/>
        </w:rPr>
      </w:pPr>
    </w:p>
    <w:p w14:paraId="7241DA4D" w14:textId="3B17912B" w:rsidR="00155B93" w:rsidRDefault="00155B93" w:rsidP="00155B93">
      <w:pPr>
        <w:tabs>
          <w:tab w:val="left" w:pos="720"/>
        </w:tabs>
        <w:ind w:left="1440"/>
        <w:rPr>
          <w:sz w:val="24"/>
          <w:szCs w:val="24"/>
        </w:rPr>
      </w:pPr>
      <w:r w:rsidRPr="00155B93">
        <w:rPr>
          <w:sz w:val="24"/>
          <w:szCs w:val="24"/>
        </w:rPr>
        <w:lastRenderedPageBreak/>
        <w:t>Appropriate Excess Capital is demonstrated to be available in addition to the Starting Asset Amount</w:t>
      </w:r>
      <w:r>
        <w:rPr>
          <w:sz w:val="24"/>
          <w:szCs w:val="24"/>
        </w:rPr>
        <w:t xml:space="preserve"> </w:t>
      </w:r>
      <w:r w:rsidRPr="00211596">
        <w:rPr>
          <w:color w:val="FF0000"/>
          <w:sz w:val="24"/>
          <w:szCs w:val="24"/>
        </w:rPr>
        <w:t xml:space="preserve">following principles of Section </w:t>
      </w:r>
      <w:r w:rsidR="00211596" w:rsidRPr="00211596">
        <w:rPr>
          <w:color w:val="FF0000"/>
          <w:sz w:val="24"/>
          <w:szCs w:val="24"/>
        </w:rPr>
        <w:t>6</w:t>
      </w:r>
      <w:r w:rsidRPr="00211596">
        <w:rPr>
          <w:color w:val="FF0000"/>
          <w:sz w:val="24"/>
          <w:szCs w:val="24"/>
        </w:rPr>
        <w:t>.B.iii(b).</w:t>
      </w:r>
    </w:p>
    <w:p w14:paraId="15371ECA" w14:textId="77777777" w:rsidR="00155B93" w:rsidRDefault="00155B93" w:rsidP="00155B93">
      <w:pPr>
        <w:tabs>
          <w:tab w:val="left" w:pos="720"/>
        </w:tabs>
        <w:ind w:left="1440"/>
        <w:rPr>
          <w:sz w:val="24"/>
          <w:szCs w:val="24"/>
        </w:rPr>
      </w:pPr>
    </w:p>
    <w:p w14:paraId="7589DC70" w14:textId="717D24D4" w:rsidR="00BF0B8D" w:rsidRDefault="00BF0B8D" w:rsidP="000A458A">
      <w:pPr>
        <w:tabs>
          <w:tab w:val="left" w:pos="720"/>
        </w:tabs>
        <w:ind w:left="720"/>
        <w:rPr>
          <w:sz w:val="24"/>
          <w:szCs w:val="24"/>
        </w:rPr>
      </w:pPr>
      <w:r>
        <w:rPr>
          <w:sz w:val="24"/>
          <w:szCs w:val="24"/>
        </w:rPr>
        <w:t xml:space="preserve">The revised wording </w:t>
      </w:r>
      <w:r w:rsidR="000A458A">
        <w:rPr>
          <w:sz w:val="24"/>
          <w:szCs w:val="24"/>
        </w:rPr>
        <w:t xml:space="preserve">“no greater than” </w:t>
      </w:r>
      <w:r>
        <w:rPr>
          <w:sz w:val="24"/>
          <w:szCs w:val="24"/>
        </w:rPr>
        <w:t>in Section 6.B.iii</w:t>
      </w:r>
      <w:r w:rsidR="000A458A">
        <w:rPr>
          <w:sz w:val="24"/>
          <w:szCs w:val="24"/>
        </w:rPr>
        <w:t xml:space="preserve"> aligns with the wording used for selecting assets in ASOP 22.</w:t>
      </w:r>
    </w:p>
    <w:p w14:paraId="129FDFEE" w14:textId="77777777" w:rsidR="00BF0B8D" w:rsidRPr="00155B93" w:rsidRDefault="00BF0B8D" w:rsidP="00155B93">
      <w:pPr>
        <w:tabs>
          <w:tab w:val="left" w:pos="720"/>
        </w:tabs>
        <w:ind w:left="1440"/>
        <w:rPr>
          <w:sz w:val="24"/>
          <w:szCs w:val="24"/>
        </w:rPr>
      </w:pPr>
    </w:p>
    <w:p w14:paraId="6369C030" w14:textId="6A3FA430" w:rsidR="00211596" w:rsidRPr="00211596" w:rsidRDefault="000C6CCB" w:rsidP="00520B05">
      <w:pPr>
        <w:pStyle w:val="ListParagraph"/>
        <w:numPr>
          <w:ilvl w:val="0"/>
          <w:numId w:val="20"/>
        </w:numPr>
        <w:rPr>
          <w:rFonts w:asciiTheme="minorHAnsi" w:hAnsiTheme="minorHAnsi" w:cstheme="minorHAnsi"/>
        </w:rPr>
      </w:pPr>
      <w:r w:rsidRPr="000C6CCB">
        <w:rPr>
          <w:rFonts w:asciiTheme="minorHAnsi" w:hAnsiTheme="minorHAnsi" w:cstheme="minorHAnsi"/>
          <w:u w:val="single"/>
        </w:rPr>
        <w:t>Similar Memorandum</w:t>
      </w:r>
      <w:r>
        <w:rPr>
          <w:rFonts w:asciiTheme="minorHAnsi" w:hAnsiTheme="minorHAnsi" w:cstheme="minorHAnsi"/>
        </w:rPr>
        <w:t xml:space="preserve">.  </w:t>
      </w:r>
      <w:r w:rsidR="00211596" w:rsidRPr="00211596">
        <w:rPr>
          <w:rFonts w:asciiTheme="minorHAnsi" w:hAnsiTheme="minorHAnsi" w:cstheme="minorHAnsi"/>
        </w:rPr>
        <w:t>I agree in part with the comment made by Transamerica in their April 24, 2025, comment letter, regarding the Similar Memorandum.  The wording in Section 5.G may create confusion because it describes the Similar Memorandum as a potential “alternative to cash-flow testing.”  This implies that the Similar Memorandum does not use CFT.  The wording proposed by Transamerica is “alternative to cash-flow testing documentation”, which I believe also could create confusion because this implies that CFT is the only acceptable method to use in the Similar Memorandum.  In addition, with the new Section 9 Reporting Section, it makes sense to move Section 5.G to Section 9, and re-title Section 5 to be “Analysis Expectations in Light of Risks”.  This way, all the analysis expectations are in Section 5 and all the reporting and documentation requirements are in Section 9.</w:t>
      </w:r>
      <w:r w:rsidR="00211596">
        <w:rPr>
          <w:rFonts w:asciiTheme="minorHAnsi" w:hAnsiTheme="minorHAnsi" w:cstheme="minorHAnsi"/>
        </w:rPr>
        <w:t xml:space="preserve">  Move Section 5.G to </w:t>
      </w:r>
      <w:r w:rsidR="00211596" w:rsidRPr="00211596">
        <w:rPr>
          <w:rFonts w:asciiTheme="minorHAnsi" w:hAnsiTheme="minorHAnsi" w:cstheme="minorHAnsi"/>
        </w:rPr>
        <w:t>after Section 9.A as follows:</w:t>
      </w:r>
    </w:p>
    <w:p w14:paraId="6AFEEFEA" w14:textId="77777777" w:rsidR="00211596" w:rsidRPr="00211596" w:rsidRDefault="00211596" w:rsidP="00211596">
      <w:pPr>
        <w:ind w:left="360"/>
        <w:rPr>
          <w:rFonts w:asciiTheme="minorHAnsi" w:hAnsiTheme="minorHAnsi" w:cstheme="minorHAnsi"/>
        </w:rPr>
      </w:pPr>
    </w:p>
    <w:p w14:paraId="256ED73B" w14:textId="72584B13" w:rsidR="00211596" w:rsidRDefault="000C6CCB" w:rsidP="00211596">
      <w:pPr>
        <w:ind w:left="720"/>
        <w:rPr>
          <w:rFonts w:asciiTheme="minorHAnsi" w:hAnsiTheme="minorHAnsi" w:cstheme="minorHAnsi"/>
          <w:sz w:val="24"/>
          <w:szCs w:val="24"/>
        </w:rPr>
      </w:pPr>
      <w:r>
        <w:rPr>
          <w:rFonts w:asciiTheme="minorHAnsi" w:hAnsiTheme="minorHAnsi" w:cstheme="minorHAnsi"/>
          <w:sz w:val="24"/>
          <w:szCs w:val="24"/>
        </w:rPr>
        <w:t>Proposed n</w:t>
      </w:r>
      <w:r w:rsidR="00211596" w:rsidRPr="00211596">
        <w:rPr>
          <w:rFonts w:asciiTheme="minorHAnsi" w:hAnsiTheme="minorHAnsi" w:cstheme="minorHAnsi"/>
          <w:sz w:val="24"/>
          <w:szCs w:val="24"/>
        </w:rPr>
        <w:t>ew Section 9.B:</w:t>
      </w:r>
    </w:p>
    <w:p w14:paraId="0262ED7E" w14:textId="77777777" w:rsidR="00D36019" w:rsidRPr="00211596" w:rsidRDefault="00D36019" w:rsidP="00211596">
      <w:pPr>
        <w:ind w:left="720"/>
        <w:rPr>
          <w:rFonts w:asciiTheme="minorHAnsi" w:hAnsiTheme="minorHAnsi" w:cstheme="minorHAnsi"/>
        </w:rPr>
      </w:pPr>
    </w:p>
    <w:p w14:paraId="2843BF03" w14:textId="77777777" w:rsidR="00211596" w:rsidRPr="00211596" w:rsidRDefault="00211596" w:rsidP="00211596">
      <w:pPr>
        <w:ind w:left="1440"/>
        <w:rPr>
          <w:rFonts w:asciiTheme="minorHAnsi" w:hAnsiTheme="minorHAnsi" w:cstheme="minorHAnsi"/>
          <w:sz w:val="24"/>
          <w:szCs w:val="24"/>
        </w:rPr>
      </w:pPr>
      <w:r w:rsidRPr="00211596">
        <w:rPr>
          <w:rFonts w:asciiTheme="minorHAnsi" w:hAnsiTheme="minorHAnsi" w:cstheme="minorHAnsi"/>
          <w:sz w:val="24"/>
          <w:szCs w:val="24"/>
        </w:rPr>
        <w:t xml:space="preserve">A Similar Memorandum may be submitted as an appropriate alternative to </w:t>
      </w:r>
      <w:r w:rsidRPr="00211596">
        <w:rPr>
          <w:rFonts w:asciiTheme="minorHAnsi" w:hAnsiTheme="minorHAnsi" w:cstheme="minorHAnsi"/>
          <w:color w:val="FF0000"/>
          <w:sz w:val="24"/>
          <w:szCs w:val="24"/>
        </w:rPr>
        <w:t xml:space="preserve">the documentation required in Section 9.C </w:t>
      </w:r>
      <w:r w:rsidRPr="00211596">
        <w:rPr>
          <w:rFonts w:asciiTheme="minorHAnsi" w:hAnsiTheme="minorHAnsi" w:cstheme="minorHAnsi"/>
          <w:sz w:val="24"/>
          <w:szCs w:val="24"/>
        </w:rPr>
        <w:t>in some instances, if the Similar Memorandum is easily readable for review of the risks and analysis related to the scope of this Guideline, and based on the Similar Memorandum the cedant’s domestic regulator finds, with the assistance of the Valuation Analysis (E) Working Group, that they are able to determine whether the assets are adequate to support the liabilities under moderately adverse conditions.</w:t>
      </w:r>
    </w:p>
    <w:p w14:paraId="4A03A1FE" w14:textId="77777777" w:rsidR="00211596" w:rsidRPr="00211596" w:rsidRDefault="00211596" w:rsidP="00211596">
      <w:pPr>
        <w:ind w:left="360"/>
        <w:rPr>
          <w:rFonts w:asciiTheme="minorHAnsi" w:hAnsiTheme="minorHAnsi" w:cstheme="minorHAnsi"/>
        </w:rPr>
      </w:pPr>
    </w:p>
    <w:p w14:paraId="086A6731" w14:textId="2EA4830D" w:rsidR="00211596" w:rsidRPr="00211596" w:rsidRDefault="00CB4AE0" w:rsidP="00211596">
      <w:pPr>
        <w:ind w:left="720"/>
        <w:rPr>
          <w:rFonts w:asciiTheme="minorHAnsi" w:hAnsiTheme="minorHAnsi" w:cstheme="minorHAnsi"/>
          <w:sz w:val="24"/>
          <w:szCs w:val="24"/>
        </w:rPr>
      </w:pPr>
      <w:r>
        <w:rPr>
          <w:rFonts w:asciiTheme="minorHAnsi" w:hAnsiTheme="minorHAnsi" w:cstheme="minorHAnsi"/>
          <w:sz w:val="24"/>
          <w:szCs w:val="24"/>
        </w:rPr>
        <w:t>This added wording aligns with the wording in the current Section 9.B</w:t>
      </w:r>
      <w:r w:rsidR="00991D31">
        <w:rPr>
          <w:rFonts w:asciiTheme="minorHAnsi" w:hAnsiTheme="minorHAnsi" w:cstheme="minorHAnsi"/>
          <w:sz w:val="24"/>
          <w:szCs w:val="24"/>
        </w:rPr>
        <w:t xml:space="preserve">.  </w:t>
      </w:r>
      <w:r w:rsidR="00211596" w:rsidRPr="00211596">
        <w:rPr>
          <w:rFonts w:asciiTheme="minorHAnsi" w:hAnsiTheme="minorHAnsi" w:cstheme="minorHAnsi"/>
          <w:sz w:val="24"/>
          <w:szCs w:val="24"/>
        </w:rPr>
        <w:t xml:space="preserve">Current sections 9.B and 9.C would then be renumbered to 9.C and 9.D.  Also, please note that there are two sections 9.B.iii in the current draft.  Section 5.G would then be </w:t>
      </w:r>
      <w:proofErr w:type="gramStart"/>
      <w:r w:rsidR="00211596" w:rsidRPr="00211596">
        <w:rPr>
          <w:rFonts w:asciiTheme="minorHAnsi" w:hAnsiTheme="minorHAnsi" w:cstheme="minorHAnsi"/>
          <w:sz w:val="24"/>
          <w:szCs w:val="24"/>
        </w:rPr>
        <w:t>deleted</w:t>
      </w:r>
      <w:proofErr w:type="gramEnd"/>
      <w:r w:rsidR="00211596" w:rsidRPr="00211596">
        <w:rPr>
          <w:rFonts w:asciiTheme="minorHAnsi" w:hAnsiTheme="minorHAnsi" w:cstheme="minorHAnsi"/>
          <w:sz w:val="24"/>
          <w:szCs w:val="24"/>
        </w:rPr>
        <w:t xml:space="preserve"> and the rest of Section 5 would need renumbered.  References to Section 5.H would need to be changed to Section 5.G.</w:t>
      </w:r>
    </w:p>
    <w:p w14:paraId="679B8CCD" w14:textId="77777777" w:rsidR="00211596" w:rsidRDefault="00211596" w:rsidP="00363178">
      <w:pPr>
        <w:rPr>
          <w:rFonts w:asciiTheme="minorHAnsi" w:hAnsiTheme="minorHAnsi" w:cstheme="minorHAnsi"/>
          <w:sz w:val="24"/>
          <w:szCs w:val="24"/>
        </w:rPr>
      </w:pPr>
    </w:p>
    <w:p w14:paraId="636D33C8" w14:textId="608BA090" w:rsidR="00363178" w:rsidRPr="00B33CCD" w:rsidRDefault="00363178" w:rsidP="00363178">
      <w:pPr>
        <w:rPr>
          <w:rFonts w:asciiTheme="minorHAnsi" w:hAnsiTheme="minorHAnsi" w:cstheme="minorHAnsi"/>
          <w:sz w:val="24"/>
          <w:szCs w:val="24"/>
        </w:rPr>
      </w:pPr>
      <w:r w:rsidRPr="00B33CCD">
        <w:rPr>
          <w:rFonts w:asciiTheme="minorHAnsi" w:hAnsiTheme="minorHAnsi" w:cstheme="minorHAnsi"/>
          <w:sz w:val="24"/>
          <w:szCs w:val="24"/>
        </w:rPr>
        <w:t>Thank</w:t>
      </w:r>
      <w:r w:rsidR="00AF2890" w:rsidRPr="00B33CCD">
        <w:rPr>
          <w:rFonts w:asciiTheme="minorHAnsi" w:hAnsiTheme="minorHAnsi" w:cstheme="minorHAnsi"/>
          <w:sz w:val="24"/>
          <w:szCs w:val="24"/>
        </w:rPr>
        <w:t xml:space="preserve"> you</w:t>
      </w:r>
      <w:r w:rsidR="00816678" w:rsidRPr="00B33CCD">
        <w:rPr>
          <w:rFonts w:asciiTheme="minorHAnsi" w:hAnsiTheme="minorHAnsi" w:cstheme="minorHAnsi"/>
          <w:sz w:val="24"/>
          <w:szCs w:val="24"/>
        </w:rPr>
        <w:t xml:space="preserve"> for </w:t>
      </w:r>
      <w:r w:rsidR="00E132D6" w:rsidRPr="00B33CCD">
        <w:rPr>
          <w:rFonts w:asciiTheme="minorHAnsi" w:hAnsiTheme="minorHAnsi" w:cstheme="minorHAnsi"/>
          <w:sz w:val="24"/>
          <w:szCs w:val="24"/>
        </w:rPr>
        <w:t>your consideration of these comments.</w:t>
      </w:r>
      <w:r w:rsidRPr="00B33CCD">
        <w:rPr>
          <w:rFonts w:asciiTheme="minorHAnsi" w:hAnsiTheme="minorHAnsi" w:cstheme="minorHAnsi"/>
          <w:sz w:val="24"/>
          <w:szCs w:val="24"/>
        </w:rPr>
        <w:t xml:space="preserve"> </w:t>
      </w:r>
    </w:p>
    <w:p w14:paraId="6F686CAD" w14:textId="77777777" w:rsidR="00363178" w:rsidRPr="00B33CCD" w:rsidRDefault="00363178" w:rsidP="00363178">
      <w:pPr>
        <w:rPr>
          <w:rFonts w:asciiTheme="minorHAnsi" w:hAnsiTheme="minorHAnsi" w:cstheme="minorHAnsi"/>
          <w:sz w:val="24"/>
          <w:szCs w:val="24"/>
        </w:rPr>
      </w:pPr>
    </w:p>
    <w:p w14:paraId="141E0DB4" w14:textId="77777777" w:rsidR="00363178" w:rsidRPr="00B33CCD" w:rsidRDefault="00363178" w:rsidP="00363178">
      <w:pPr>
        <w:rPr>
          <w:rFonts w:asciiTheme="minorHAnsi" w:hAnsiTheme="minorHAnsi" w:cstheme="minorHAnsi"/>
          <w:sz w:val="24"/>
          <w:szCs w:val="24"/>
        </w:rPr>
      </w:pPr>
    </w:p>
    <w:p w14:paraId="600078BF" w14:textId="77777777" w:rsidR="00363178" w:rsidRPr="00B33CCD" w:rsidRDefault="00AF2890" w:rsidP="00363178">
      <w:pPr>
        <w:rPr>
          <w:rFonts w:asciiTheme="minorHAnsi" w:hAnsiTheme="minorHAnsi" w:cstheme="minorHAnsi"/>
          <w:sz w:val="24"/>
          <w:szCs w:val="24"/>
        </w:rPr>
      </w:pPr>
      <w:r w:rsidRPr="00B33CCD">
        <w:rPr>
          <w:rFonts w:asciiTheme="minorHAnsi" w:hAnsiTheme="minorHAnsi" w:cstheme="minorHAnsi"/>
          <w:sz w:val="24"/>
          <w:szCs w:val="24"/>
        </w:rPr>
        <w:t>Craig Chupp</w:t>
      </w:r>
      <w:r w:rsidR="00363178" w:rsidRPr="00B33CCD">
        <w:rPr>
          <w:rFonts w:asciiTheme="minorHAnsi" w:hAnsiTheme="minorHAnsi" w:cstheme="minorHAnsi"/>
          <w:sz w:val="24"/>
          <w:szCs w:val="24"/>
        </w:rPr>
        <w:t>, FSA, MAAA</w:t>
      </w:r>
    </w:p>
    <w:p w14:paraId="0D2526BC" w14:textId="77777777" w:rsidR="00363178" w:rsidRPr="00B33CCD" w:rsidRDefault="00363178" w:rsidP="00363178">
      <w:pPr>
        <w:rPr>
          <w:rFonts w:asciiTheme="minorHAnsi" w:hAnsiTheme="minorHAnsi" w:cstheme="minorHAnsi"/>
          <w:sz w:val="24"/>
          <w:szCs w:val="24"/>
        </w:rPr>
      </w:pPr>
      <w:r w:rsidRPr="00B33CCD">
        <w:rPr>
          <w:rFonts w:asciiTheme="minorHAnsi" w:hAnsiTheme="minorHAnsi" w:cstheme="minorHAnsi"/>
          <w:sz w:val="24"/>
          <w:szCs w:val="24"/>
        </w:rPr>
        <w:t xml:space="preserve">Life </w:t>
      </w:r>
      <w:r w:rsidR="00AF2890" w:rsidRPr="00B33CCD">
        <w:rPr>
          <w:rFonts w:asciiTheme="minorHAnsi" w:hAnsiTheme="minorHAnsi" w:cstheme="minorHAnsi"/>
          <w:sz w:val="24"/>
          <w:szCs w:val="24"/>
        </w:rPr>
        <w:t xml:space="preserve">and Health Insurance </w:t>
      </w:r>
      <w:r w:rsidRPr="00B33CCD">
        <w:rPr>
          <w:rFonts w:asciiTheme="minorHAnsi" w:hAnsiTheme="minorHAnsi" w:cstheme="minorHAnsi"/>
          <w:sz w:val="24"/>
          <w:szCs w:val="24"/>
        </w:rPr>
        <w:t>Actuary</w:t>
      </w:r>
    </w:p>
    <w:p w14:paraId="654BAAA0" w14:textId="77777777" w:rsidR="00363178" w:rsidRPr="00B33CCD" w:rsidRDefault="00AF2890" w:rsidP="00363178">
      <w:pPr>
        <w:rPr>
          <w:rFonts w:asciiTheme="minorHAnsi" w:hAnsiTheme="minorHAnsi" w:cstheme="minorHAnsi"/>
          <w:sz w:val="24"/>
          <w:szCs w:val="24"/>
        </w:rPr>
      </w:pPr>
      <w:r w:rsidRPr="00B33CCD">
        <w:rPr>
          <w:rFonts w:asciiTheme="minorHAnsi" w:hAnsiTheme="minorHAnsi" w:cstheme="minorHAnsi"/>
          <w:sz w:val="24"/>
          <w:szCs w:val="24"/>
        </w:rPr>
        <w:t>Virginia Bureau of Insurance</w:t>
      </w:r>
    </w:p>
    <w:p w14:paraId="22DD9C09" w14:textId="77777777" w:rsidR="00363178" w:rsidRPr="00B33CCD" w:rsidRDefault="000A458A" w:rsidP="00363178">
      <w:pPr>
        <w:rPr>
          <w:rFonts w:asciiTheme="minorHAnsi" w:hAnsiTheme="minorHAnsi" w:cstheme="minorHAnsi"/>
          <w:sz w:val="24"/>
          <w:szCs w:val="24"/>
        </w:rPr>
      </w:pPr>
      <w:hyperlink r:id="rId7" w:history="1">
        <w:r w:rsidR="00AF2890" w:rsidRPr="00B33CCD">
          <w:rPr>
            <w:rStyle w:val="Hyperlink"/>
            <w:rFonts w:asciiTheme="minorHAnsi" w:hAnsiTheme="minorHAnsi" w:cstheme="minorHAnsi"/>
            <w:sz w:val="24"/>
            <w:szCs w:val="24"/>
          </w:rPr>
          <w:t>craig.chupp@scc.virginia.gov</w:t>
        </w:r>
      </w:hyperlink>
      <w:r w:rsidR="00363178" w:rsidRPr="00B33CCD">
        <w:rPr>
          <w:rFonts w:asciiTheme="minorHAnsi" w:hAnsiTheme="minorHAnsi" w:cstheme="minorHAnsi"/>
          <w:sz w:val="24"/>
          <w:szCs w:val="24"/>
        </w:rPr>
        <w:t> </w:t>
      </w:r>
    </w:p>
    <w:p w14:paraId="2AB7CBEE" w14:textId="77777777" w:rsidR="00363178" w:rsidRPr="00B33CCD" w:rsidRDefault="00AF2890" w:rsidP="00363178">
      <w:pPr>
        <w:rPr>
          <w:rFonts w:asciiTheme="minorHAnsi" w:hAnsiTheme="minorHAnsi" w:cstheme="minorHAnsi"/>
          <w:sz w:val="24"/>
          <w:szCs w:val="24"/>
        </w:rPr>
      </w:pPr>
      <w:r w:rsidRPr="00B33CCD">
        <w:rPr>
          <w:rFonts w:asciiTheme="minorHAnsi" w:hAnsiTheme="minorHAnsi" w:cstheme="minorHAnsi"/>
          <w:sz w:val="24"/>
          <w:szCs w:val="24"/>
        </w:rPr>
        <w:t xml:space="preserve">Phone: </w:t>
      </w:r>
      <w:r w:rsidR="00363178" w:rsidRPr="00B33CCD">
        <w:rPr>
          <w:rFonts w:asciiTheme="minorHAnsi" w:hAnsiTheme="minorHAnsi" w:cstheme="minorHAnsi"/>
          <w:sz w:val="24"/>
          <w:szCs w:val="24"/>
        </w:rPr>
        <w:t>(</w:t>
      </w:r>
      <w:r w:rsidRPr="00B33CCD">
        <w:rPr>
          <w:rFonts w:asciiTheme="minorHAnsi" w:hAnsiTheme="minorHAnsi" w:cstheme="minorHAnsi"/>
          <w:sz w:val="24"/>
          <w:szCs w:val="24"/>
        </w:rPr>
        <w:t>804</w:t>
      </w:r>
      <w:r w:rsidR="00363178" w:rsidRPr="00B33CCD">
        <w:rPr>
          <w:rFonts w:asciiTheme="minorHAnsi" w:hAnsiTheme="minorHAnsi" w:cstheme="minorHAnsi"/>
          <w:sz w:val="24"/>
          <w:szCs w:val="24"/>
        </w:rPr>
        <w:t>)</w:t>
      </w:r>
      <w:r w:rsidRPr="00B33CCD">
        <w:rPr>
          <w:rFonts w:asciiTheme="minorHAnsi" w:hAnsiTheme="minorHAnsi" w:cstheme="minorHAnsi"/>
          <w:sz w:val="24"/>
          <w:szCs w:val="24"/>
        </w:rPr>
        <w:t xml:space="preserve"> 371-9131</w:t>
      </w:r>
    </w:p>
    <w:p w14:paraId="681727F3" w14:textId="77777777" w:rsidR="00B44069" w:rsidRPr="00B33CCD" w:rsidRDefault="00B44069">
      <w:pPr>
        <w:rPr>
          <w:rFonts w:asciiTheme="minorHAnsi" w:hAnsiTheme="minorHAnsi" w:cstheme="minorHAnsi"/>
          <w:sz w:val="24"/>
          <w:szCs w:val="24"/>
        </w:rPr>
      </w:pPr>
    </w:p>
    <w:sectPr w:rsidR="00B44069" w:rsidRPr="00B33C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9047" w14:textId="77777777" w:rsidR="00F51297" w:rsidRDefault="00F51297" w:rsidP="00593D99">
      <w:r>
        <w:separator/>
      </w:r>
    </w:p>
  </w:endnote>
  <w:endnote w:type="continuationSeparator" w:id="0">
    <w:p w14:paraId="35432C14" w14:textId="77777777" w:rsidR="00F51297" w:rsidRDefault="00F51297" w:rsidP="0059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EF50" w14:textId="77777777" w:rsidR="002C4788" w:rsidRDefault="002C4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BACD" w14:textId="5B828156" w:rsidR="00593D99" w:rsidRDefault="00593D99">
    <w:pPr>
      <w:pStyle w:val="Footer"/>
    </w:pPr>
    <w:r>
      <w:rPr>
        <w:noProof/>
      </w:rPr>
      <mc:AlternateContent>
        <mc:Choice Requires="wps">
          <w:drawing>
            <wp:anchor distT="0" distB="0" distL="114300" distR="114300" simplePos="0" relativeHeight="251659264" behindDoc="0" locked="0" layoutInCell="0" allowOverlap="1" wp14:anchorId="38A8A41F" wp14:editId="0FEF95AB">
              <wp:simplePos x="0" y="0"/>
              <wp:positionH relativeFrom="page">
                <wp:posOffset>0</wp:posOffset>
              </wp:positionH>
              <wp:positionV relativeFrom="page">
                <wp:posOffset>9601200</wp:posOffset>
              </wp:positionV>
              <wp:extent cx="7772400" cy="266700"/>
              <wp:effectExtent l="0" t="0" r="0" b="0"/>
              <wp:wrapNone/>
              <wp:docPr id="1" name="MSIPCMb0eb45668c17c8e5555e766f"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94849" w14:textId="28650346" w:rsidR="00593D99" w:rsidRPr="00593D99" w:rsidRDefault="00593D99" w:rsidP="00593D99">
                          <w:pPr>
                            <w:jc w:val="center"/>
                            <w:rPr>
                              <w:rFonts w:cs="Calibri"/>
                              <w:color w:val="000000"/>
                              <w:sz w:val="20"/>
                            </w:rPr>
                          </w:pPr>
                          <w:r w:rsidRPr="00593D99">
                            <w:rPr>
                              <w:rFonts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8A41F" id="_x0000_t202" coordsize="21600,21600" o:spt="202" path="m,l,21600r21600,l21600,xe">
              <v:stroke joinstyle="miter"/>
              <v:path gradientshapeok="t" o:connecttype="rect"/>
            </v:shapetype>
            <v:shape id="MSIPCMb0eb45668c17c8e5555e766f" o:spid="_x0000_s1026" type="#_x0000_t202" alt="{&quot;HashCode&quot;:107142765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75494849" w14:textId="28650346" w:rsidR="00593D99" w:rsidRPr="00593D99" w:rsidRDefault="00593D99" w:rsidP="00593D99">
                    <w:pPr>
                      <w:jc w:val="center"/>
                      <w:rPr>
                        <w:rFonts w:cs="Calibri"/>
                        <w:color w:val="000000"/>
                        <w:sz w:val="20"/>
                      </w:rPr>
                    </w:pPr>
                    <w:r w:rsidRPr="00593D99">
                      <w:rPr>
                        <w:rFonts w:cs="Calibri"/>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06FD" w14:textId="77777777" w:rsidR="002C4788" w:rsidRDefault="002C4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0ED2" w14:textId="77777777" w:rsidR="00F51297" w:rsidRDefault="00F51297" w:rsidP="00593D99">
      <w:r>
        <w:separator/>
      </w:r>
    </w:p>
  </w:footnote>
  <w:footnote w:type="continuationSeparator" w:id="0">
    <w:p w14:paraId="288FF34B" w14:textId="77777777" w:rsidR="00F51297" w:rsidRDefault="00F51297" w:rsidP="0059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B2BE" w14:textId="77777777" w:rsidR="002C4788" w:rsidRDefault="002C4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908A" w14:textId="77777777" w:rsidR="002C4788" w:rsidRDefault="002C47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6CCA" w14:textId="77777777" w:rsidR="002C4788" w:rsidRDefault="002C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71D5"/>
    <w:multiLevelType w:val="hybridMultilevel"/>
    <w:tmpl w:val="A03C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183F"/>
    <w:multiLevelType w:val="hybridMultilevel"/>
    <w:tmpl w:val="15BE8FE8"/>
    <w:lvl w:ilvl="0" w:tplc="21DA1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21036"/>
    <w:multiLevelType w:val="hybridMultilevel"/>
    <w:tmpl w:val="2BAA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218C9"/>
    <w:multiLevelType w:val="hybridMultilevel"/>
    <w:tmpl w:val="30A468EA"/>
    <w:lvl w:ilvl="0" w:tplc="0409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577"/>
    <w:multiLevelType w:val="hybridMultilevel"/>
    <w:tmpl w:val="8C8A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476FE"/>
    <w:multiLevelType w:val="hybridMultilevel"/>
    <w:tmpl w:val="65B8DAD4"/>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C4719"/>
    <w:multiLevelType w:val="hybridMultilevel"/>
    <w:tmpl w:val="2F7E6072"/>
    <w:lvl w:ilvl="0" w:tplc="6BA053F2">
      <w:start w:val="7"/>
      <w:numFmt w:val="lowerLetter"/>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83655"/>
    <w:multiLevelType w:val="hybridMultilevel"/>
    <w:tmpl w:val="27F64AB2"/>
    <w:lvl w:ilvl="0" w:tplc="D9F8BB0A">
      <w:start w:val="5"/>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047BF"/>
    <w:multiLevelType w:val="hybridMultilevel"/>
    <w:tmpl w:val="A03C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63496"/>
    <w:multiLevelType w:val="hybridMultilevel"/>
    <w:tmpl w:val="FA3E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275A9"/>
    <w:multiLevelType w:val="hybridMultilevel"/>
    <w:tmpl w:val="E26832E2"/>
    <w:lvl w:ilvl="0" w:tplc="82E87A04">
      <w:start w:val="4"/>
      <w:numFmt w:val="decimal"/>
      <w:lvlText w:val="%1."/>
      <w:lvlJc w:val="left"/>
      <w:pPr>
        <w:ind w:left="99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503E6F"/>
    <w:multiLevelType w:val="hybridMultilevel"/>
    <w:tmpl w:val="9FAC0DF2"/>
    <w:lvl w:ilvl="0" w:tplc="DC5C6550">
      <w:start w:val="2"/>
      <w:numFmt w:val="upperLetter"/>
      <w:lvlText w:val="%1."/>
      <w:lvlJc w:val="left"/>
      <w:pPr>
        <w:ind w:left="540" w:hanging="360"/>
      </w:pPr>
      <w:rPr>
        <w:rFonts w:hint="default"/>
      </w:rPr>
    </w:lvl>
    <w:lvl w:ilvl="1" w:tplc="605AE7F0">
      <w:start w:val="1"/>
      <w:numFmt w:val="decimal"/>
      <w:lvlText w:val="%2."/>
      <w:lvlJc w:val="left"/>
      <w:pPr>
        <w:ind w:left="1260" w:hanging="360"/>
      </w:pPr>
      <w:rPr>
        <w:rFonts w:ascii="Times New Roman" w:eastAsia="Times New Roman" w:hAnsi="Times New Roman" w:cs="Times New Roman"/>
        <w:color w:val="C00000"/>
        <w:u w:val="single"/>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5193673"/>
    <w:multiLevelType w:val="hybridMultilevel"/>
    <w:tmpl w:val="7324ACFC"/>
    <w:lvl w:ilvl="0" w:tplc="0A142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C83706"/>
    <w:multiLevelType w:val="hybridMultilevel"/>
    <w:tmpl w:val="BE5696E8"/>
    <w:lvl w:ilvl="0" w:tplc="B0A66D30">
      <w:start w:val="1"/>
      <w:numFmt w:val="upp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770EE2"/>
    <w:multiLevelType w:val="hybridMultilevel"/>
    <w:tmpl w:val="53344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00036"/>
    <w:multiLevelType w:val="hybridMultilevel"/>
    <w:tmpl w:val="07549076"/>
    <w:lvl w:ilvl="0" w:tplc="B01E2092">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733043"/>
    <w:multiLevelType w:val="hybridMultilevel"/>
    <w:tmpl w:val="5C9089D2"/>
    <w:lvl w:ilvl="0" w:tplc="E12E4486">
      <w:start w:val="7"/>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642B2"/>
    <w:multiLevelType w:val="hybridMultilevel"/>
    <w:tmpl w:val="C3F2B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D042F"/>
    <w:multiLevelType w:val="hybridMultilevel"/>
    <w:tmpl w:val="65B8DAD4"/>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24A69"/>
    <w:multiLevelType w:val="hybridMultilevel"/>
    <w:tmpl w:val="E63872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104D3B"/>
    <w:multiLevelType w:val="hybridMultilevel"/>
    <w:tmpl w:val="6436D090"/>
    <w:lvl w:ilvl="0" w:tplc="D4FAF6F0">
      <w:start w:val="1"/>
      <w:numFmt w:val="decimal"/>
      <w:lvlText w:val="%1."/>
      <w:lvlJc w:val="left"/>
      <w:pPr>
        <w:ind w:left="1350" w:hanging="360"/>
      </w:pPr>
      <w:rPr>
        <w:color w:val="C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13399092">
    <w:abstractNumId w:val="4"/>
  </w:num>
  <w:num w:numId="2" w16cid:durableId="359554862">
    <w:abstractNumId w:val="9"/>
  </w:num>
  <w:num w:numId="3" w16cid:durableId="495151443">
    <w:abstractNumId w:val="2"/>
  </w:num>
  <w:num w:numId="4" w16cid:durableId="1649282802">
    <w:abstractNumId w:val="10"/>
  </w:num>
  <w:num w:numId="5" w16cid:durableId="1225140734">
    <w:abstractNumId w:val="8"/>
  </w:num>
  <w:num w:numId="6" w16cid:durableId="1388067159">
    <w:abstractNumId w:val="0"/>
  </w:num>
  <w:num w:numId="7" w16cid:durableId="1184514217">
    <w:abstractNumId w:val="14"/>
  </w:num>
  <w:num w:numId="8" w16cid:durableId="1776291820">
    <w:abstractNumId w:val="11"/>
  </w:num>
  <w:num w:numId="9" w16cid:durableId="1891571119">
    <w:abstractNumId w:val="20"/>
  </w:num>
  <w:num w:numId="10" w16cid:durableId="1425804743">
    <w:abstractNumId w:val="15"/>
  </w:num>
  <w:num w:numId="11" w16cid:durableId="2104836946">
    <w:abstractNumId w:val="13"/>
  </w:num>
  <w:num w:numId="12" w16cid:durableId="2023817550">
    <w:abstractNumId w:val="1"/>
  </w:num>
  <w:num w:numId="13" w16cid:durableId="778258687">
    <w:abstractNumId w:val="18"/>
  </w:num>
  <w:num w:numId="14" w16cid:durableId="861161828">
    <w:abstractNumId w:val="5"/>
  </w:num>
  <w:num w:numId="15" w16cid:durableId="1116024168">
    <w:abstractNumId w:val="16"/>
  </w:num>
  <w:num w:numId="16" w16cid:durableId="723600480">
    <w:abstractNumId w:val="6"/>
  </w:num>
  <w:num w:numId="17" w16cid:durableId="2092659620">
    <w:abstractNumId w:val="7"/>
  </w:num>
  <w:num w:numId="18" w16cid:durableId="1313025463">
    <w:abstractNumId w:val="19"/>
  </w:num>
  <w:num w:numId="19" w16cid:durableId="1841039846">
    <w:abstractNumId w:val="17"/>
  </w:num>
  <w:num w:numId="20" w16cid:durableId="240717698">
    <w:abstractNumId w:val="3"/>
  </w:num>
  <w:num w:numId="21" w16cid:durableId="1517231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78"/>
    <w:rsid w:val="00037F53"/>
    <w:rsid w:val="00040B82"/>
    <w:rsid w:val="00042C87"/>
    <w:rsid w:val="00042F07"/>
    <w:rsid w:val="000879DD"/>
    <w:rsid w:val="00090D57"/>
    <w:rsid w:val="000A458A"/>
    <w:rsid w:val="000C6CCB"/>
    <w:rsid w:val="00154C3D"/>
    <w:rsid w:val="00155B93"/>
    <w:rsid w:val="00157F6C"/>
    <w:rsid w:val="00160931"/>
    <w:rsid w:val="001624CA"/>
    <w:rsid w:val="00190A0B"/>
    <w:rsid w:val="001E566C"/>
    <w:rsid w:val="001F0D51"/>
    <w:rsid w:val="001F73FC"/>
    <w:rsid w:val="0020281A"/>
    <w:rsid w:val="00211596"/>
    <w:rsid w:val="00247765"/>
    <w:rsid w:val="002C4788"/>
    <w:rsid w:val="002C6C98"/>
    <w:rsid w:val="002F32E7"/>
    <w:rsid w:val="00332D44"/>
    <w:rsid w:val="00360480"/>
    <w:rsid w:val="00362B7E"/>
    <w:rsid w:val="00363178"/>
    <w:rsid w:val="003834A1"/>
    <w:rsid w:val="003C221A"/>
    <w:rsid w:val="003D38BD"/>
    <w:rsid w:val="003F4321"/>
    <w:rsid w:val="003F7523"/>
    <w:rsid w:val="0041664A"/>
    <w:rsid w:val="00443F6B"/>
    <w:rsid w:val="004444B4"/>
    <w:rsid w:val="00473AF5"/>
    <w:rsid w:val="00475D0A"/>
    <w:rsid w:val="00481817"/>
    <w:rsid w:val="00496D7A"/>
    <w:rsid w:val="0049791A"/>
    <w:rsid w:val="004A00ED"/>
    <w:rsid w:val="004B2628"/>
    <w:rsid w:val="00502838"/>
    <w:rsid w:val="005032C4"/>
    <w:rsid w:val="00526DBF"/>
    <w:rsid w:val="00543846"/>
    <w:rsid w:val="00575010"/>
    <w:rsid w:val="0057751C"/>
    <w:rsid w:val="00593D99"/>
    <w:rsid w:val="00594F73"/>
    <w:rsid w:val="005B0E26"/>
    <w:rsid w:val="005B4C6B"/>
    <w:rsid w:val="005B7E22"/>
    <w:rsid w:val="005E02CA"/>
    <w:rsid w:val="00613450"/>
    <w:rsid w:val="006A4B69"/>
    <w:rsid w:val="006A62B5"/>
    <w:rsid w:val="006B00BA"/>
    <w:rsid w:val="006B7E7B"/>
    <w:rsid w:val="006F7E51"/>
    <w:rsid w:val="007157F3"/>
    <w:rsid w:val="00724B95"/>
    <w:rsid w:val="00771808"/>
    <w:rsid w:val="007773E0"/>
    <w:rsid w:val="00791BEF"/>
    <w:rsid w:val="007922B7"/>
    <w:rsid w:val="007B41A7"/>
    <w:rsid w:val="007E7AFB"/>
    <w:rsid w:val="007F2FB2"/>
    <w:rsid w:val="00816678"/>
    <w:rsid w:val="00877477"/>
    <w:rsid w:val="008A2764"/>
    <w:rsid w:val="008A77E2"/>
    <w:rsid w:val="008B10CF"/>
    <w:rsid w:val="008B441B"/>
    <w:rsid w:val="008E1C25"/>
    <w:rsid w:val="008E2331"/>
    <w:rsid w:val="008E3DDA"/>
    <w:rsid w:val="008E4273"/>
    <w:rsid w:val="009051EB"/>
    <w:rsid w:val="00907B54"/>
    <w:rsid w:val="00914D59"/>
    <w:rsid w:val="00917B87"/>
    <w:rsid w:val="009247DE"/>
    <w:rsid w:val="00991D31"/>
    <w:rsid w:val="009A0D67"/>
    <w:rsid w:val="009C345B"/>
    <w:rsid w:val="009F5A41"/>
    <w:rsid w:val="00A05220"/>
    <w:rsid w:val="00A418A4"/>
    <w:rsid w:val="00A71C11"/>
    <w:rsid w:val="00A852EA"/>
    <w:rsid w:val="00A92017"/>
    <w:rsid w:val="00A94E3B"/>
    <w:rsid w:val="00AD6F3C"/>
    <w:rsid w:val="00AE4E75"/>
    <w:rsid w:val="00AF2890"/>
    <w:rsid w:val="00AF2A7A"/>
    <w:rsid w:val="00B01BB9"/>
    <w:rsid w:val="00B10CD9"/>
    <w:rsid w:val="00B33CCD"/>
    <w:rsid w:val="00B44069"/>
    <w:rsid w:val="00B515B2"/>
    <w:rsid w:val="00B5711F"/>
    <w:rsid w:val="00B832BF"/>
    <w:rsid w:val="00B85922"/>
    <w:rsid w:val="00BB0725"/>
    <w:rsid w:val="00BC2668"/>
    <w:rsid w:val="00BC4E3B"/>
    <w:rsid w:val="00BD0BB7"/>
    <w:rsid w:val="00BE5FF7"/>
    <w:rsid w:val="00BF0B8D"/>
    <w:rsid w:val="00C042B9"/>
    <w:rsid w:val="00C07A9E"/>
    <w:rsid w:val="00C15F85"/>
    <w:rsid w:val="00C16292"/>
    <w:rsid w:val="00C16542"/>
    <w:rsid w:val="00C27B4B"/>
    <w:rsid w:val="00C428F4"/>
    <w:rsid w:val="00C43E04"/>
    <w:rsid w:val="00C531C1"/>
    <w:rsid w:val="00CB4AE0"/>
    <w:rsid w:val="00CC180F"/>
    <w:rsid w:val="00CC30E8"/>
    <w:rsid w:val="00D020EA"/>
    <w:rsid w:val="00D061BA"/>
    <w:rsid w:val="00D36019"/>
    <w:rsid w:val="00D527A7"/>
    <w:rsid w:val="00D60A66"/>
    <w:rsid w:val="00D62BDA"/>
    <w:rsid w:val="00DF221E"/>
    <w:rsid w:val="00E132D6"/>
    <w:rsid w:val="00E27B23"/>
    <w:rsid w:val="00E5637F"/>
    <w:rsid w:val="00E706F1"/>
    <w:rsid w:val="00E80BA9"/>
    <w:rsid w:val="00E8229D"/>
    <w:rsid w:val="00E8590A"/>
    <w:rsid w:val="00EA23CD"/>
    <w:rsid w:val="00EC2248"/>
    <w:rsid w:val="00EC43F7"/>
    <w:rsid w:val="00EC7ED6"/>
    <w:rsid w:val="00ED52CF"/>
    <w:rsid w:val="00F07C1D"/>
    <w:rsid w:val="00F24A34"/>
    <w:rsid w:val="00F51297"/>
    <w:rsid w:val="00F8425E"/>
    <w:rsid w:val="00F91122"/>
    <w:rsid w:val="00FA343B"/>
    <w:rsid w:val="00FE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F8F2"/>
  <w15:docId w15:val="{80543501-E2C3-4BE2-8DF5-9B3600BD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178"/>
    <w:rPr>
      <w:color w:val="0000FF"/>
      <w:u w:val="single"/>
    </w:rPr>
  </w:style>
  <w:style w:type="paragraph" w:styleId="ListParagraph">
    <w:name w:val="List Paragraph"/>
    <w:basedOn w:val="Normal"/>
    <w:uiPriority w:val="34"/>
    <w:qFormat/>
    <w:rsid w:val="00724B95"/>
    <w:pPr>
      <w:ind w:left="720"/>
      <w:contextualSpacing/>
    </w:pPr>
    <w:rPr>
      <w:rFonts w:ascii="Times New Roman" w:eastAsia="Times New Roman" w:hAnsi="Times New Roman"/>
      <w:sz w:val="24"/>
      <w:szCs w:val="24"/>
    </w:rPr>
  </w:style>
  <w:style w:type="paragraph" w:styleId="CommentText">
    <w:name w:val="annotation text"/>
    <w:basedOn w:val="Normal"/>
    <w:link w:val="CommentTextChar"/>
    <w:uiPriority w:val="99"/>
    <w:rsid w:val="00AE4E75"/>
    <w:pPr>
      <w:spacing w:before="120" w:after="120"/>
    </w:pPr>
    <w:rPr>
      <w:rFonts w:ascii="Times New Roman" w:eastAsia="Times New Roman" w:hAnsi="Times New Roman"/>
      <w:sz w:val="20"/>
      <w:szCs w:val="24"/>
    </w:rPr>
  </w:style>
  <w:style w:type="character" w:customStyle="1" w:styleId="CommentTextChar">
    <w:name w:val="Comment Text Char"/>
    <w:basedOn w:val="DefaultParagraphFont"/>
    <w:link w:val="CommentText"/>
    <w:uiPriority w:val="99"/>
    <w:rsid w:val="00AE4E75"/>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rsid w:val="00AE4E75"/>
    <w:rPr>
      <w:sz w:val="16"/>
      <w:szCs w:val="16"/>
    </w:rPr>
  </w:style>
  <w:style w:type="paragraph" w:customStyle="1" w:styleId="Default">
    <w:name w:val="Default"/>
    <w:rsid w:val="00AE4E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E4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75"/>
    <w:rPr>
      <w:rFonts w:ascii="Segoe UI" w:hAnsi="Segoe UI" w:cs="Segoe UI"/>
      <w:sz w:val="18"/>
      <w:szCs w:val="18"/>
    </w:rPr>
  </w:style>
  <w:style w:type="paragraph" w:styleId="Header">
    <w:name w:val="header"/>
    <w:basedOn w:val="Normal"/>
    <w:link w:val="HeaderChar"/>
    <w:uiPriority w:val="99"/>
    <w:unhideWhenUsed/>
    <w:rsid w:val="00593D99"/>
    <w:pPr>
      <w:tabs>
        <w:tab w:val="center" w:pos="4680"/>
        <w:tab w:val="right" w:pos="9360"/>
      </w:tabs>
    </w:pPr>
  </w:style>
  <w:style w:type="character" w:customStyle="1" w:styleId="HeaderChar">
    <w:name w:val="Header Char"/>
    <w:basedOn w:val="DefaultParagraphFont"/>
    <w:link w:val="Header"/>
    <w:uiPriority w:val="99"/>
    <w:rsid w:val="00593D99"/>
    <w:rPr>
      <w:rFonts w:ascii="Calibri" w:hAnsi="Calibri" w:cs="Times New Roman"/>
    </w:rPr>
  </w:style>
  <w:style w:type="paragraph" w:styleId="Footer">
    <w:name w:val="footer"/>
    <w:basedOn w:val="Normal"/>
    <w:link w:val="FooterChar"/>
    <w:uiPriority w:val="99"/>
    <w:unhideWhenUsed/>
    <w:rsid w:val="00593D99"/>
    <w:pPr>
      <w:tabs>
        <w:tab w:val="center" w:pos="4680"/>
        <w:tab w:val="right" w:pos="9360"/>
      </w:tabs>
    </w:pPr>
  </w:style>
  <w:style w:type="character" w:customStyle="1" w:styleId="FooterChar">
    <w:name w:val="Footer Char"/>
    <w:basedOn w:val="DefaultParagraphFont"/>
    <w:link w:val="Footer"/>
    <w:uiPriority w:val="99"/>
    <w:rsid w:val="00593D99"/>
    <w:rPr>
      <w:rFonts w:ascii="Calibri" w:hAnsi="Calibri" w:cs="Times New Roman"/>
    </w:rPr>
  </w:style>
  <w:style w:type="character" w:styleId="UnresolvedMention">
    <w:name w:val="Unresolved Mention"/>
    <w:basedOn w:val="DefaultParagraphFont"/>
    <w:uiPriority w:val="99"/>
    <w:semiHidden/>
    <w:unhideWhenUsed/>
    <w:rsid w:val="00160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2367">
      <w:bodyDiv w:val="1"/>
      <w:marLeft w:val="0"/>
      <w:marRight w:val="0"/>
      <w:marTop w:val="0"/>
      <w:marBottom w:val="0"/>
      <w:divBdr>
        <w:top w:val="none" w:sz="0" w:space="0" w:color="auto"/>
        <w:left w:val="none" w:sz="0" w:space="0" w:color="auto"/>
        <w:bottom w:val="none" w:sz="0" w:space="0" w:color="auto"/>
        <w:right w:val="none" w:sz="0" w:space="0" w:color="auto"/>
      </w:divBdr>
    </w:div>
    <w:div w:id="1329793704">
      <w:bodyDiv w:val="1"/>
      <w:marLeft w:val="0"/>
      <w:marRight w:val="0"/>
      <w:marTop w:val="0"/>
      <w:marBottom w:val="0"/>
      <w:divBdr>
        <w:top w:val="none" w:sz="0" w:space="0" w:color="auto"/>
        <w:left w:val="none" w:sz="0" w:space="0" w:color="auto"/>
        <w:bottom w:val="none" w:sz="0" w:space="0" w:color="auto"/>
        <w:right w:val="none" w:sz="0" w:space="0" w:color="auto"/>
      </w:divBdr>
    </w:div>
    <w:div w:id="175508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raig.chupp@scc.virginia.gov"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2025-05-29T13:27:12+00:00</_EndDate>
    <StartDate xmlns="http://schemas.microsoft.com/sharepoint/v3">2025-05-29T13:27:12+00:00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27E18530-360B-4BC7-8FE7-EDEFD8F6D12E}"/>
</file>

<file path=customXml/itemProps2.xml><?xml version="1.0" encoding="utf-8"?>
<ds:datastoreItem xmlns:ds="http://schemas.openxmlformats.org/officeDocument/2006/customXml" ds:itemID="{D072CF89-D44E-4CFF-AD29-CBDC8D02869C}"/>
</file>

<file path=customXml/itemProps3.xml><?xml version="1.0" encoding="utf-8"?>
<ds:datastoreItem xmlns:ds="http://schemas.openxmlformats.org/officeDocument/2006/customXml" ds:itemID="{73E2D4EB-84CB-498E-AAC1-51AB6C1DCEF9}"/>
</file>

<file path=docProps/app.xml><?xml version="1.0" encoding="utf-8"?>
<Properties xmlns="http://schemas.openxmlformats.org/officeDocument/2006/extended-properties" xmlns:vt="http://schemas.openxmlformats.org/officeDocument/2006/docPropsVTypes">
  <Template>Normal</Template>
  <TotalTime>38</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Mazyck, Reggie</dc:creator>
  <cp:lastModifiedBy>Craig Chupp</cp:lastModifiedBy>
  <cp:revision>20</cp:revision>
  <dcterms:created xsi:type="dcterms:W3CDTF">2025-05-12T11:10:00Z</dcterms:created>
  <dcterms:modified xsi:type="dcterms:W3CDTF">2025-05-13T10:43:00Z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54cbfde1-7928-4a1c-94cb-201c594fc53a_Enabled">
    <vt:lpwstr>True</vt:lpwstr>
  </property>
  <property fmtid="{D5CDD505-2E9C-101B-9397-08002B2CF9AE}" pid="9" name="MSIP_Label_54cbfde1-7928-4a1c-94cb-201c594fc53a_SiteId">
    <vt:lpwstr>1791a7f1-2629-474f-8283-d4da7899c3be</vt:lpwstr>
  </property>
  <property fmtid="{D5CDD505-2E9C-101B-9397-08002B2CF9AE}" pid="10" name="MSIP_Label_54cbfde1-7928-4a1c-94cb-201c594fc53a_Owner">
    <vt:lpwstr>CCHUPP@scc.virginia.gov</vt:lpwstr>
  </property>
  <property fmtid="{D5CDD505-2E9C-101B-9397-08002B2CF9AE}" pid="11" name="MSIP_Label_54cbfde1-7928-4a1c-94cb-201c594fc53a_SetDate">
    <vt:lpwstr>2021-04-09T09:40:30.0026728Z</vt:lpwstr>
  </property>
  <property fmtid="{D5CDD505-2E9C-101B-9397-08002B2CF9AE}" pid="12" name="MSIP_Label_54cbfde1-7928-4a1c-94cb-201c594fc53a_Name">
    <vt:lpwstr>Confidential</vt:lpwstr>
  </property>
  <property fmtid="{D5CDD505-2E9C-101B-9397-08002B2CF9AE}" pid="13" name="MSIP_Label_54cbfde1-7928-4a1c-94cb-201c594fc53a_Application">
    <vt:lpwstr>Microsoft Azure Information Protection</vt:lpwstr>
  </property>
  <property fmtid="{D5CDD505-2E9C-101B-9397-08002B2CF9AE}" pid="14" name="MSIP_Label_54cbfde1-7928-4a1c-94cb-201c594fc53a_ActionId">
    <vt:lpwstr>687d59c8-2ee8-4a53-9610-e2ebe106614e</vt:lpwstr>
  </property>
  <property fmtid="{D5CDD505-2E9C-101B-9397-08002B2CF9AE}" pid="15" name="MSIP_Label_54cbfde1-7928-4a1c-94cb-201c594fc53a_Extended_MSFT_Method">
    <vt:lpwstr>Automatic</vt:lpwstr>
  </property>
  <property fmtid="{D5CDD505-2E9C-101B-9397-08002B2CF9AE}" pid="16" name="MSIP_Label_46978d1b-6ed2-4706-b37d-344011273722_Enabled">
    <vt:lpwstr>true</vt:lpwstr>
  </property>
  <property fmtid="{D5CDD505-2E9C-101B-9397-08002B2CF9AE}" pid="17" name="MSIP_Label_46978d1b-6ed2-4706-b37d-344011273722_SetDate">
    <vt:lpwstr>2025-04-29T15:53:20Z</vt:lpwstr>
  </property>
  <property fmtid="{D5CDD505-2E9C-101B-9397-08002B2CF9AE}" pid="18" name="MSIP_Label_46978d1b-6ed2-4706-b37d-344011273722_Method">
    <vt:lpwstr>Privileged</vt:lpwstr>
  </property>
  <property fmtid="{D5CDD505-2E9C-101B-9397-08002B2CF9AE}" pid="19" name="MSIP_Label_46978d1b-6ed2-4706-b37d-344011273722_Name">
    <vt:lpwstr>46978d1b-6ed2-4706-b37d-344011273722</vt:lpwstr>
  </property>
  <property fmtid="{D5CDD505-2E9C-101B-9397-08002B2CF9AE}" pid="20" name="MSIP_Label_46978d1b-6ed2-4706-b37d-344011273722_SiteId">
    <vt:lpwstr>1791a7f1-2629-474f-8283-d4da7899c3be</vt:lpwstr>
  </property>
  <property fmtid="{D5CDD505-2E9C-101B-9397-08002B2CF9AE}" pid="21" name="MSIP_Label_46978d1b-6ed2-4706-b37d-344011273722_ActionId">
    <vt:lpwstr>ddd9d0ff-0280-4dd7-a787-b9b3dacc3c61</vt:lpwstr>
  </property>
  <property fmtid="{D5CDD505-2E9C-101B-9397-08002B2CF9AE}" pid="22" name="MSIP_Label_46978d1b-6ed2-4706-b37d-344011273722_ContentBits">
    <vt:lpwstr>0</vt:lpwstr>
  </property>
  <property fmtid="{D5CDD505-2E9C-101B-9397-08002B2CF9AE}" pid="23" name="ContentTypeId">
    <vt:lpwstr>0x010100376674D47D81254AAE898D727025BAAD</vt:lpwstr>
  </property>
</Properties>
</file>