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587C8" w14:textId="77777777" w:rsidR="00363178" w:rsidRDefault="00363178" w:rsidP="00363178"/>
    <w:p w14:paraId="18D6FB8B" w14:textId="0B9070E8" w:rsidR="00816678" w:rsidRPr="001624CA" w:rsidRDefault="00816678" w:rsidP="00363178">
      <w:pPr>
        <w:rPr>
          <w:sz w:val="24"/>
          <w:szCs w:val="24"/>
        </w:rPr>
      </w:pPr>
      <w:r w:rsidRPr="001624CA">
        <w:rPr>
          <w:sz w:val="24"/>
          <w:szCs w:val="24"/>
        </w:rPr>
        <w:t xml:space="preserve">Date: </w:t>
      </w:r>
      <w:r w:rsidR="006B7E7B" w:rsidRPr="001624CA">
        <w:rPr>
          <w:sz w:val="24"/>
          <w:szCs w:val="24"/>
        </w:rPr>
        <w:t>May 17</w:t>
      </w:r>
      <w:r w:rsidR="00BB0725" w:rsidRPr="001624CA">
        <w:rPr>
          <w:sz w:val="24"/>
          <w:szCs w:val="24"/>
        </w:rPr>
        <w:t>, 20</w:t>
      </w:r>
      <w:r w:rsidR="009C345B" w:rsidRPr="001624CA">
        <w:rPr>
          <w:sz w:val="24"/>
          <w:szCs w:val="24"/>
        </w:rPr>
        <w:t>21</w:t>
      </w:r>
    </w:p>
    <w:p w14:paraId="0A7CCEF4" w14:textId="77777777" w:rsidR="00816678" w:rsidRPr="001624CA" w:rsidRDefault="00816678" w:rsidP="00363178">
      <w:pPr>
        <w:rPr>
          <w:sz w:val="24"/>
          <w:szCs w:val="24"/>
        </w:rPr>
      </w:pPr>
    </w:p>
    <w:p w14:paraId="7494A7EB" w14:textId="4A5D9349" w:rsidR="009C345B" w:rsidRPr="001624CA" w:rsidRDefault="009C345B" w:rsidP="009C345B">
      <w:pPr>
        <w:rPr>
          <w:sz w:val="24"/>
          <w:szCs w:val="24"/>
        </w:rPr>
      </w:pPr>
      <w:r w:rsidRPr="001624CA">
        <w:rPr>
          <w:sz w:val="24"/>
          <w:szCs w:val="24"/>
        </w:rPr>
        <w:t>Virginia is submitting comment</w:t>
      </w:r>
      <w:r w:rsidR="00E132D6" w:rsidRPr="001624CA">
        <w:rPr>
          <w:sz w:val="24"/>
          <w:szCs w:val="24"/>
        </w:rPr>
        <w:t>s</w:t>
      </w:r>
      <w:r w:rsidRPr="001624CA">
        <w:rPr>
          <w:sz w:val="24"/>
          <w:szCs w:val="24"/>
        </w:rPr>
        <w:t xml:space="preserve"> regarding the following exposure:</w:t>
      </w:r>
    </w:p>
    <w:p w14:paraId="05FAD4A4" w14:textId="77777777" w:rsidR="009C345B" w:rsidRPr="001624CA" w:rsidRDefault="009C345B" w:rsidP="009C345B">
      <w:pPr>
        <w:rPr>
          <w:sz w:val="24"/>
          <w:szCs w:val="24"/>
        </w:rPr>
      </w:pPr>
    </w:p>
    <w:p w14:paraId="02BC4B35" w14:textId="43C619AE" w:rsidR="009C345B" w:rsidRPr="001624CA" w:rsidRDefault="009C345B" w:rsidP="009C345B">
      <w:pPr>
        <w:ind w:left="720"/>
        <w:rPr>
          <w:b/>
          <w:sz w:val="24"/>
          <w:szCs w:val="24"/>
        </w:rPr>
      </w:pPr>
      <w:r w:rsidRPr="001624CA">
        <w:rPr>
          <w:b/>
          <w:sz w:val="24"/>
          <w:szCs w:val="24"/>
        </w:rPr>
        <w:t>APF 20</w:t>
      </w:r>
      <w:r w:rsidR="006B7E7B" w:rsidRPr="001624CA">
        <w:rPr>
          <w:b/>
          <w:sz w:val="24"/>
          <w:szCs w:val="24"/>
        </w:rPr>
        <w:t>19</w:t>
      </w:r>
      <w:r w:rsidRPr="001624CA">
        <w:rPr>
          <w:b/>
          <w:sz w:val="24"/>
          <w:szCs w:val="24"/>
        </w:rPr>
        <w:t>-</w:t>
      </w:r>
      <w:r w:rsidR="006B7E7B" w:rsidRPr="001624CA">
        <w:rPr>
          <w:b/>
          <w:sz w:val="24"/>
          <w:szCs w:val="24"/>
        </w:rPr>
        <w:t>34</w:t>
      </w:r>
      <w:r w:rsidRPr="001624CA">
        <w:rPr>
          <w:b/>
          <w:sz w:val="24"/>
          <w:szCs w:val="24"/>
        </w:rPr>
        <w:t xml:space="preserve"> (</w:t>
      </w:r>
      <w:r w:rsidR="006B7E7B" w:rsidRPr="001624CA">
        <w:rPr>
          <w:b/>
          <w:sz w:val="24"/>
          <w:szCs w:val="24"/>
        </w:rPr>
        <w:t>Clarify Responsibilities for Reinsurance</w:t>
      </w:r>
      <w:r w:rsidRPr="001624CA">
        <w:rPr>
          <w:b/>
          <w:sz w:val="24"/>
          <w:szCs w:val="24"/>
        </w:rPr>
        <w:t>)</w:t>
      </w:r>
    </w:p>
    <w:p w14:paraId="0C9DE981" w14:textId="77777777" w:rsidR="009C345B" w:rsidRPr="001624CA" w:rsidRDefault="009C345B" w:rsidP="009C345B">
      <w:pPr>
        <w:ind w:left="720"/>
        <w:rPr>
          <w:b/>
          <w:sz w:val="24"/>
          <w:szCs w:val="24"/>
        </w:rPr>
      </w:pPr>
    </w:p>
    <w:p w14:paraId="2113A4A7" w14:textId="21D41190" w:rsidR="009C345B" w:rsidRPr="001624CA" w:rsidRDefault="009C345B" w:rsidP="009C345B">
      <w:pPr>
        <w:rPr>
          <w:b/>
          <w:sz w:val="24"/>
          <w:szCs w:val="24"/>
        </w:rPr>
      </w:pPr>
      <w:r w:rsidRPr="001624CA">
        <w:rPr>
          <w:b/>
          <w:sz w:val="24"/>
          <w:szCs w:val="24"/>
        </w:rPr>
        <w:t>Comment</w:t>
      </w:r>
      <w:r w:rsidR="006B7E7B" w:rsidRPr="001624CA">
        <w:rPr>
          <w:b/>
          <w:sz w:val="24"/>
          <w:szCs w:val="24"/>
        </w:rPr>
        <w:t>s</w:t>
      </w:r>
      <w:r w:rsidRPr="001624CA">
        <w:rPr>
          <w:b/>
          <w:sz w:val="24"/>
          <w:szCs w:val="24"/>
        </w:rPr>
        <w:t>:</w:t>
      </w:r>
    </w:p>
    <w:p w14:paraId="09A05A47" w14:textId="77777777" w:rsidR="009C345B" w:rsidRPr="001624CA" w:rsidRDefault="009C345B" w:rsidP="009C345B">
      <w:pPr>
        <w:ind w:left="720"/>
        <w:rPr>
          <w:b/>
          <w:sz w:val="24"/>
          <w:szCs w:val="24"/>
        </w:rPr>
      </w:pPr>
    </w:p>
    <w:p w14:paraId="6BD32633" w14:textId="77777777" w:rsidR="00481817" w:rsidRDefault="007157F3" w:rsidP="008E2331">
      <w:pPr>
        <w:pStyle w:val="ListParagraph"/>
        <w:numPr>
          <w:ilvl w:val="0"/>
          <w:numId w:val="18"/>
        </w:numPr>
        <w:rPr>
          <w:rFonts w:asciiTheme="minorHAnsi" w:hAnsiTheme="minorHAnsi" w:cstheme="minorHAnsi"/>
        </w:rPr>
      </w:pPr>
      <w:r>
        <w:rPr>
          <w:rFonts w:asciiTheme="minorHAnsi" w:hAnsiTheme="minorHAnsi" w:cstheme="minorHAnsi"/>
        </w:rPr>
        <w:t xml:space="preserve">There have been reports of companies neglecting to perform proper asset adequacy analysis of reported reserves for various reinsurance treaties, however, </w:t>
      </w:r>
      <w:r w:rsidR="00481817">
        <w:rPr>
          <w:rFonts w:asciiTheme="minorHAnsi" w:hAnsiTheme="minorHAnsi" w:cstheme="minorHAnsi"/>
        </w:rPr>
        <w:t xml:space="preserve">I believe the current requirements of Model 820, ASOP #22, and VM-30 are sufficient and adequate to handle these situations and </w:t>
      </w:r>
      <w:r>
        <w:rPr>
          <w:rFonts w:asciiTheme="minorHAnsi" w:hAnsiTheme="minorHAnsi" w:cstheme="minorHAnsi"/>
        </w:rPr>
        <w:t>APF 2019-34</w:t>
      </w:r>
      <w:r w:rsidR="00481817">
        <w:rPr>
          <w:rFonts w:asciiTheme="minorHAnsi" w:hAnsiTheme="minorHAnsi" w:cstheme="minorHAnsi"/>
        </w:rPr>
        <w:t xml:space="preserve"> should not be necessary.  However, if it is really felt that additional guidance in VM-30 is necessary, then please consider the following comments 2-5 below.</w:t>
      </w:r>
    </w:p>
    <w:p w14:paraId="6395D29E" w14:textId="77777777" w:rsidR="00481817" w:rsidRPr="00481817" w:rsidRDefault="00481817" w:rsidP="00481817">
      <w:pPr>
        <w:ind w:left="1080"/>
        <w:rPr>
          <w:rFonts w:asciiTheme="minorHAnsi" w:hAnsiTheme="minorHAnsi" w:cstheme="minorHAnsi"/>
        </w:rPr>
      </w:pPr>
    </w:p>
    <w:p w14:paraId="45CE3FB4" w14:textId="4FA029C2" w:rsidR="004B2628" w:rsidRPr="001624CA" w:rsidRDefault="004B2628" w:rsidP="008E2331">
      <w:pPr>
        <w:pStyle w:val="ListParagraph"/>
        <w:numPr>
          <w:ilvl w:val="0"/>
          <w:numId w:val="18"/>
        </w:numPr>
        <w:rPr>
          <w:rFonts w:asciiTheme="minorHAnsi" w:hAnsiTheme="minorHAnsi" w:cstheme="minorHAnsi"/>
        </w:rPr>
      </w:pPr>
      <w:r w:rsidRPr="001624CA">
        <w:rPr>
          <w:rFonts w:asciiTheme="minorHAnsi" w:hAnsiTheme="minorHAnsi" w:cstheme="minorHAnsi"/>
        </w:rPr>
        <w:t xml:space="preserve">The numbering is not consistent with VM-30.  The subsections should not be numbered 1-4, but rather should be numbered A-D.  Also, the subsections under Section 4.4 should be </w:t>
      </w:r>
      <w:r w:rsidR="008E2331" w:rsidRPr="001624CA">
        <w:rPr>
          <w:rFonts w:asciiTheme="minorHAnsi" w:hAnsiTheme="minorHAnsi" w:cstheme="minorHAnsi"/>
        </w:rPr>
        <w:t>re-</w:t>
      </w:r>
      <w:r w:rsidRPr="001624CA">
        <w:rPr>
          <w:rFonts w:asciiTheme="minorHAnsi" w:hAnsiTheme="minorHAnsi" w:cstheme="minorHAnsi"/>
        </w:rPr>
        <w:t>numbered 1. and 2., rather than (a) and (b).  The paragraphs in the Guidance Note should follow a different numbering scheme as used in Section 4.4, so as to avoid confusion.</w:t>
      </w:r>
    </w:p>
    <w:p w14:paraId="74E4B787" w14:textId="77777777" w:rsidR="004B2628" w:rsidRPr="001624CA" w:rsidRDefault="004B2628" w:rsidP="009C345B">
      <w:pPr>
        <w:ind w:left="720"/>
        <w:rPr>
          <w:rFonts w:asciiTheme="minorHAnsi" w:hAnsiTheme="minorHAnsi" w:cstheme="minorHAnsi"/>
          <w:sz w:val="24"/>
          <w:szCs w:val="24"/>
        </w:rPr>
      </w:pPr>
    </w:p>
    <w:p w14:paraId="64DACEA6" w14:textId="146EACB7" w:rsidR="006B7E7B" w:rsidRPr="001624CA" w:rsidRDefault="006B7E7B" w:rsidP="008E2331">
      <w:pPr>
        <w:pStyle w:val="ListParagraph"/>
        <w:numPr>
          <w:ilvl w:val="0"/>
          <w:numId w:val="18"/>
        </w:numPr>
        <w:rPr>
          <w:rFonts w:asciiTheme="minorHAnsi" w:hAnsiTheme="minorHAnsi" w:cstheme="minorHAnsi"/>
        </w:rPr>
      </w:pPr>
      <w:r w:rsidRPr="001624CA">
        <w:rPr>
          <w:rFonts w:asciiTheme="minorHAnsi" w:hAnsiTheme="minorHAnsi" w:cstheme="minorHAnsi"/>
        </w:rPr>
        <w:t>In Section 4 heading, I would suggest removing the words “treaties of” and just have “Section 4: Asset Adequacy Analysis for Reinsurance”</w:t>
      </w:r>
    </w:p>
    <w:p w14:paraId="5609F478" w14:textId="56F48831" w:rsidR="006B7E7B" w:rsidRPr="001624CA" w:rsidRDefault="006B7E7B" w:rsidP="009C345B">
      <w:pPr>
        <w:ind w:left="720"/>
        <w:rPr>
          <w:rFonts w:asciiTheme="minorHAnsi" w:hAnsiTheme="minorHAnsi" w:cstheme="minorHAnsi"/>
          <w:sz w:val="24"/>
          <w:szCs w:val="24"/>
        </w:rPr>
      </w:pPr>
    </w:p>
    <w:p w14:paraId="7593482E" w14:textId="414E2A7A" w:rsidR="00C16292" w:rsidRPr="001624CA" w:rsidRDefault="001F73FC" w:rsidP="008E2331">
      <w:pPr>
        <w:pStyle w:val="ListParagraph"/>
        <w:numPr>
          <w:ilvl w:val="0"/>
          <w:numId w:val="18"/>
        </w:numPr>
        <w:rPr>
          <w:rFonts w:asciiTheme="minorHAnsi" w:hAnsiTheme="minorHAnsi" w:cstheme="minorHAnsi"/>
        </w:rPr>
      </w:pPr>
      <w:r w:rsidRPr="001624CA">
        <w:rPr>
          <w:rFonts w:asciiTheme="minorHAnsi" w:hAnsiTheme="minorHAnsi" w:cstheme="minorHAnsi"/>
        </w:rPr>
        <w:t xml:space="preserve">In Section 4.1, the phrase </w:t>
      </w:r>
      <w:r w:rsidR="00C16292" w:rsidRPr="001624CA">
        <w:rPr>
          <w:rFonts w:asciiTheme="minorHAnsi" w:hAnsiTheme="minorHAnsi" w:cstheme="minorHAnsi"/>
        </w:rPr>
        <w:t xml:space="preserve">“currently in force” should be replaced with </w:t>
      </w:r>
      <w:r w:rsidRPr="001624CA">
        <w:rPr>
          <w:rFonts w:asciiTheme="minorHAnsi" w:hAnsiTheme="minorHAnsi" w:cstheme="minorHAnsi"/>
        </w:rPr>
        <w:t>“in force as of the annual statement date”</w:t>
      </w:r>
      <w:r w:rsidR="00C16292" w:rsidRPr="001624CA">
        <w:rPr>
          <w:rFonts w:asciiTheme="minorHAnsi" w:hAnsiTheme="minorHAnsi" w:cstheme="minorHAnsi"/>
        </w:rPr>
        <w:t xml:space="preserve"> to be more consistent with the rest of VM-30.  It is possible that appointed actuary may be performing analysis as of a date other than annual statement date (e.g., as of September 30), so in order to capture new treaties which may have been entered into during the 4</w:t>
      </w:r>
      <w:r w:rsidR="00C16292" w:rsidRPr="001624CA">
        <w:rPr>
          <w:rFonts w:asciiTheme="minorHAnsi" w:hAnsiTheme="minorHAnsi" w:cstheme="minorHAnsi"/>
          <w:vertAlign w:val="superscript"/>
        </w:rPr>
        <w:t>th</w:t>
      </w:r>
      <w:r w:rsidR="00C16292" w:rsidRPr="001624CA">
        <w:rPr>
          <w:rFonts w:asciiTheme="minorHAnsi" w:hAnsiTheme="minorHAnsi" w:cstheme="minorHAnsi"/>
        </w:rPr>
        <w:t xml:space="preserve"> quarter, it is necessary to make this change.  Note there are two places in Section 4.1 where this change needs to be made.</w:t>
      </w:r>
    </w:p>
    <w:p w14:paraId="28CB4D3E" w14:textId="77777777" w:rsidR="00C16292" w:rsidRPr="001624CA" w:rsidRDefault="00C16292" w:rsidP="009C345B">
      <w:pPr>
        <w:ind w:left="720"/>
        <w:rPr>
          <w:rFonts w:asciiTheme="minorHAnsi" w:hAnsiTheme="minorHAnsi" w:cstheme="minorHAnsi"/>
          <w:sz w:val="24"/>
          <w:szCs w:val="24"/>
        </w:rPr>
      </w:pPr>
    </w:p>
    <w:p w14:paraId="443D8699" w14:textId="04A4BB14" w:rsidR="008E2331" w:rsidRPr="001624CA" w:rsidRDefault="004B2628" w:rsidP="008E2331">
      <w:pPr>
        <w:pStyle w:val="ListParagraph"/>
        <w:numPr>
          <w:ilvl w:val="0"/>
          <w:numId w:val="18"/>
        </w:numPr>
        <w:rPr>
          <w:rFonts w:asciiTheme="minorHAnsi" w:hAnsiTheme="minorHAnsi" w:cstheme="minorHAnsi"/>
        </w:rPr>
      </w:pPr>
      <w:r w:rsidRPr="001624CA">
        <w:rPr>
          <w:rFonts w:asciiTheme="minorHAnsi" w:hAnsiTheme="minorHAnsi" w:cstheme="minorHAnsi"/>
        </w:rPr>
        <w:t>In the Guidance Note at the bottom of Section 4.4, the last sentence</w:t>
      </w:r>
      <w:r w:rsidR="008E2331" w:rsidRPr="001624CA">
        <w:rPr>
          <w:rFonts w:asciiTheme="minorHAnsi" w:hAnsiTheme="minorHAnsi" w:cstheme="minorHAnsi"/>
        </w:rPr>
        <w:t xml:space="preserve"> conflicts with Section 3.A.6 of VM-30, as well as Section 4.4 of ASOP #22.  The last sentence reads as follows: </w:t>
      </w:r>
      <w:r w:rsidRPr="001624CA">
        <w:rPr>
          <w:rFonts w:asciiTheme="minorHAnsi" w:hAnsiTheme="minorHAnsi" w:cstheme="minorHAnsi"/>
        </w:rPr>
        <w:t xml:space="preserve">“In relying on the work of another appointed actuary, an appointed actuary may not rely solely on the other actuary’s statement of actuarial opinion.”  There are a couple of issues with this sentence.  </w:t>
      </w:r>
      <w:r w:rsidR="00B5711F" w:rsidRPr="001624CA">
        <w:rPr>
          <w:rFonts w:asciiTheme="minorHAnsi" w:hAnsiTheme="minorHAnsi" w:cstheme="minorHAnsi"/>
        </w:rPr>
        <w:t>F</w:t>
      </w:r>
      <w:r w:rsidRPr="001624CA">
        <w:rPr>
          <w:rFonts w:asciiTheme="minorHAnsi" w:hAnsiTheme="minorHAnsi" w:cstheme="minorHAnsi"/>
        </w:rPr>
        <w:t xml:space="preserve">irst, the appointed actuary does not have to rely on the work of another </w:t>
      </w:r>
      <w:r w:rsidRPr="002C4788">
        <w:rPr>
          <w:rFonts w:asciiTheme="minorHAnsi" w:hAnsiTheme="minorHAnsi" w:cstheme="minorHAnsi"/>
          <w:i/>
          <w:iCs/>
        </w:rPr>
        <w:t>appointed actuary</w:t>
      </w:r>
      <w:r w:rsidRPr="001624CA">
        <w:rPr>
          <w:rFonts w:asciiTheme="minorHAnsi" w:hAnsiTheme="minorHAnsi" w:cstheme="minorHAnsi"/>
        </w:rPr>
        <w:t xml:space="preserve">.  </w:t>
      </w:r>
      <w:r w:rsidR="002C4788">
        <w:rPr>
          <w:rFonts w:asciiTheme="minorHAnsi" w:hAnsiTheme="minorHAnsi" w:cstheme="minorHAnsi"/>
        </w:rPr>
        <w:t xml:space="preserve">The appointed actuary may rely on the work of an actuary who is not the appointed actuary or even a non-actuary.  </w:t>
      </w:r>
      <w:r w:rsidRPr="001624CA">
        <w:rPr>
          <w:rFonts w:asciiTheme="minorHAnsi" w:hAnsiTheme="minorHAnsi" w:cstheme="minorHAnsi"/>
        </w:rPr>
        <w:t>The</w:t>
      </w:r>
      <w:r w:rsidR="00B5711F" w:rsidRPr="001624CA">
        <w:rPr>
          <w:rFonts w:asciiTheme="minorHAnsi" w:hAnsiTheme="minorHAnsi" w:cstheme="minorHAnsi"/>
        </w:rPr>
        <w:t xml:space="preserve"> sentence appears to imply that the appointed actuary is relying on the work of the appointed actuary of the reinsurance counterparty.</w:t>
      </w:r>
      <w:r w:rsidRPr="001624CA">
        <w:rPr>
          <w:rFonts w:asciiTheme="minorHAnsi" w:hAnsiTheme="minorHAnsi" w:cstheme="minorHAnsi"/>
        </w:rPr>
        <w:t xml:space="preserve"> </w:t>
      </w:r>
      <w:r w:rsidR="00B5711F" w:rsidRPr="001624CA">
        <w:rPr>
          <w:rFonts w:asciiTheme="minorHAnsi" w:hAnsiTheme="minorHAnsi" w:cstheme="minorHAnsi"/>
        </w:rPr>
        <w:t xml:space="preserve">The preceding sentence gives this as an example, that the appointed actuary may be relying on the </w:t>
      </w:r>
      <w:r w:rsidRPr="001624CA">
        <w:rPr>
          <w:rFonts w:asciiTheme="minorHAnsi" w:hAnsiTheme="minorHAnsi" w:cstheme="minorHAnsi"/>
        </w:rPr>
        <w:t xml:space="preserve">appointed actuary </w:t>
      </w:r>
      <w:r w:rsidR="00B5711F" w:rsidRPr="001624CA">
        <w:rPr>
          <w:rFonts w:asciiTheme="minorHAnsi" w:hAnsiTheme="minorHAnsi" w:cstheme="minorHAnsi"/>
        </w:rPr>
        <w:t xml:space="preserve">of the </w:t>
      </w:r>
      <w:r w:rsidR="00B5711F" w:rsidRPr="001624CA">
        <w:rPr>
          <w:rFonts w:asciiTheme="minorHAnsi" w:hAnsiTheme="minorHAnsi" w:cstheme="minorHAnsi"/>
        </w:rPr>
        <w:lastRenderedPageBreak/>
        <w:t xml:space="preserve">reinsurance counterparty, but this may not be true in all instances.  Therefore, I believe it is better that the first occurrence of the word “appointed” be removed.  Second, </w:t>
      </w:r>
      <w:r w:rsidR="009247DE" w:rsidRPr="001624CA">
        <w:rPr>
          <w:rFonts w:asciiTheme="minorHAnsi" w:hAnsiTheme="minorHAnsi" w:cstheme="minorHAnsi"/>
        </w:rPr>
        <w:t>by use of the word “solely” the wording implies that the appointed actuary may rely on the opinion of another actuary wh</w:t>
      </w:r>
      <w:bookmarkStart w:id="0" w:name="_GoBack"/>
      <w:bookmarkEnd w:id="0"/>
      <w:r w:rsidR="009247DE" w:rsidRPr="001624CA">
        <w:rPr>
          <w:rFonts w:asciiTheme="minorHAnsi" w:hAnsiTheme="minorHAnsi" w:cstheme="minorHAnsi"/>
        </w:rPr>
        <w:t>en establishing his own opinion.  The implication is that the appointed actuary may rely in part on the other actuary’s statement of actuarial opinion, but not in whole.  Section 3.A.6 of VM-3</w:t>
      </w:r>
      <w:r w:rsidR="008E2331" w:rsidRPr="001624CA">
        <w:rPr>
          <w:rFonts w:asciiTheme="minorHAnsi" w:hAnsiTheme="minorHAnsi" w:cstheme="minorHAnsi"/>
        </w:rPr>
        <w:t>0</w:t>
      </w:r>
      <w:r w:rsidR="009247DE" w:rsidRPr="001624CA">
        <w:rPr>
          <w:rFonts w:asciiTheme="minorHAnsi" w:hAnsiTheme="minorHAnsi" w:cstheme="minorHAnsi"/>
        </w:rPr>
        <w:t xml:space="preserve"> is clear that in forming his opinion, the appointed actuary may rely on “other experts for data, assumptions, projections or analysis”, but </w:t>
      </w:r>
      <w:r w:rsidR="00A852EA">
        <w:rPr>
          <w:rFonts w:asciiTheme="minorHAnsi" w:hAnsiTheme="minorHAnsi" w:cstheme="minorHAnsi"/>
        </w:rPr>
        <w:t>there is no provision</w:t>
      </w:r>
      <w:r w:rsidR="009247DE" w:rsidRPr="001624CA">
        <w:rPr>
          <w:rFonts w:asciiTheme="minorHAnsi" w:hAnsiTheme="minorHAnsi" w:cstheme="minorHAnsi"/>
        </w:rPr>
        <w:t xml:space="preserve"> for the appointed actuary to rely on other actuaries’ opinions, in whole or in part. </w:t>
      </w:r>
      <w:r w:rsidR="00A852EA">
        <w:rPr>
          <w:rFonts w:asciiTheme="minorHAnsi" w:hAnsiTheme="minorHAnsi" w:cstheme="minorHAnsi"/>
        </w:rPr>
        <w:t xml:space="preserve"> This is made clear </w:t>
      </w:r>
      <w:r w:rsidR="008E2331" w:rsidRPr="001624CA">
        <w:rPr>
          <w:rFonts w:asciiTheme="minorHAnsi" w:hAnsiTheme="minorHAnsi" w:cstheme="minorHAnsi"/>
        </w:rPr>
        <w:t>in Section 4.4 of ASOP #22</w:t>
      </w:r>
      <w:r w:rsidR="00A852EA">
        <w:rPr>
          <w:rFonts w:asciiTheme="minorHAnsi" w:hAnsiTheme="minorHAnsi" w:cstheme="minorHAnsi"/>
        </w:rPr>
        <w:t>.  I</w:t>
      </w:r>
      <w:r w:rsidR="008E2331" w:rsidRPr="001624CA">
        <w:rPr>
          <w:rFonts w:asciiTheme="minorHAnsi" w:hAnsiTheme="minorHAnsi" w:cstheme="minorHAnsi"/>
        </w:rPr>
        <w:t>n situations where more than one actuary contributes to forming an opinion,</w:t>
      </w:r>
      <w:r w:rsidR="001624CA" w:rsidRPr="001624CA">
        <w:rPr>
          <w:rFonts w:asciiTheme="minorHAnsi" w:hAnsiTheme="minorHAnsi" w:cstheme="minorHAnsi"/>
        </w:rPr>
        <w:t xml:space="preserve"> the following statement is made:</w:t>
      </w:r>
      <w:r w:rsidR="008E2331" w:rsidRPr="001624CA">
        <w:rPr>
          <w:rFonts w:asciiTheme="minorHAnsi" w:hAnsiTheme="minorHAnsi" w:cstheme="minorHAnsi"/>
        </w:rPr>
        <w:t xml:space="preserve"> “The actuary should then form an overall opinion without claiming reliance on the opinions of other actuaries.” </w:t>
      </w:r>
      <w:r w:rsidR="009247DE" w:rsidRPr="001624CA">
        <w:rPr>
          <w:rFonts w:asciiTheme="minorHAnsi" w:hAnsiTheme="minorHAnsi" w:cstheme="minorHAnsi"/>
        </w:rPr>
        <w:t>The opinion of the appointed actuary must be solely his own opinion.  Therefore,</w:t>
      </w:r>
      <w:r w:rsidR="008E2331" w:rsidRPr="001624CA">
        <w:rPr>
          <w:rFonts w:asciiTheme="minorHAnsi" w:hAnsiTheme="minorHAnsi" w:cstheme="minorHAnsi"/>
        </w:rPr>
        <w:t xml:space="preserve"> the last sentence should be removed or re-worded.  </w:t>
      </w:r>
      <w:r w:rsidR="00B33CCD">
        <w:rPr>
          <w:rFonts w:asciiTheme="minorHAnsi" w:hAnsiTheme="minorHAnsi" w:cstheme="minorHAnsi"/>
        </w:rPr>
        <w:t>If re-worded, o</w:t>
      </w:r>
      <w:r w:rsidR="008E2331" w:rsidRPr="001624CA">
        <w:rPr>
          <w:rFonts w:asciiTheme="minorHAnsi" w:hAnsiTheme="minorHAnsi" w:cstheme="minorHAnsi"/>
        </w:rPr>
        <w:t>ne suggested wording would be as follows:</w:t>
      </w:r>
    </w:p>
    <w:p w14:paraId="291F5997" w14:textId="77777777" w:rsidR="001624CA" w:rsidRPr="001624CA" w:rsidRDefault="001624CA" w:rsidP="001624CA">
      <w:pPr>
        <w:ind w:left="1080"/>
        <w:rPr>
          <w:rFonts w:asciiTheme="minorHAnsi" w:hAnsiTheme="minorHAnsi" w:cstheme="minorHAnsi"/>
          <w:sz w:val="24"/>
          <w:szCs w:val="24"/>
        </w:rPr>
      </w:pPr>
    </w:p>
    <w:p w14:paraId="645BA701" w14:textId="2F0F77C9" w:rsidR="001624CA" w:rsidRPr="001624CA" w:rsidRDefault="001624CA" w:rsidP="001624CA">
      <w:pPr>
        <w:ind w:left="1440"/>
        <w:rPr>
          <w:rFonts w:asciiTheme="minorHAnsi" w:hAnsiTheme="minorHAnsi" w:cstheme="minorHAnsi"/>
          <w:sz w:val="24"/>
          <w:szCs w:val="24"/>
        </w:rPr>
      </w:pPr>
      <w:r w:rsidRPr="001624CA">
        <w:rPr>
          <w:rFonts w:asciiTheme="minorHAnsi" w:hAnsiTheme="minorHAnsi" w:cstheme="minorHAnsi"/>
          <w:sz w:val="24"/>
          <w:szCs w:val="24"/>
        </w:rPr>
        <w:t>“</w:t>
      </w:r>
      <w:r w:rsidR="00ED52CF">
        <w:rPr>
          <w:rFonts w:asciiTheme="minorHAnsi" w:hAnsiTheme="minorHAnsi" w:cstheme="minorHAnsi"/>
          <w:sz w:val="24"/>
          <w:szCs w:val="24"/>
        </w:rPr>
        <w:t xml:space="preserve">When the other actuary has provided an opinion, the appointed actuary may consider the opinion of the other actuary in forming their own opinion, however, the appointed actuary </w:t>
      </w:r>
      <w:r w:rsidR="00B33CCD">
        <w:rPr>
          <w:rFonts w:asciiTheme="minorHAnsi" w:hAnsiTheme="minorHAnsi" w:cstheme="minorHAnsi"/>
          <w:sz w:val="24"/>
          <w:szCs w:val="24"/>
        </w:rPr>
        <w:t xml:space="preserve">shall </w:t>
      </w:r>
      <w:r w:rsidR="00ED52CF" w:rsidRPr="001624CA">
        <w:rPr>
          <w:rFonts w:asciiTheme="minorHAnsi" w:hAnsiTheme="minorHAnsi" w:cstheme="minorHAnsi"/>
          <w:sz w:val="24"/>
          <w:szCs w:val="24"/>
        </w:rPr>
        <w:t>not rely on the other actuary’s statement of actuarial opinion</w:t>
      </w:r>
      <w:r w:rsidR="00ED52CF">
        <w:rPr>
          <w:rFonts w:asciiTheme="minorHAnsi" w:hAnsiTheme="minorHAnsi" w:cstheme="minorHAnsi"/>
          <w:sz w:val="24"/>
          <w:szCs w:val="24"/>
        </w:rPr>
        <w:t xml:space="preserve"> when forming their own overall opinion</w:t>
      </w:r>
      <w:r w:rsidR="00ED52CF" w:rsidRPr="001624CA">
        <w:rPr>
          <w:rFonts w:asciiTheme="minorHAnsi" w:hAnsiTheme="minorHAnsi" w:cstheme="minorHAnsi"/>
          <w:sz w:val="24"/>
          <w:szCs w:val="24"/>
        </w:rPr>
        <w:t xml:space="preserve">.”  </w:t>
      </w:r>
    </w:p>
    <w:p w14:paraId="3E2AE134" w14:textId="77777777" w:rsidR="008E2331" w:rsidRPr="001624CA" w:rsidRDefault="008E2331" w:rsidP="009C345B">
      <w:pPr>
        <w:ind w:left="720"/>
        <w:rPr>
          <w:rFonts w:asciiTheme="minorHAnsi" w:hAnsiTheme="minorHAnsi" w:cstheme="minorHAnsi"/>
          <w:sz w:val="24"/>
          <w:szCs w:val="24"/>
        </w:rPr>
      </w:pPr>
    </w:p>
    <w:p w14:paraId="7E24C381" w14:textId="77777777" w:rsidR="0049791A" w:rsidRPr="00B33CCD" w:rsidRDefault="0049791A" w:rsidP="0049791A">
      <w:pPr>
        <w:ind w:left="360"/>
        <w:rPr>
          <w:rFonts w:asciiTheme="minorHAnsi" w:hAnsiTheme="minorHAnsi" w:cstheme="minorHAnsi"/>
          <w:sz w:val="24"/>
          <w:szCs w:val="24"/>
        </w:rPr>
      </w:pPr>
    </w:p>
    <w:p w14:paraId="636D33C8" w14:textId="1CAB0399" w:rsidR="00363178" w:rsidRPr="00B33CCD" w:rsidRDefault="00363178" w:rsidP="00363178">
      <w:pPr>
        <w:rPr>
          <w:rFonts w:asciiTheme="minorHAnsi" w:hAnsiTheme="minorHAnsi" w:cstheme="minorHAnsi"/>
          <w:sz w:val="24"/>
          <w:szCs w:val="24"/>
        </w:rPr>
      </w:pPr>
      <w:r w:rsidRPr="00B33CCD">
        <w:rPr>
          <w:rFonts w:asciiTheme="minorHAnsi" w:hAnsiTheme="minorHAnsi" w:cstheme="minorHAnsi"/>
          <w:sz w:val="24"/>
          <w:szCs w:val="24"/>
        </w:rPr>
        <w:t>Thank</w:t>
      </w:r>
      <w:r w:rsidR="00AF2890" w:rsidRPr="00B33CCD">
        <w:rPr>
          <w:rFonts w:asciiTheme="minorHAnsi" w:hAnsiTheme="minorHAnsi" w:cstheme="minorHAnsi"/>
          <w:sz w:val="24"/>
          <w:szCs w:val="24"/>
        </w:rPr>
        <w:t xml:space="preserve"> you</w:t>
      </w:r>
      <w:r w:rsidR="00816678" w:rsidRPr="00B33CCD">
        <w:rPr>
          <w:rFonts w:asciiTheme="minorHAnsi" w:hAnsiTheme="minorHAnsi" w:cstheme="minorHAnsi"/>
          <w:sz w:val="24"/>
          <w:szCs w:val="24"/>
        </w:rPr>
        <w:t xml:space="preserve"> for </w:t>
      </w:r>
      <w:r w:rsidR="00E132D6" w:rsidRPr="00B33CCD">
        <w:rPr>
          <w:rFonts w:asciiTheme="minorHAnsi" w:hAnsiTheme="minorHAnsi" w:cstheme="minorHAnsi"/>
          <w:sz w:val="24"/>
          <w:szCs w:val="24"/>
        </w:rPr>
        <w:t>your consideration of these comments.</w:t>
      </w:r>
      <w:r w:rsidRPr="00B33CCD">
        <w:rPr>
          <w:rFonts w:asciiTheme="minorHAnsi" w:hAnsiTheme="minorHAnsi" w:cstheme="minorHAnsi"/>
          <w:sz w:val="24"/>
          <w:szCs w:val="24"/>
        </w:rPr>
        <w:t xml:space="preserve"> </w:t>
      </w:r>
    </w:p>
    <w:p w14:paraId="6F686CAD" w14:textId="77777777" w:rsidR="00363178" w:rsidRPr="00B33CCD" w:rsidRDefault="00363178" w:rsidP="00363178">
      <w:pPr>
        <w:rPr>
          <w:rFonts w:asciiTheme="minorHAnsi" w:hAnsiTheme="minorHAnsi" w:cstheme="minorHAnsi"/>
          <w:sz w:val="24"/>
          <w:szCs w:val="24"/>
        </w:rPr>
      </w:pPr>
    </w:p>
    <w:p w14:paraId="141E0DB4" w14:textId="77777777" w:rsidR="00363178" w:rsidRPr="00B33CCD" w:rsidRDefault="00363178" w:rsidP="00363178">
      <w:pPr>
        <w:rPr>
          <w:rFonts w:asciiTheme="minorHAnsi" w:hAnsiTheme="minorHAnsi" w:cstheme="minorHAnsi"/>
          <w:sz w:val="24"/>
          <w:szCs w:val="24"/>
        </w:rPr>
      </w:pPr>
    </w:p>
    <w:p w14:paraId="600078BF" w14:textId="77777777" w:rsidR="00363178" w:rsidRPr="00B33CCD" w:rsidRDefault="00AF2890" w:rsidP="00363178">
      <w:pPr>
        <w:rPr>
          <w:rFonts w:asciiTheme="minorHAnsi" w:hAnsiTheme="minorHAnsi" w:cstheme="minorHAnsi"/>
          <w:sz w:val="24"/>
          <w:szCs w:val="24"/>
        </w:rPr>
      </w:pPr>
      <w:r w:rsidRPr="00B33CCD">
        <w:rPr>
          <w:rFonts w:asciiTheme="minorHAnsi" w:hAnsiTheme="minorHAnsi" w:cstheme="minorHAnsi"/>
          <w:sz w:val="24"/>
          <w:szCs w:val="24"/>
        </w:rPr>
        <w:t>Craig Chupp</w:t>
      </w:r>
      <w:r w:rsidR="00363178" w:rsidRPr="00B33CCD">
        <w:rPr>
          <w:rFonts w:asciiTheme="minorHAnsi" w:hAnsiTheme="minorHAnsi" w:cstheme="minorHAnsi"/>
          <w:sz w:val="24"/>
          <w:szCs w:val="24"/>
        </w:rPr>
        <w:t>, FSA, MAAA</w:t>
      </w:r>
    </w:p>
    <w:p w14:paraId="0D2526BC" w14:textId="77777777" w:rsidR="00363178" w:rsidRPr="00B33CCD" w:rsidRDefault="00363178" w:rsidP="00363178">
      <w:pPr>
        <w:rPr>
          <w:rFonts w:asciiTheme="minorHAnsi" w:hAnsiTheme="minorHAnsi" w:cstheme="minorHAnsi"/>
          <w:sz w:val="24"/>
          <w:szCs w:val="24"/>
        </w:rPr>
      </w:pPr>
      <w:r w:rsidRPr="00B33CCD">
        <w:rPr>
          <w:rFonts w:asciiTheme="minorHAnsi" w:hAnsiTheme="minorHAnsi" w:cstheme="minorHAnsi"/>
          <w:sz w:val="24"/>
          <w:szCs w:val="24"/>
        </w:rPr>
        <w:t xml:space="preserve">Life </w:t>
      </w:r>
      <w:r w:rsidR="00AF2890" w:rsidRPr="00B33CCD">
        <w:rPr>
          <w:rFonts w:asciiTheme="minorHAnsi" w:hAnsiTheme="minorHAnsi" w:cstheme="minorHAnsi"/>
          <w:sz w:val="24"/>
          <w:szCs w:val="24"/>
        </w:rPr>
        <w:t xml:space="preserve">and Health Insurance </w:t>
      </w:r>
      <w:r w:rsidRPr="00B33CCD">
        <w:rPr>
          <w:rFonts w:asciiTheme="minorHAnsi" w:hAnsiTheme="minorHAnsi" w:cstheme="minorHAnsi"/>
          <w:sz w:val="24"/>
          <w:szCs w:val="24"/>
        </w:rPr>
        <w:t>Actuary</w:t>
      </w:r>
    </w:p>
    <w:p w14:paraId="654BAAA0" w14:textId="77777777" w:rsidR="00363178" w:rsidRPr="00B33CCD" w:rsidRDefault="00AF2890" w:rsidP="00363178">
      <w:pPr>
        <w:rPr>
          <w:rFonts w:asciiTheme="minorHAnsi" w:hAnsiTheme="minorHAnsi" w:cstheme="minorHAnsi"/>
          <w:sz w:val="24"/>
          <w:szCs w:val="24"/>
        </w:rPr>
      </w:pPr>
      <w:r w:rsidRPr="00B33CCD">
        <w:rPr>
          <w:rFonts w:asciiTheme="minorHAnsi" w:hAnsiTheme="minorHAnsi" w:cstheme="minorHAnsi"/>
          <w:sz w:val="24"/>
          <w:szCs w:val="24"/>
        </w:rPr>
        <w:t>Virginia Bureau of Insurance</w:t>
      </w:r>
    </w:p>
    <w:p w14:paraId="22DD9C09" w14:textId="77777777" w:rsidR="00363178" w:rsidRPr="00B33CCD" w:rsidRDefault="002C4788" w:rsidP="00363178">
      <w:pPr>
        <w:rPr>
          <w:rFonts w:asciiTheme="minorHAnsi" w:hAnsiTheme="minorHAnsi" w:cstheme="minorHAnsi"/>
          <w:sz w:val="24"/>
          <w:szCs w:val="24"/>
        </w:rPr>
      </w:pPr>
      <w:hyperlink r:id="rId7" w:history="1">
        <w:r w:rsidR="00AF2890" w:rsidRPr="00B33CCD">
          <w:rPr>
            <w:rStyle w:val="Hyperlink"/>
            <w:rFonts w:asciiTheme="minorHAnsi" w:hAnsiTheme="minorHAnsi" w:cstheme="minorHAnsi"/>
            <w:sz w:val="24"/>
            <w:szCs w:val="24"/>
          </w:rPr>
          <w:t>craig.chupp@scc.virginia.gov</w:t>
        </w:r>
      </w:hyperlink>
      <w:r w:rsidR="00363178" w:rsidRPr="00B33CCD">
        <w:rPr>
          <w:rFonts w:asciiTheme="minorHAnsi" w:hAnsiTheme="minorHAnsi" w:cstheme="minorHAnsi"/>
          <w:sz w:val="24"/>
          <w:szCs w:val="24"/>
        </w:rPr>
        <w:t> </w:t>
      </w:r>
    </w:p>
    <w:p w14:paraId="2AB7CBEE" w14:textId="77777777" w:rsidR="00363178" w:rsidRPr="00B33CCD" w:rsidRDefault="00AF2890" w:rsidP="00363178">
      <w:pPr>
        <w:rPr>
          <w:rFonts w:asciiTheme="minorHAnsi" w:hAnsiTheme="minorHAnsi" w:cstheme="minorHAnsi"/>
          <w:sz w:val="24"/>
          <w:szCs w:val="24"/>
        </w:rPr>
      </w:pPr>
      <w:r w:rsidRPr="00B33CCD">
        <w:rPr>
          <w:rFonts w:asciiTheme="minorHAnsi" w:hAnsiTheme="minorHAnsi" w:cstheme="minorHAnsi"/>
          <w:sz w:val="24"/>
          <w:szCs w:val="24"/>
        </w:rPr>
        <w:t xml:space="preserve">Phone: </w:t>
      </w:r>
      <w:r w:rsidR="00363178" w:rsidRPr="00B33CCD">
        <w:rPr>
          <w:rFonts w:asciiTheme="minorHAnsi" w:hAnsiTheme="minorHAnsi" w:cstheme="minorHAnsi"/>
          <w:sz w:val="24"/>
          <w:szCs w:val="24"/>
        </w:rPr>
        <w:t>(</w:t>
      </w:r>
      <w:r w:rsidRPr="00B33CCD">
        <w:rPr>
          <w:rFonts w:asciiTheme="minorHAnsi" w:hAnsiTheme="minorHAnsi" w:cstheme="minorHAnsi"/>
          <w:sz w:val="24"/>
          <w:szCs w:val="24"/>
        </w:rPr>
        <w:t>804</w:t>
      </w:r>
      <w:r w:rsidR="00363178" w:rsidRPr="00B33CCD">
        <w:rPr>
          <w:rFonts w:asciiTheme="minorHAnsi" w:hAnsiTheme="minorHAnsi" w:cstheme="minorHAnsi"/>
          <w:sz w:val="24"/>
          <w:szCs w:val="24"/>
        </w:rPr>
        <w:t>)</w:t>
      </w:r>
      <w:r w:rsidRPr="00B33CCD">
        <w:rPr>
          <w:rFonts w:asciiTheme="minorHAnsi" w:hAnsiTheme="minorHAnsi" w:cstheme="minorHAnsi"/>
          <w:sz w:val="24"/>
          <w:szCs w:val="24"/>
        </w:rPr>
        <w:t xml:space="preserve"> 371-9131</w:t>
      </w:r>
    </w:p>
    <w:p w14:paraId="681727F3" w14:textId="77777777" w:rsidR="00B44069" w:rsidRPr="00B33CCD" w:rsidRDefault="00B44069">
      <w:pPr>
        <w:rPr>
          <w:rFonts w:asciiTheme="minorHAnsi" w:hAnsiTheme="minorHAnsi" w:cstheme="minorHAnsi"/>
          <w:sz w:val="24"/>
          <w:szCs w:val="24"/>
        </w:rPr>
      </w:pPr>
    </w:p>
    <w:sectPr w:rsidR="00B44069" w:rsidRPr="00B33C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82788" w14:textId="77777777" w:rsidR="00593D99" w:rsidRDefault="00593D99" w:rsidP="00593D99">
      <w:r>
        <w:separator/>
      </w:r>
    </w:p>
  </w:endnote>
  <w:endnote w:type="continuationSeparator" w:id="0">
    <w:p w14:paraId="02D8A041" w14:textId="77777777" w:rsidR="00593D99" w:rsidRDefault="00593D99" w:rsidP="0059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EF50" w14:textId="77777777" w:rsidR="002C4788" w:rsidRDefault="002C4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BACD" w14:textId="5B828156" w:rsidR="00593D99" w:rsidRDefault="00593D99">
    <w:pPr>
      <w:pStyle w:val="Footer"/>
    </w:pPr>
    <w:r>
      <w:rPr>
        <w:noProof/>
      </w:rPr>
      <mc:AlternateContent>
        <mc:Choice Requires="wps">
          <w:drawing>
            <wp:anchor distT="0" distB="0" distL="114300" distR="114300" simplePos="0" relativeHeight="251659264" behindDoc="0" locked="0" layoutInCell="0" allowOverlap="1" wp14:anchorId="38A8A41F" wp14:editId="0FEF95AB">
              <wp:simplePos x="0" y="0"/>
              <wp:positionH relativeFrom="page">
                <wp:posOffset>0</wp:posOffset>
              </wp:positionH>
              <wp:positionV relativeFrom="page">
                <wp:posOffset>9601200</wp:posOffset>
              </wp:positionV>
              <wp:extent cx="7772400" cy="266700"/>
              <wp:effectExtent l="0" t="0" r="0" b="0"/>
              <wp:wrapNone/>
              <wp:docPr id="1" name="MSIPCMb0eb45668c17c8e5555e766f"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494849" w14:textId="28650346" w:rsidR="00593D99" w:rsidRPr="00593D99" w:rsidRDefault="00593D99" w:rsidP="00593D99">
                          <w:pPr>
                            <w:jc w:val="center"/>
                            <w:rPr>
                              <w:rFonts w:cs="Calibri"/>
                              <w:color w:val="000000"/>
                              <w:sz w:val="20"/>
                            </w:rPr>
                          </w:pPr>
                          <w:r w:rsidRPr="00593D99">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A8A41F" id="_x0000_t202" coordsize="21600,21600" o:spt="202" path="m,l,21600r21600,l21600,xe">
              <v:stroke joinstyle="miter"/>
              <v:path gradientshapeok="t" o:connecttype="rect"/>
            </v:shapetype>
            <v:shape id="MSIPCMb0eb45668c17c8e5555e766f" o:spid="_x0000_s1026" type="#_x0000_t202" alt="{&quot;HashCode&quot;:107142765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" o:allowincell="f" filled="f" stroked="f" strokeweight=".5pt">
              <v:fill o:detectmouseclick="t"/>
              <v:textbox inset=",0,,0">
                <w:txbxContent>
                  <w:p w14:paraId="75494849" w14:textId="28650346" w:rsidR="00593D99" w:rsidRPr="00593D99" w:rsidRDefault="00593D99" w:rsidP="00593D99">
                    <w:pPr>
                      <w:jc w:val="center"/>
                      <w:rPr>
                        <w:rFonts w:cs="Calibri"/>
                        <w:color w:val="000000"/>
                        <w:sz w:val="20"/>
                      </w:rPr>
                    </w:pPr>
                    <w:r w:rsidRPr="00593D99">
                      <w:rPr>
                        <w:rFonts w:cs="Calibri"/>
                        <w:color w:val="000000"/>
                        <w:sz w:val="2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06FD" w14:textId="77777777" w:rsidR="002C4788" w:rsidRDefault="002C4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576E2" w14:textId="77777777" w:rsidR="00593D99" w:rsidRDefault="00593D99" w:rsidP="00593D99">
      <w:r>
        <w:separator/>
      </w:r>
    </w:p>
  </w:footnote>
  <w:footnote w:type="continuationSeparator" w:id="0">
    <w:p w14:paraId="3F8508CF" w14:textId="77777777" w:rsidR="00593D99" w:rsidRDefault="00593D99" w:rsidP="00593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B2BE" w14:textId="77777777" w:rsidR="002C4788" w:rsidRDefault="002C4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908A" w14:textId="77777777" w:rsidR="002C4788" w:rsidRDefault="002C4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6CCA" w14:textId="77777777" w:rsidR="002C4788" w:rsidRDefault="002C4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71D5"/>
    <w:multiLevelType w:val="hybridMultilevel"/>
    <w:tmpl w:val="A03CA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E183F"/>
    <w:multiLevelType w:val="hybridMultilevel"/>
    <w:tmpl w:val="15BE8FE8"/>
    <w:lvl w:ilvl="0" w:tplc="21DA1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B21036"/>
    <w:multiLevelType w:val="hybridMultilevel"/>
    <w:tmpl w:val="2BAA9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26577"/>
    <w:multiLevelType w:val="hybridMultilevel"/>
    <w:tmpl w:val="8C8A04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476FE"/>
    <w:multiLevelType w:val="hybridMultilevel"/>
    <w:tmpl w:val="65B8DAD4"/>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C4719"/>
    <w:multiLevelType w:val="hybridMultilevel"/>
    <w:tmpl w:val="2F7E6072"/>
    <w:lvl w:ilvl="0" w:tplc="6BA053F2">
      <w:start w:val="7"/>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83655"/>
    <w:multiLevelType w:val="hybridMultilevel"/>
    <w:tmpl w:val="27F64AB2"/>
    <w:lvl w:ilvl="0" w:tplc="D9F8BB0A">
      <w:start w:val="5"/>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047BF"/>
    <w:multiLevelType w:val="hybridMultilevel"/>
    <w:tmpl w:val="A03CA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63496"/>
    <w:multiLevelType w:val="hybridMultilevel"/>
    <w:tmpl w:val="FA3EA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275A9"/>
    <w:multiLevelType w:val="hybridMultilevel"/>
    <w:tmpl w:val="E26832E2"/>
    <w:lvl w:ilvl="0" w:tplc="82E87A04">
      <w:start w:val="4"/>
      <w:numFmt w:val="decimal"/>
      <w:lvlText w:val="%1."/>
      <w:lvlJc w:val="left"/>
      <w:pPr>
        <w:ind w:left="99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503E6F"/>
    <w:multiLevelType w:val="hybridMultilevel"/>
    <w:tmpl w:val="9FAC0DF2"/>
    <w:lvl w:ilvl="0" w:tplc="DC5C6550">
      <w:start w:val="2"/>
      <w:numFmt w:val="upperLetter"/>
      <w:lvlText w:val="%1."/>
      <w:lvlJc w:val="left"/>
      <w:pPr>
        <w:ind w:left="540" w:hanging="360"/>
      </w:pPr>
      <w:rPr>
        <w:rFonts w:hint="default"/>
      </w:rPr>
    </w:lvl>
    <w:lvl w:ilvl="1" w:tplc="605AE7F0">
      <w:start w:val="1"/>
      <w:numFmt w:val="decimal"/>
      <w:lvlText w:val="%2."/>
      <w:lvlJc w:val="left"/>
      <w:pPr>
        <w:ind w:left="1260" w:hanging="360"/>
      </w:pPr>
      <w:rPr>
        <w:rFonts w:ascii="Times New Roman" w:eastAsia="Times New Roman" w:hAnsi="Times New Roman" w:cs="Times New Roman"/>
        <w:color w:val="C00000"/>
        <w:u w:val="single"/>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BC83706"/>
    <w:multiLevelType w:val="hybridMultilevel"/>
    <w:tmpl w:val="BE5696E8"/>
    <w:lvl w:ilvl="0" w:tplc="B0A66D30">
      <w:start w:val="1"/>
      <w:numFmt w:val="upp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E770EE2"/>
    <w:multiLevelType w:val="hybridMultilevel"/>
    <w:tmpl w:val="53344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00036"/>
    <w:multiLevelType w:val="hybridMultilevel"/>
    <w:tmpl w:val="07549076"/>
    <w:lvl w:ilvl="0" w:tplc="B01E2092">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2733043"/>
    <w:multiLevelType w:val="hybridMultilevel"/>
    <w:tmpl w:val="5C9089D2"/>
    <w:lvl w:ilvl="0" w:tplc="E12E4486">
      <w:start w:val="7"/>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D042F"/>
    <w:multiLevelType w:val="hybridMultilevel"/>
    <w:tmpl w:val="65B8DAD4"/>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24A69"/>
    <w:multiLevelType w:val="hybridMultilevel"/>
    <w:tmpl w:val="E63872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104D3B"/>
    <w:multiLevelType w:val="hybridMultilevel"/>
    <w:tmpl w:val="6436D090"/>
    <w:lvl w:ilvl="0" w:tplc="D4FAF6F0">
      <w:start w:val="1"/>
      <w:numFmt w:val="decimal"/>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8"/>
  </w:num>
  <w:num w:numId="3">
    <w:abstractNumId w:val="2"/>
  </w:num>
  <w:num w:numId="4">
    <w:abstractNumId w:val="9"/>
  </w:num>
  <w:num w:numId="5">
    <w:abstractNumId w:val="7"/>
  </w:num>
  <w:num w:numId="6">
    <w:abstractNumId w:val="0"/>
  </w:num>
  <w:num w:numId="7">
    <w:abstractNumId w:val="12"/>
  </w:num>
  <w:num w:numId="8">
    <w:abstractNumId w:val="10"/>
  </w:num>
  <w:num w:numId="9">
    <w:abstractNumId w:val="17"/>
  </w:num>
  <w:num w:numId="10">
    <w:abstractNumId w:val="13"/>
  </w:num>
  <w:num w:numId="11">
    <w:abstractNumId w:val="11"/>
  </w:num>
  <w:num w:numId="12">
    <w:abstractNumId w:val="1"/>
  </w:num>
  <w:num w:numId="13">
    <w:abstractNumId w:val="15"/>
  </w:num>
  <w:num w:numId="14">
    <w:abstractNumId w:val="4"/>
  </w:num>
  <w:num w:numId="15">
    <w:abstractNumId w:val="14"/>
  </w:num>
  <w:num w:numId="16">
    <w:abstractNumId w:val="5"/>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78"/>
    <w:rsid w:val="00042C87"/>
    <w:rsid w:val="00042F07"/>
    <w:rsid w:val="000879DD"/>
    <w:rsid w:val="00090D57"/>
    <w:rsid w:val="00154C3D"/>
    <w:rsid w:val="00160931"/>
    <w:rsid w:val="001624CA"/>
    <w:rsid w:val="00190A0B"/>
    <w:rsid w:val="001E566C"/>
    <w:rsid w:val="001F73FC"/>
    <w:rsid w:val="0020281A"/>
    <w:rsid w:val="00247765"/>
    <w:rsid w:val="002C4788"/>
    <w:rsid w:val="00332D44"/>
    <w:rsid w:val="00360480"/>
    <w:rsid w:val="00362B7E"/>
    <w:rsid w:val="00363178"/>
    <w:rsid w:val="003834A1"/>
    <w:rsid w:val="003C221A"/>
    <w:rsid w:val="003F7523"/>
    <w:rsid w:val="00473AF5"/>
    <w:rsid w:val="00475D0A"/>
    <w:rsid w:val="00481817"/>
    <w:rsid w:val="00496D7A"/>
    <w:rsid w:val="0049791A"/>
    <w:rsid w:val="004A00ED"/>
    <w:rsid w:val="004B2628"/>
    <w:rsid w:val="00502838"/>
    <w:rsid w:val="005032C4"/>
    <w:rsid w:val="00526DBF"/>
    <w:rsid w:val="00575010"/>
    <w:rsid w:val="0057751C"/>
    <w:rsid w:val="00593D99"/>
    <w:rsid w:val="00594F73"/>
    <w:rsid w:val="005B0E26"/>
    <w:rsid w:val="005B4C6B"/>
    <w:rsid w:val="005E02CA"/>
    <w:rsid w:val="00613450"/>
    <w:rsid w:val="006A4B69"/>
    <w:rsid w:val="006A62B5"/>
    <w:rsid w:val="006B00BA"/>
    <w:rsid w:val="006B7E7B"/>
    <w:rsid w:val="006F7E51"/>
    <w:rsid w:val="007157F3"/>
    <w:rsid w:val="00724B95"/>
    <w:rsid w:val="00771808"/>
    <w:rsid w:val="007773E0"/>
    <w:rsid w:val="00791BEF"/>
    <w:rsid w:val="007922B7"/>
    <w:rsid w:val="007B41A7"/>
    <w:rsid w:val="007E7AFB"/>
    <w:rsid w:val="007F2FB2"/>
    <w:rsid w:val="00816678"/>
    <w:rsid w:val="00877477"/>
    <w:rsid w:val="008A2764"/>
    <w:rsid w:val="008A77E2"/>
    <w:rsid w:val="008B10CF"/>
    <w:rsid w:val="008E2331"/>
    <w:rsid w:val="008E4273"/>
    <w:rsid w:val="009051EB"/>
    <w:rsid w:val="00907B54"/>
    <w:rsid w:val="00914D59"/>
    <w:rsid w:val="00917B87"/>
    <w:rsid w:val="009247DE"/>
    <w:rsid w:val="009A0D67"/>
    <w:rsid w:val="009C345B"/>
    <w:rsid w:val="009F5A41"/>
    <w:rsid w:val="00A05220"/>
    <w:rsid w:val="00A71C11"/>
    <w:rsid w:val="00A852EA"/>
    <w:rsid w:val="00A92017"/>
    <w:rsid w:val="00A94E3B"/>
    <w:rsid w:val="00AD6F3C"/>
    <w:rsid w:val="00AE4E75"/>
    <w:rsid w:val="00AF2890"/>
    <w:rsid w:val="00AF2A7A"/>
    <w:rsid w:val="00B01BB9"/>
    <w:rsid w:val="00B10CD9"/>
    <w:rsid w:val="00B33CCD"/>
    <w:rsid w:val="00B44069"/>
    <w:rsid w:val="00B515B2"/>
    <w:rsid w:val="00B5711F"/>
    <w:rsid w:val="00B832BF"/>
    <w:rsid w:val="00BB0725"/>
    <w:rsid w:val="00BC4E3B"/>
    <w:rsid w:val="00BD0BB7"/>
    <w:rsid w:val="00C042B9"/>
    <w:rsid w:val="00C15F85"/>
    <w:rsid w:val="00C16292"/>
    <w:rsid w:val="00C428F4"/>
    <w:rsid w:val="00C43E04"/>
    <w:rsid w:val="00C531C1"/>
    <w:rsid w:val="00CC180F"/>
    <w:rsid w:val="00CC30E8"/>
    <w:rsid w:val="00D020EA"/>
    <w:rsid w:val="00D061BA"/>
    <w:rsid w:val="00D527A7"/>
    <w:rsid w:val="00D60A66"/>
    <w:rsid w:val="00D62BDA"/>
    <w:rsid w:val="00DF221E"/>
    <w:rsid w:val="00E132D6"/>
    <w:rsid w:val="00E27B23"/>
    <w:rsid w:val="00E5637F"/>
    <w:rsid w:val="00E8229D"/>
    <w:rsid w:val="00E8590A"/>
    <w:rsid w:val="00EA23CD"/>
    <w:rsid w:val="00EC2248"/>
    <w:rsid w:val="00EC43F7"/>
    <w:rsid w:val="00EC7ED6"/>
    <w:rsid w:val="00ED52CF"/>
    <w:rsid w:val="00F07C1D"/>
    <w:rsid w:val="00F24A34"/>
    <w:rsid w:val="00F8425E"/>
    <w:rsid w:val="00F91122"/>
    <w:rsid w:val="00FA343B"/>
    <w:rsid w:val="00FE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E0F8F2"/>
  <w15:docId w15:val="{80543501-E2C3-4BE2-8DF5-9B3600BD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31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178"/>
    <w:rPr>
      <w:color w:val="0000FF"/>
      <w:u w:val="single"/>
    </w:rPr>
  </w:style>
  <w:style w:type="paragraph" w:styleId="ListParagraph">
    <w:name w:val="List Paragraph"/>
    <w:basedOn w:val="Normal"/>
    <w:uiPriority w:val="34"/>
    <w:qFormat/>
    <w:rsid w:val="00724B95"/>
    <w:pPr>
      <w:ind w:left="720"/>
      <w:contextualSpacing/>
    </w:pPr>
    <w:rPr>
      <w:rFonts w:ascii="Times New Roman" w:eastAsia="Times New Roman" w:hAnsi="Times New Roman"/>
      <w:sz w:val="24"/>
      <w:szCs w:val="24"/>
    </w:rPr>
  </w:style>
  <w:style w:type="paragraph" w:styleId="CommentText">
    <w:name w:val="annotation text"/>
    <w:basedOn w:val="Normal"/>
    <w:link w:val="CommentTextChar"/>
    <w:uiPriority w:val="99"/>
    <w:rsid w:val="00AE4E75"/>
    <w:pPr>
      <w:spacing w:before="120" w:after="120"/>
    </w:pPr>
    <w:rPr>
      <w:rFonts w:ascii="Times New Roman" w:eastAsia="Times New Roman" w:hAnsi="Times New Roman"/>
      <w:sz w:val="20"/>
      <w:szCs w:val="24"/>
    </w:rPr>
  </w:style>
  <w:style w:type="character" w:customStyle="1" w:styleId="CommentTextChar">
    <w:name w:val="Comment Text Char"/>
    <w:basedOn w:val="DefaultParagraphFont"/>
    <w:link w:val="CommentText"/>
    <w:uiPriority w:val="99"/>
    <w:rsid w:val="00AE4E75"/>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rsid w:val="00AE4E75"/>
    <w:rPr>
      <w:sz w:val="16"/>
      <w:szCs w:val="16"/>
    </w:rPr>
  </w:style>
  <w:style w:type="paragraph" w:customStyle="1" w:styleId="Default">
    <w:name w:val="Default"/>
    <w:rsid w:val="00AE4E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4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75"/>
    <w:rPr>
      <w:rFonts w:ascii="Segoe UI" w:hAnsi="Segoe UI" w:cs="Segoe UI"/>
      <w:sz w:val="18"/>
      <w:szCs w:val="18"/>
    </w:rPr>
  </w:style>
  <w:style w:type="paragraph" w:styleId="Header">
    <w:name w:val="header"/>
    <w:basedOn w:val="Normal"/>
    <w:link w:val="HeaderChar"/>
    <w:uiPriority w:val="99"/>
    <w:unhideWhenUsed/>
    <w:rsid w:val="00593D99"/>
    <w:pPr>
      <w:tabs>
        <w:tab w:val="center" w:pos="4680"/>
        <w:tab w:val="right" w:pos="9360"/>
      </w:tabs>
    </w:pPr>
  </w:style>
  <w:style w:type="character" w:customStyle="1" w:styleId="HeaderChar">
    <w:name w:val="Header Char"/>
    <w:basedOn w:val="DefaultParagraphFont"/>
    <w:link w:val="Header"/>
    <w:uiPriority w:val="99"/>
    <w:rsid w:val="00593D99"/>
    <w:rPr>
      <w:rFonts w:ascii="Calibri" w:hAnsi="Calibri" w:cs="Times New Roman"/>
    </w:rPr>
  </w:style>
  <w:style w:type="paragraph" w:styleId="Footer">
    <w:name w:val="footer"/>
    <w:basedOn w:val="Normal"/>
    <w:link w:val="FooterChar"/>
    <w:uiPriority w:val="99"/>
    <w:unhideWhenUsed/>
    <w:rsid w:val="00593D99"/>
    <w:pPr>
      <w:tabs>
        <w:tab w:val="center" w:pos="4680"/>
        <w:tab w:val="right" w:pos="9360"/>
      </w:tabs>
    </w:pPr>
  </w:style>
  <w:style w:type="character" w:customStyle="1" w:styleId="FooterChar">
    <w:name w:val="Footer Char"/>
    <w:basedOn w:val="DefaultParagraphFont"/>
    <w:link w:val="Footer"/>
    <w:uiPriority w:val="99"/>
    <w:rsid w:val="00593D99"/>
    <w:rPr>
      <w:rFonts w:ascii="Calibri" w:hAnsi="Calibri" w:cs="Times New Roman"/>
    </w:rPr>
  </w:style>
  <w:style w:type="character" w:styleId="UnresolvedMention">
    <w:name w:val="Unresolved Mention"/>
    <w:basedOn w:val="DefaultParagraphFont"/>
    <w:uiPriority w:val="99"/>
    <w:semiHidden/>
    <w:unhideWhenUsed/>
    <w:rsid w:val="00160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raig.chupp@scc.virgini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Mazyck, Reggie</dc:creator>
  <cp:lastModifiedBy>Craig Chupp</cp:lastModifiedBy>
  <cp:revision>5</cp:revision>
  <dcterms:created xsi:type="dcterms:W3CDTF">2021-05-17T12:29:00Z</dcterms:created>
  <dcterms:modified xsi:type="dcterms:W3CDTF">2021-05-17T12:50:00Z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MSIP_Label_54cbfde1-7928-4a1c-94cb-201c594fc53a_Enabled">
    <vt:lpwstr>True</vt:lpwstr>
  </property>
  <property fmtid="{D5CDD505-2E9C-101B-9397-08002B2CF9AE}" pid="9" name="MSIP_Label_54cbfde1-7928-4a1c-94cb-201c594fc53a_SiteId">
    <vt:lpwstr>1791a7f1-2629-474f-8283-d4da7899c3be</vt:lpwstr>
  </property>
  <property fmtid="{D5CDD505-2E9C-101B-9397-08002B2CF9AE}" pid="10" name="MSIP_Label_54cbfde1-7928-4a1c-94cb-201c594fc53a_Owner">
    <vt:lpwstr>CCHUPP@scc.virginia.gov</vt:lpwstr>
  </property>
  <property fmtid="{D5CDD505-2E9C-101B-9397-08002B2CF9AE}" pid="11" name="MSIP_Label_54cbfde1-7928-4a1c-94cb-201c594fc53a_SetDate">
    <vt:lpwstr>2021-04-09T09:40:30.0026728Z</vt:lpwstr>
  </property>
  <property fmtid="{D5CDD505-2E9C-101B-9397-08002B2CF9AE}" pid="12" name="MSIP_Label_54cbfde1-7928-4a1c-94cb-201c594fc53a_Name">
    <vt:lpwstr>Confidential</vt:lpwstr>
  </property>
  <property fmtid="{D5CDD505-2E9C-101B-9397-08002B2CF9AE}" pid="13" name="MSIP_Label_54cbfde1-7928-4a1c-94cb-201c594fc53a_Application">
    <vt:lpwstr>Microsoft Azure Information Protection</vt:lpwstr>
  </property>
  <property fmtid="{D5CDD505-2E9C-101B-9397-08002B2CF9AE}" pid="14" name="MSIP_Label_54cbfde1-7928-4a1c-94cb-201c594fc53a_ActionId">
    <vt:lpwstr>687d59c8-2ee8-4a53-9610-e2ebe106614e</vt:lpwstr>
  </property>
  <property fmtid="{D5CDD505-2E9C-101B-9397-08002B2CF9AE}" pid="15" name="MSIP_Label_54cbfde1-7928-4a1c-94cb-201c594fc53a_Extended_MSFT_Method">
    <vt:lpwstr>Automatic</vt:lpwstr>
  </property>
  <property fmtid="{D5CDD505-2E9C-101B-9397-08002B2CF9AE}" pid="16" name="MSIP_Label_8e953dd5-1b53-4742-b186-f2a38279ffcd_Enabled">
    <vt:lpwstr>True</vt:lpwstr>
  </property>
  <property fmtid="{D5CDD505-2E9C-101B-9397-08002B2CF9AE}" pid="17" name="MSIP_Label_8e953dd5-1b53-4742-b186-f2a38279ffcd_SiteId">
    <vt:lpwstr>1791a7f1-2629-474f-8283-d4da7899c3be</vt:lpwstr>
  </property>
  <property fmtid="{D5CDD505-2E9C-101B-9397-08002B2CF9AE}" pid="18" name="MSIP_Label_8e953dd5-1b53-4742-b186-f2a38279ffcd_Owner">
    <vt:lpwstr>CCHUPP@scc.virginia.gov</vt:lpwstr>
  </property>
  <property fmtid="{D5CDD505-2E9C-101B-9397-08002B2CF9AE}" pid="19" name="MSIP_Label_8e953dd5-1b53-4742-b186-f2a38279ffcd_SetDate">
    <vt:lpwstr>2021-04-09T09:40:30.0026728Z</vt:lpwstr>
  </property>
  <property fmtid="{D5CDD505-2E9C-101B-9397-08002B2CF9AE}" pid="20" name="MSIP_Label_8e953dd5-1b53-4742-b186-f2a38279ffcd_Name">
    <vt:lpwstr>Anyone</vt:lpwstr>
  </property>
  <property fmtid="{D5CDD505-2E9C-101B-9397-08002B2CF9AE}" pid="21" name="MSIP_Label_8e953dd5-1b53-4742-b186-f2a38279ffcd_Application">
    <vt:lpwstr>Microsoft Azure Information Protection</vt:lpwstr>
  </property>
  <property fmtid="{D5CDD505-2E9C-101B-9397-08002B2CF9AE}" pid="22" name="MSIP_Label_8e953dd5-1b53-4742-b186-f2a38279ffcd_ActionId">
    <vt:lpwstr>687d59c8-2ee8-4a53-9610-e2ebe106614e</vt:lpwstr>
  </property>
  <property fmtid="{D5CDD505-2E9C-101B-9397-08002B2CF9AE}" pid="23" name="MSIP_Label_8e953dd5-1b53-4742-b186-f2a38279ffcd_Parent">
    <vt:lpwstr>54cbfde1-7928-4a1c-94cb-201c594fc53a</vt:lpwstr>
  </property>
  <property fmtid="{D5CDD505-2E9C-101B-9397-08002B2CF9AE}" pid="24" name="MSIP_Label_8e953dd5-1b53-4742-b186-f2a38279ffcd_Extended_MSFT_Method">
    <vt:lpwstr>Automatic</vt:lpwstr>
  </property>
  <property fmtid="{D5CDD505-2E9C-101B-9397-08002B2CF9AE}" pid="25" name="Sensitivity">
    <vt:lpwstr>Confidential Anyone</vt:lpwstr>
  </property>
</Properties>
</file>