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803E7" w14:textId="77777777" w:rsidR="00C138CF" w:rsidRDefault="00C138CF" w:rsidP="00C138CF">
      <w:pPr>
        <w:rPr>
          <w:rFonts w:ascii="Aptos" w:hAnsi="Aptos"/>
        </w:rPr>
      </w:pPr>
      <w:r>
        <w:rPr>
          <w:rFonts w:ascii="Aptos" w:hAnsi="Aptos"/>
        </w:rPr>
        <w:t>Good morning Greg and Rachel,</w:t>
      </w:r>
    </w:p>
    <w:p w14:paraId="579A9F9D" w14:textId="77777777" w:rsidR="00C138CF" w:rsidRDefault="00C138CF" w:rsidP="00C138CF">
      <w:pPr>
        <w:rPr>
          <w:rFonts w:ascii="Aptos" w:hAnsi="Aptos"/>
        </w:rPr>
      </w:pPr>
    </w:p>
    <w:p w14:paraId="61EA3D0C" w14:textId="77777777" w:rsidR="00C138CF" w:rsidRDefault="00C138CF" w:rsidP="00C138CF">
      <w:pPr>
        <w:rPr>
          <w:rFonts w:ascii="Aptos" w:hAnsi="Aptos"/>
        </w:rPr>
      </w:pPr>
      <w:r>
        <w:rPr>
          <w:rFonts w:ascii="Aptos" w:hAnsi="Aptos"/>
        </w:rPr>
        <w:t>I appreciate the work that you and the Working Group as a whole are doing to revise the IALG. Thank you for the opportunity to provide suggestions and comments.</w:t>
      </w:r>
    </w:p>
    <w:p w14:paraId="7234EE97" w14:textId="77777777" w:rsidR="00C138CF" w:rsidRDefault="00C138CF" w:rsidP="00C138CF">
      <w:pPr>
        <w:rPr>
          <w:rFonts w:ascii="Aptos" w:hAnsi="Aptos"/>
        </w:rPr>
      </w:pPr>
    </w:p>
    <w:p w14:paraId="73B21302" w14:textId="77777777" w:rsidR="00C138CF" w:rsidRDefault="00C138CF" w:rsidP="00C138CF">
      <w:pPr>
        <w:rPr>
          <w:rFonts w:ascii="Aptos" w:hAnsi="Aptos"/>
        </w:rPr>
      </w:pPr>
      <w:r>
        <w:rPr>
          <w:rFonts w:ascii="Aptos" w:hAnsi="Aptos"/>
        </w:rPr>
        <w:t>After consulting with my staff, we offer the following for your consideration as a restructured presentation of the definition of “Designated Home State”:</w:t>
      </w:r>
    </w:p>
    <w:p w14:paraId="1190332F" w14:textId="77777777" w:rsidR="00C138CF" w:rsidRDefault="00C138CF" w:rsidP="00C138CF">
      <w:pPr>
        <w:rPr>
          <w:rFonts w:ascii="Aptos" w:hAnsi="Aptos"/>
        </w:rPr>
      </w:pPr>
    </w:p>
    <w:p w14:paraId="64084480" w14:textId="77777777" w:rsidR="00C138CF" w:rsidRDefault="00C138CF" w:rsidP="00C138CF">
      <w:pPr>
        <w:autoSpaceDE w:val="0"/>
        <w:autoSpaceDN w:val="0"/>
        <w:ind w:left="1079" w:right="355"/>
        <w:jc w:val="both"/>
        <w:rPr>
          <w:rFonts w:ascii="Aptos" w:hAnsi="Aptos"/>
        </w:rPr>
      </w:pPr>
      <w:r>
        <w:rPr>
          <w:rFonts w:ascii="Aptos" w:hAnsi="Aptos"/>
        </w:rPr>
        <w:t>“Designated Home State” means a qualifying state or territory of the United States that:</w:t>
      </w:r>
    </w:p>
    <w:p w14:paraId="2C38C5B5" w14:textId="77777777" w:rsidR="00C138CF" w:rsidRDefault="00C138CF" w:rsidP="00C138CF">
      <w:pPr>
        <w:autoSpaceDE w:val="0"/>
        <w:autoSpaceDN w:val="0"/>
        <w:spacing w:before="120"/>
        <w:ind w:left="1440" w:right="360" w:hanging="360"/>
        <w:rPr>
          <w:rFonts w:ascii="Aptos" w:hAnsi="Aptos"/>
        </w:rPr>
      </w:pPr>
      <w:r>
        <w:rPr>
          <w:rFonts w:ascii="Aptos" w:hAnsi="Aptos"/>
        </w:rPr>
        <w:t xml:space="preserve">(1)  issues independent adjuster </w:t>
      </w:r>
      <w:proofErr w:type="gramStart"/>
      <w:r>
        <w:rPr>
          <w:rFonts w:ascii="Aptos" w:hAnsi="Aptos"/>
        </w:rPr>
        <w:t>licenses;</w:t>
      </w:r>
      <w:proofErr w:type="gramEnd"/>
    </w:p>
    <w:p w14:paraId="1905771D" w14:textId="77777777" w:rsidR="00C138CF" w:rsidRDefault="00C138CF" w:rsidP="00C138CF">
      <w:pPr>
        <w:autoSpaceDE w:val="0"/>
        <w:autoSpaceDN w:val="0"/>
        <w:spacing w:before="120"/>
        <w:ind w:left="1440" w:right="360" w:hanging="360"/>
        <w:rPr>
          <w:rFonts w:ascii="Aptos" w:hAnsi="Aptos"/>
        </w:rPr>
      </w:pPr>
      <w:r>
        <w:rPr>
          <w:rFonts w:ascii="Aptos" w:hAnsi="Aptos"/>
        </w:rPr>
        <w:t>(2)  requires its resident independent adjusters to (a) pass a license examination to meet the knowledge qualification, (b) undergo a national criminal background check to meet the fitness and character qualification, and (c) complete continuing education as required in this Guideline to ensure continued compliance; and</w:t>
      </w:r>
    </w:p>
    <w:p w14:paraId="01B75C85" w14:textId="77777777" w:rsidR="00C138CF" w:rsidRDefault="00C138CF" w:rsidP="00C138CF">
      <w:pPr>
        <w:autoSpaceDE w:val="0"/>
        <w:autoSpaceDN w:val="0"/>
        <w:spacing w:before="120"/>
        <w:ind w:left="1440" w:right="360" w:hanging="360"/>
        <w:rPr>
          <w:rFonts w:ascii="Aptos" w:hAnsi="Aptos"/>
        </w:rPr>
      </w:pPr>
      <w:r>
        <w:rPr>
          <w:rFonts w:ascii="Aptos" w:hAnsi="Aptos"/>
        </w:rPr>
        <w:t>(3)  will permit its designation as the home state of a nonresident who resides in a state that does not license independent adjusters, if that nonresident meets the same application requirements that its residents must meet.</w:t>
      </w:r>
    </w:p>
    <w:p w14:paraId="72650AA4" w14:textId="77777777" w:rsidR="00C138CF" w:rsidRDefault="00C138CF" w:rsidP="00C138CF">
      <w:pPr>
        <w:rPr>
          <w:rFonts w:ascii="Aptos" w:hAnsi="Aptos"/>
        </w:rPr>
      </w:pPr>
    </w:p>
    <w:p w14:paraId="29563BDB" w14:textId="77777777" w:rsidR="00C138CF" w:rsidRDefault="00C138CF" w:rsidP="00C138CF">
      <w:pPr>
        <w:rPr>
          <w:rFonts w:ascii="Aptos" w:hAnsi="Aptos"/>
        </w:rPr>
      </w:pPr>
      <w:r>
        <w:rPr>
          <w:rFonts w:ascii="Aptos" w:hAnsi="Aptos"/>
        </w:rPr>
        <w:t>Best regards,</w:t>
      </w:r>
    </w:p>
    <w:p w14:paraId="6C42F7EE" w14:textId="77777777" w:rsidR="00C138CF" w:rsidRDefault="00C138CF" w:rsidP="00C138CF">
      <w:pPr>
        <w:rPr>
          <w:rFonts w:ascii="Aptos" w:hAnsi="Aptos"/>
        </w:rPr>
      </w:pPr>
      <w:r>
        <w:rPr>
          <w:rFonts w:ascii="Aptos" w:hAnsi="Aptos"/>
        </w:rPr>
        <w:t>Pete</w:t>
      </w:r>
    </w:p>
    <w:p w14:paraId="602E4837" w14:textId="77777777" w:rsidR="00C138CF" w:rsidRDefault="00C138CF" w:rsidP="00C138CF">
      <w:pPr>
        <w:rPr>
          <w:rFonts w:ascii="Aptos" w:hAnsi="Aptos"/>
        </w:rPr>
      </w:pPr>
    </w:p>
    <w:p w14:paraId="6A954F67" w14:textId="77777777" w:rsidR="00C138CF" w:rsidRDefault="00C138CF" w:rsidP="00C138CF">
      <w:pPr>
        <w:rPr>
          <w:rFonts w:ascii="Franklin Gothic Book" w:hAnsi="Franklin Gothic Book"/>
          <w14:ligatures w14:val="none"/>
        </w:rPr>
      </w:pPr>
      <w:r>
        <w:rPr>
          <w:rFonts w:ascii="Franklin Gothic Book" w:hAnsi="Franklin Gothic Book"/>
          <w:b/>
          <w:bCs/>
          <w14:ligatures w14:val="none"/>
        </w:rPr>
        <w:t>Peter Bratsch, APIR</w:t>
      </w:r>
    </w:p>
    <w:p w14:paraId="7D14120F" w14:textId="77777777" w:rsidR="00C138CF" w:rsidRDefault="00C138CF" w:rsidP="00C138CF">
      <w:pPr>
        <w:rPr>
          <w:rFonts w:ascii="Franklin Gothic Book" w:hAnsi="Franklin Gothic Book"/>
          <w14:ligatures w14:val="none"/>
        </w:rPr>
      </w:pPr>
      <w:r>
        <w:rPr>
          <w:rFonts w:ascii="Franklin Gothic Book" w:hAnsi="Franklin Gothic Book"/>
          <w14:ligatures w14:val="none"/>
        </w:rPr>
        <w:t>Licensing Director</w:t>
      </w:r>
    </w:p>
    <w:p w14:paraId="0605BC05" w14:textId="77777777" w:rsidR="00C138CF" w:rsidRDefault="00C138CF" w:rsidP="00C138CF">
      <w:pPr>
        <w:rPr>
          <w:rFonts w:ascii="Franklin Gothic Book" w:hAnsi="Franklin Gothic Book"/>
          <w14:ligatures w14:val="none"/>
        </w:rPr>
      </w:pPr>
      <w:r>
        <w:rPr>
          <w:rFonts w:ascii="Franklin Gothic Book" w:hAnsi="Franklin Gothic Book"/>
          <w14:ligatures w14:val="none"/>
        </w:rPr>
        <w:t>651-539-1585</w:t>
      </w:r>
    </w:p>
    <w:p w14:paraId="250AB4F4" w14:textId="77777777" w:rsidR="00C138CF" w:rsidRDefault="00C138CF" w:rsidP="00C138CF">
      <w:pPr>
        <w:rPr>
          <w:rFonts w:ascii="Aptos" w:hAnsi="Aptos"/>
          <w:color w:val="1F497D"/>
          <w14:ligatures w14:val="none"/>
        </w:rPr>
      </w:pPr>
      <w:hyperlink r:id="rId7" w:history="1">
        <w:r>
          <w:rPr>
            <w:rStyle w:val="Hyperlink"/>
            <w:rFonts w:ascii="Aptos" w:hAnsi="Aptos"/>
            <w:color w:val="0000FF"/>
            <w14:ligatures w14:val="none"/>
          </w:rPr>
          <w:t>mn.gov/commerce</w:t>
        </w:r>
      </w:hyperlink>
    </w:p>
    <w:p w14:paraId="26CCC3C4" w14:textId="77777777" w:rsidR="00C138CF" w:rsidRDefault="00C138CF" w:rsidP="00C138CF">
      <w:pPr>
        <w:rPr>
          <w:rFonts w:ascii="Aptos" w:hAnsi="Aptos"/>
          <w14:ligatures w14:val="none"/>
        </w:rPr>
      </w:pPr>
      <w:r>
        <w:rPr>
          <w:rFonts w:ascii="Aptos" w:hAnsi="Aptos"/>
          <w14:ligatures w14:val="none"/>
        </w:rPr>
        <w:t xml:space="preserve">Minnesota Department of Commerce </w:t>
      </w:r>
    </w:p>
    <w:p w14:paraId="187F08DA" w14:textId="77777777" w:rsidR="00C138CF" w:rsidRDefault="00C138CF" w:rsidP="00C138CF">
      <w:pPr>
        <w:spacing w:after="240"/>
        <w:rPr>
          <w:rFonts w:ascii="Aptos" w:hAnsi="Aptos"/>
          <w:color w:val="1F497D"/>
          <w14:ligatures w14:val="none"/>
        </w:rPr>
      </w:pPr>
      <w:r>
        <w:rPr>
          <w:rFonts w:ascii="Aptos" w:hAnsi="Aptos"/>
          <w14:ligatures w14:val="none"/>
        </w:rPr>
        <w:t xml:space="preserve">85 7th Place East, Suite 280 | Saint Paul, MN 55101 </w:t>
      </w:r>
    </w:p>
    <w:p w14:paraId="5C835415" w14:textId="3F337A7E" w:rsidR="00C138CF" w:rsidRDefault="00C138CF" w:rsidP="00C138CF">
      <w:pPr>
        <w:spacing w:after="240"/>
        <w:rPr>
          <w:rFonts w:ascii="Aptos" w:hAnsi="Aptos"/>
          <w14:ligatures w14:val="none"/>
        </w:rPr>
      </w:pPr>
      <w:r>
        <w:rPr>
          <w:rFonts w:ascii="Aptos" w:hAnsi="Aptos"/>
          <w:noProof/>
          <w14:ligatures w14:val="none"/>
        </w:rPr>
        <w:drawing>
          <wp:inline distT="0" distB="0" distL="0" distR="0" wp14:anchorId="0907691C" wp14:editId="66E6CC2B">
            <wp:extent cx="2819400" cy="428625"/>
            <wp:effectExtent l="0" t="0" r="0" b="9525"/>
            <wp:docPr id="9286793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BD61D" w14:textId="77777777" w:rsidR="00780687" w:rsidRDefault="00780687"/>
    <w:sectPr w:rsidR="00780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8CF"/>
    <w:rsid w:val="00004744"/>
    <w:rsid w:val="00084371"/>
    <w:rsid w:val="000A25E0"/>
    <w:rsid w:val="001700B0"/>
    <w:rsid w:val="001F6661"/>
    <w:rsid w:val="00417D27"/>
    <w:rsid w:val="00780687"/>
    <w:rsid w:val="009F484C"/>
    <w:rsid w:val="00C1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17DA9"/>
  <w15:chartTrackingRefBased/>
  <w15:docId w15:val="{8F6977FB-FA85-4902-81B0-0B489EDA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8CF"/>
    <w:pPr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38C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8C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8C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8C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8C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8C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8C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8C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8C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8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8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8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8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8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8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8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8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8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8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8C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3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8CF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138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8CF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138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8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8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8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138C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://mn.gov/commerc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cid:image006.png@01DCF71F.9C926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2026-06-24T18:46:25+00:00</_EndDate>
    <StartDate xmlns="http://schemas.microsoft.com/sharepoint/v3">2026-06-24T18:46:25+00:00</StartDate>
    <Date xmlns="55eb7663-75cc-4f64-9609-52561375e7a6" xsi:nil="true"/>
    <Location xmlns="http://schemas.microsoft.com/sharepoint/v3/fields" xsi:nil="true"/>
    <Meeting_x0020_Type xmlns="734dc620-9a3c-4363-b6b2-552d0a5c0a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4" ma:contentTypeDescription="Create a new document." ma:contentTypeScope="" ma:versionID="e380f9955b4208ba635c5e24eac43a16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39470062fe3424c71532fd57740563bd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3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68FCD5-07D4-4D01-A463-6EE73B2F60FB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5eb7663-75cc-4f64-9609-52561375e7a6"/>
    <ds:schemaRef ds:uri="http://schemas.microsoft.com/sharepoint/v3"/>
    <ds:schemaRef ds:uri="http://schemas.microsoft.com/sharepoint/v3/fields"/>
    <ds:schemaRef ds:uri="734dc620-9a3c-4363-b6b2-552d0a5c0ad8"/>
  </ds:schemaRefs>
</ds:datastoreItem>
</file>

<file path=customXml/itemProps2.xml><?xml version="1.0" encoding="utf-8"?>
<ds:datastoreItem xmlns:ds="http://schemas.openxmlformats.org/officeDocument/2006/customXml" ds:itemID="{450126BD-1880-43E3-A931-E70746A408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ECA8C9-D4DB-4D76-A720-D340A2169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1012</Characters>
  <Application>Microsoft Office Word</Application>
  <DocSecurity>0</DocSecurity>
  <Lines>30</Lines>
  <Paragraphs>15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Welker, Greg</dc:creator>
  <cp:keywords/>
  <dc:description/>
  <cp:lastModifiedBy>Welker, Greg</cp:lastModifiedBy>
  <cp:revision>3</cp:revision>
  <dcterms:created xsi:type="dcterms:W3CDTF">2026-06-24T19:02:00Z</dcterms:created>
  <dcterms:modified xsi:type="dcterms:W3CDTF">2026-06-24T19:02:00Z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MediaServiceImageTags">
    <vt:lpwstr/>
  </property>
</Properties>
</file>