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7709" w14:textId="70F631C0" w:rsidR="00780687" w:rsidRPr="00E75AE0" w:rsidRDefault="00C87283">
      <w:pPr>
        <w:spacing w:after="0"/>
        <w:jc w:val="right"/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>Attachment --</w:t>
      </w:r>
      <w:r w:rsidRPr="00E75AE0">
        <w:rPr>
          <w:rFonts w:ascii="Calibri" w:hAnsi="Calibri" w:cs="Calibri"/>
          <w:sz w:val="22"/>
          <w:szCs w:val="22"/>
        </w:rPr>
        <w:br/>
        <w:t>Producer Licensing (D) Task Force</w:t>
      </w:r>
      <w:r w:rsidRPr="00E75AE0">
        <w:rPr>
          <w:rFonts w:ascii="Calibri" w:hAnsi="Calibri" w:cs="Calibri"/>
          <w:sz w:val="22"/>
          <w:szCs w:val="22"/>
        </w:rPr>
        <w:br/>
      </w:r>
      <w:r w:rsidR="009976B2">
        <w:rPr>
          <w:rFonts w:ascii="Calibri" w:hAnsi="Calibri" w:cs="Calibri"/>
          <w:sz w:val="22"/>
          <w:szCs w:val="22"/>
        </w:rPr>
        <w:t>XX</w:t>
      </w:r>
      <w:r w:rsidRPr="00E75AE0">
        <w:rPr>
          <w:rFonts w:ascii="Calibri" w:hAnsi="Calibri" w:cs="Calibri"/>
          <w:sz w:val="22"/>
          <w:szCs w:val="22"/>
        </w:rPr>
        <w:t>/XX/26</w:t>
      </w:r>
    </w:p>
    <w:p w14:paraId="5D8582C0" w14:textId="77777777" w:rsidR="00C87283" w:rsidRPr="00E75AE0" w:rsidRDefault="00C87283">
      <w:pPr>
        <w:spacing w:after="320"/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>Draft: 9/22/26</w:t>
      </w:r>
    </w:p>
    <w:p w14:paraId="031BD986" w14:textId="77777777" w:rsidR="00C87283" w:rsidRPr="00E75AE0" w:rsidRDefault="00C87283">
      <w:pPr>
        <w:spacing w:after="320"/>
        <w:jc w:val="center"/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>Producer Licensing Uniformity (D) Working Group</w:t>
      </w:r>
      <w:r w:rsidRPr="00E75AE0">
        <w:rPr>
          <w:rFonts w:ascii="Calibri" w:hAnsi="Calibri" w:cs="Calibri"/>
          <w:sz w:val="22"/>
          <w:szCs w:val="22"/>
        </w:rPr>
        <w:br/>
        <w:t>Virtual Meeting</w:t>
      </w:r>
      <w:r w:rsidRPr="00E75AE0">
        <w:rPr>
          <w:rFonts w:ascii="Calibri" w:hAnsi="Calibri" w:cs="Calibri"/>
          <w:sz w:val="22"/>
          <w:szCs w:val="22"/>
        </w:rPr>
        <w:br/>
        <w:t>September 15, 2026</w:t>
      </w:r>
    </w:p>
    <w:p w14:paraId="4D8D8BC8" w14:textId="77777777" w:rsidR="00780687" w:rsidRPr="00E75AE0" w:rsidRDefault="008019E8" w:rsidP="00026369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>The Producer Licensing Uniformity (D) Working Group of the Producer Licensing (D) Task Force met Sept. 15, 2026. The following</w:t>
      </w:r>
      <w:r w:rsidRPr="00E75AE0">
        <w:rPr>
          <w:rFonts w:ascii="Calibri" w:hAnsi="Calibri" w:cs="Calibri"/>
          <w:sz w:val="22"/>
          <w:szCs w:val="22"/>
        </w:rPr>
        <w:t xml:space="preserve"> members participated: Kevin Schlautman, Chair (NE); Jill Huisken, Vice Chair (MI); Kayla Erickson (AK); Charlene Ferguson (CA); Eric Fletcher (ID); Monicka Richmeier (KS); Shelley Taylor-Barnes (MD); Vanessa Miller (MS); Victoria Baca (NM); Joe Wall (NC); Susan Daou (ND); Lindsey Jones (OH); Courtney Khodabakhsh (OK); Sue Yerges (SD); Randy Overstreet (UT); Richard Tozer (VA); Nicole Rayl (WA); Melody Esquivel (WI); and Lisa Hastings (WY). Also participating were Jacob Roberts (NV) and Shauna Pike (MA).</w:t>
      </w:r>
      <w:r>
        <w:rPr>
          <w:rFonts w:ascii="Calibri" w:hAnsi="Calibri" w:cs="Calibri"/>
          <w:sz w:val="22"/>
          <w:szCs w:val="22"/>
        </w:rPr>
        <w:br/>
      </w:r>
    </w:p>
    <w:p w14:paraId="68878947" w14:textId="77777777" w:rsidR="00C87283" w:rsidRPr="00E75AE0" w:rsidRDefault="00C87283">
      <w:pPr>
        <w:spacing w:after="80"/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1. </w:t>
      </w:r>
      <w:r w:rsidRPr="00552480">
        <w:rPr>
          <w:rFonts w:ascii="Calibri" w:hAnsi="Calibri" w:cs="Calibri"/>
          <w:sz w:val="22"/>
          <w:szCs w:val="22"/>
          <w:u w:val="single"/>
        </w:rPr>
        <w:t>Adopted its Aug. 25 Minutes</w:t>
      </w:r>
    </w:p>
    <w:p w14:paraId="1A53FFDD" w14:textId="77777777" w:rsidR="00780687" w:rsidRPr="00E75AE0" w:rsidRDefault="008019E8" w:rsidP="0058004D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The Working Group met Aug. 25 and </w:t>
      </w:r>
      <w:r w:rsidRPr="00E75AE0">
        <w:rPr>
          <w:rFonts w:ascii="Calibri" w:hAnsi="Calibri" w:cs="Calibri"/>
          <w:sz w:val="22"/>
          <w:szCs w:val="22"/>
        </w:rPr>
        <w:t xml:space="preserve">adopted its July 21 minutes; </w:t>
      </w:r>
      <w:r w:rsidRPr="00E75AE0">
        <w:rPr>
          <w:rFonts w:ascii="Calibri" w:hAnsi="Calibri" w:cs="Calibri"/>
          <w:sz w:val="22"/>
          <w:szCs w:val="22"/>
        </w:rPr>
        <w:t xml:space="preserve">discussed the State Licensing Handbook (Handbook), including Chapter 19—Bail Bond Agents and Chapter 24—Managing General Agents; and </w:t>
      </w:r>
      <w:r w:rsidRPr="00E75AE0">
        <w:rPr>
          <w:rFonts w:ascii="Calibri" w:hAnsi="Calibri" w:cs="Calibri"/>
          <w:sz w:val="22"/>
          <w:szCs w:val="22"/>
        </w:rPr>
        <w:t>discussed the Uniform Licensing Standards (ULS) chart results.</w:t>
      </w:r>
    </w:p>
    <w:p w14:paraId="1160D186" w14:textId="77777777" w:rsidR="00B64E5A" w:rsidRDefault="00B64E5A">
      <w:r>
        <w:rPr>
          <w:rFonts w:ascii="Calibri" w:hAnsi="Calibri" w:cs="Calibri"/>
          <w:sz w:val="22"/>
          <w:szCs w:val="22"/>
        </w:rPr>
        <w:t>Richmeier made a motion, seconded by Khodabakhsh, to adopt the Working Group’s Aug. 25 minutes (Attachment --). The motion passed unanimously.</w:t>
      </w:r>
    </w:p>
    <w:p w14:paraId="21DAB344" w14:textId="77777777" w:rsidR="00C87283" w:rsidRPr="00E75AE0" w:rsidRDefault="00C87283">
      <w:pPr>
        <w:spacing w:after="80"/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2. </w:t>
      </w:r>
      <w:r w:rsidRPr="00552480">
        <w:rPr>
          <w:rFonts w:ascii="Calibri" w:hAnsi="Calibri" w:cs="Calibri"/>
          <w:sz w:val="22"/>
          <w:szCs w:val="22"/>
          <w:u w:val="single"/>
        </w:rPr>
        <w:t>Discussed the State Licensing Handbook</w:t>
      </w:r>
    </w:p>
    <w:p w14:paraId="22B390A4" w14:textId="77777777" w:rsidR="00780687" w:rsidRPr="00E75AE0" w:rsidRDefault="008019E8" w:rsidP="00DA235B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Schlautman said the Working Group </w:t>
      </w:r>
      <w:r w:rsidR="00761ACA" w:rsidRPr="00761ACA">
        <w:rPr>
          <w:rFonts w:ascii="Calibri" w:hAnsi="Calibri" w:cs="Calibri"/>
          <w:sz w:val="22"/>
          <w:szCs w:val="22"/>
        </w:rPr>
        <w:t>planned</w:t>
      </w:r>
      <w:r w:rsidRPr="00E75AE0">
        <w:rPr>
          <w:rFonts w:ascii="Calibri" w:hAnsi="Calibri" w:cs="Calibri"/>
          <w:sz w:val="22"/>
          <w:szCs w:val="22"/>
        </w:rPr>
        <w:t xml:space="preserve"> to finalize the remaining Handbook chapters </w:t>
      </w:r>
      <w:r w:rsidR="00761ACA" w:rsidRPr="00761ACA">
        <w:rPr>
          <w:rFonts w:ascii="Calibri" w:hAnsi="Calibri" w:cs="Calibri"/>
          <w:sz w:val="22"/>
          <w:szCs w:val="22"/>
        </w:rPr>
        <w:t>for presentation</w:t>
      </w:r>
      <w:r w:rsidRPr="00E75AE0">
        <w:rPr>
          <w:rFonts w:ascii="Calibri" w:hAnsi="Calibri" w:cs="Calibri"/>
          <w:sz w:val="22"/>
          <w:szCs w:val="22"/>
        </w:rPr>
        <w:t xml:space="preserve"> to the Producer Licensing (D) Task Force </w:t>
      </w:r>
      <w:r>
        <w:rPr>
          <w:rFonts w:ascii="Calibri" w:hAnsi="Calibri" w:cs="Calibri"/>
          <w:sz w:val="22"/>
          <w:szCs w:val="22"/>
        </w:rPr>
        <w:t>in</w:t>
      </w:r>
      <w:r w:rsidRPr="00E75AE0">
        <w:rPr>
          <w:rFonts w:ascii="Calibri" w:hAnsi="Calibri" w:cs="Calibri"/>
          <w:sz w:val="22"/>
          <w:szCs w:val="22"/>
        </w:rPr>
        <w:t xml:space="preserve"> October</w:t>
      </w:r>
      <w:r w:rsidRPr="00E75AE0">
        <w:rPr>
          <w:rFonts w:ascii="Calibri" w:hAnsi="Calibri" w:cs="Calibri"/>
          <w:sz w:val="22"/>
          <w:szCs w:val="22"/>
        </w:rPr>
        <w:t xml:space="preserve">, allowing the Task Force to expose the chapters </w:t>
      </w:r>
      <w:r w:rsidRPr="00E75AE0">
        <w:rPr>
          <w:rFonts w:ascii="Calibri" w:hAnsi="Calibri" w:cs="Calibri"/>
          <w:sz w:val="22"/>
          <w:szCs w:val="22"/>
        </w:rPr>
        <w:t>and consider adoption at the Fall National Meeting</w:t>
      </w:r>
      <w:r w:rsidR="00761ACA" w:rsidRPr="00761ACA">
        <w:rPr>
          <w:rFonts w:ascii="Calibri" w:hAnsi="Calibri" w:cs="Calibri"/>
          <w:sz w:val="22"/>
          <w:szCs w:val="22"/>
        </w:rPr>
        <w:t xml:space="preserve"> in November.</w:t>
      </w:r>
    </w:p>
    <w:p w14:paraId="3AC688AB" w14:textId="77777777" w:rsidR="00780687" w:rsidRPr="00E75AE0" w:rsidRDefault="008019E8" w:rsidP="00AB3921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Schlautman said he and Huisken incorporated </w:t>
      </w:r>
      <w:r w:rsidR="00BA3869" w:rsidRPr="00BA3869">
        <w:rPr>
          <w:rFonts w:ascii="Calibri" w:hAnsi="Calibri" w:cs="Calibri"/>
          <w:sz w:val="22"/>
          <w:szCs w:val="22"/>
        </w:rPr>
        <w:t xml:space="preserve">prior </w:t>
      </w:r>
      <w:r w:rsidRPr="00E75AE0">
        <w:rPr>
          <w:rFonts w:ascii="Calibri" w:hAnsi="Calibri" w:cs="Calibri"/>
          <w:sz w:val="22"/>
          <w:szCs w:val="22"/>
        </w:rPr>
        <w:t xml:space="preserve">feedback </w:t>
      </w:r>
      <w:r w:rsidRPr="00E75AE0">
        <w:rPr>
          <w:rFonts w:ascii="Calibri" w:hAnsi="Calibri" w:cs="Calibri"/>
          <w:sz w:val="22"/>
          <w:szCs w:val="22"/>
        </w:rPr>
        <w:t xml:space="preserve">into </w:t>
      </w:r>
      <w:r w:rsidR="00BA3869" w:rsidRPr="00BA3869">
        <w:rPr>
          <w:rFonts w:ascii="Calibri" w:hAnsi="Calibri" w:cs="Calibri"/>
          <w:sz w:val="22"/>
          <w:szCs w:val="22"/>
        </w:rPr>
        <w:t>Chapters</w:t>
      </w:r>
      <w:r w:rsidRPr="00E75AE0">
        <w:rPr>
          <w:rFonts w:ascii="Calibri" w:hAnsi="Calibri" w:cs="Calibri"/>
          <w:sz w:val="22"/>
          <w:szCs w:val="22"/>
        </w:rPr>
        <w:t xml:space="preserve"> 19—Bail Bond Agents and </w:t>
      </w:r>
      <w:r w:rsidRPr="00E75AE0">
        <w:rPr>
          <w:rFonts w:ascii="Calibri" w:hAnsi="Calibri" w:cs="Calibri"/>
          <w:sz w:val="22"/>
          <w:szCs w:val="22"/>
        </w:rPr>
        <w:t xml:space="preserve">24—Managing General Agents, </w:t>
      </w:r>
      <w:r w:rsidR="00BA3869" w:rsidRPr="00BA3869">
        <w:rPr>
          <w:rFonts w:ascii="Calibri" w:hAnsi="Calibri" w:cs="Calibri"/>
          <w:sz w:val="22"/>
          <w:szCs w:val="22"/>
        </w:rPr>
        <w:t>which</w:t>
      </w:r>
      <w:r w:rsidRPr="00E75AE0">
        <w:rPr>
          <w:rFonts w:ascii="Calibri" w:hAnsi="Calibri" w:cs="Calibri"/>
          <w:sz w:val="22"/>
          <w:szCs w:val="22"/>
        </w:rPr>
        <w:t xml:space="preserve"> were posted to the Working </w:t>
      </w:r>
      <w:r w:rsidRPr="002465AC">
        <w:rPr>
          <w:rFonts w:ascii="Calibri" w:hAnsi="Calibri" w:cs="Calibri"/>
          <w:sz w:val="22"/>
          <w:szCs w:val="22"/>
        </w:rPr>
        <w:t>Group’s</w:t>
      </w:r>
      <w:r w:rsidRPr="00E75AE0">
        <w:rPr>
          <w:rFonts w:ascii="Calibri" w:hAnsi="Calibri" w:cs="Calibri"/>
          <w:sz w:val="22"/>
          <w:szCs w:val="22"/>
        </w:rPr>
        <w:t xml:space="preserve"> web page</w:t>
      </w:r>
      <w:r w:rsidRPr="002465AC">
        <w:rPr>
          <w:rFonts w:ascii="Calibri" w:hAnsi="Calibri" w:cs="Calibri"/>
          <w:sz w:val="22"/>
          <w:szCs w:val="22"/>
        </w:rPr>
        <w:t>.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Chapter 19 </w:t>
      </w:r>
      <w:r w:rsidR="00BA3869" w:rsidRPr="00BA3869">
        <w:rPr>
          <w:rFonts w:ascii="Calibri" w:hAnsi="Calibri" w:cs="Calibri"/>
          <w:sz w:val="22"/>
          <w:szCs w:val="22"/>
        </w:rPr>
        <w:t>now uses</w:t>
      </w:r>
      <w:r w:rsidRPr="002465AC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generic wording and </w:t>
      </w:r>
      <w:r w:rsidRPr="002465AC">
        <w:rPr>
          <w:rFonts w:ascii="Calibri" w:hAnsi="Calibri" w:cs="Calibri"/>
          <w:sz w:val="22"/>
          <w:szCs w:val="22"/>
        </w:rPr>
        <w:t>“</w:t>
      </w:r>
      <w:r w:rsidRPr="00E75AE0">
        <w:rPr>
          <w:rFonts w:ascii="Calibri" w:hAnsi="Calibri" w:cs="Calibri"/>
          <w:sz w:val="22"/>
          <w:szCs w:val="22"/>
        </w:rPr>
        <w:t>bail bond agent</w:t>
      </w:r>
      <w:r w:rsidRPr="002465AC">
        <w:rPr>
          <w:rFonts w:ascii="Calibri" w:hAnsi="Calibri" w:cs="Calibri"/>
          <w:sz w:val="22"/>
          <w:szCs w:val="22"/>
        </w:rPr>
        <w:t>” consistently</w:t>
      </w:r>
      <w:r w:rsidR="00BA3869" w:rsidRPr="00BA3869">
        <w:rPr>
          <w:rFonts w:ascii="Calibri" w:hAnsi="Calibri" w:cs="Calibri"/>
          <w:sz w:val="22"/>
          <w:szCs w:val="22"/>
        </w:rPr>
        <w:t>, while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Chapter 24 </w:t>
      </w:r>
      <w:r w:rsidRPr="002465AC">
        <w:rPr>
          <w:rFonts w:ascii="Calibri" w:hAnsi="Calibri" w:cs="Calibri"/>
          <w:sz w:val="22"/>
          <w:szCs w:val="22"/>
        </w:rPr>
        <w:t>was</w:t>
      </w:r>
      <w:r w:rsidRPr="00E75AE0">
        <w:rPr>
          <w:rFonts w:ascii="Calibri" w:hAnsi="Calibri" w:cs="Calibri"/>
          <w:sz w:val="22"/>
          <w:szCs w:val="22"/>
        </w:rPr>
        <w:t xml:space="preserve"> aligned </w:t>
      </w:r>
      <w:r w:rsidRPr="00E75AE0">
        <w:rPr>
          <w:rFonts w:ascii="Calibri" w:hAnsi="Calibri" w:cs="Calibri"/>
          <w:sz w:val="22"/>
          <w:szCs w:val="22"/>
        </w:rPr>
        <w:t>with the Managing General Agents Act (#225</w:t>
      </w:r>
      <w:r w:rsidRPr="002465AC">
        <w:rPr>
          <w:rFonts w:ascii="Calibri" w:hAnsi="Calibri" w:cs="Calibri"/>
          <w:sz w:val="22"/>
          <w:szCs w:val="22"/>
        </w:rPr>
        <w:t>) by removing</w:t>
      </w:r>
      <w:r w:rsidRPr="00E75AE0">
        <w:rPr>
          <w:rFonts w:ascii="Calibri" w:hAnsi="Calibri" w:cs="Calibri"/>
          <w:sz w:val="22"/>
          <w:szCs w:val="22"/>
        </w:rPr>
        <w:t xml:space="preserve"> a duplicative exception and </w:t>
      </w:r>
      <w:r w:rsidRPr="002465AC">
        <w:rPr>
          <w:rFonts w:ascii="Calibri" w:hAnsi="Calibri" w:cs="Calibri"/>
          <w:sz w:val="22"/>
          <w:szCs w:val="22"/>
        </w:rPr>
        <w:t xml:space="preserve">making </w:t>
      </w:r>
      <w:r w:rsidRPr="00E75AE0">
        <w:rPr>
          <w:rFonts w:ascii="Calibri" w:hAnsi="Calibri" w:cs="Calibri"/>
          <w:sz w:val="22"/>
          <w:szCs w:val="22"/>
        </w:rPr>
        <w:t>conforming edits</w:t>
      </w:r>
      <w:r w:rsidRPr="002465AC">
        <w:rPr>
          <w:rFonts w:ascii="Calibri" w:hAnsi="Calibri" w:cs="Calibri"/>
          <w:sz w:val="22"/>
          <w:szCs w:val="22"/>
        </w:rPr>
        <w:t>.</w:t>
      </w:r>
      <w:r w:rsidRPr="00E75AE0">
        <w:rPr>
          <w:rFonts w:ascii="Calibri" w:hAnsi="Calibri" w:cs="Calibri"/>
          <w:sz w:val="22"/>
          <w:szCs w:val="22"/>
        </w:rPr>
        <w:t xml:space="preserve"> He asked members to review both </w:t>
      </w:r>
      <w:r w:rsidRPr="00E75AE0">
        <w:rPr>
          <w:rFonts w:ascii="Calibri" w:hAnsi="Calibri" w:cs="Calibri"/>
          <w:sz w:val="22"/>
          <w:szCs w:val="22"/>
        </w:rPr>
        <w:t>chapters.</w:t>
      </w:r>
    </w:p>
    <w:p w14:paraId="6C4650A8" w14:textId="77777777" w:rsidR="00780687" w:rsidRPr="00E75AE0" w:rsidRDefault="008019E8" w:rsidP="00AF3844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Schlautman said </w:t>
      </w:r>
      <w:r w:rsidRPr="00E75AE0">
        <w:rPr>
          <w:rFonts w:ascii="Calibri" w:hAnsi="Calibri" w:cs="Calibri"/>
          <w:sz w:val="22"/>
          <w:szCs w:val="22"/>
        </w:rPr>
        <w:t>Chapter 11—Appointments</w:t>
      </w:r>
      <w:r w:rsidRPr="009A5FD7">
        <w:rPr>
          <w:rFonts w:ascii="Calibri" w:hAnsi="Calibri" w:cs="Calibri"/>
          <w:sz w:val="22"/>
          <w:szCs w:val="22"/>
        </w:rPr>
        <w:t xml:space="preserve"> was revised to clarify that </w:t>
      </w:r>
      <w:r w:rsidRPr="00E75AE0">
        <w:rPr>
          <w:rFonts w:ascii="Calibri" w:hAnsi="Calibri" w:cs="Calibri"/>
          <w:sz w:val="22"/>
          <w:szCs w:val="22"/>
        </w:rPr>
        <w:t xml:space="preserve">business entity appointments </w:t>
      </w:r>
      <w:r w:rsidRPr="00E75AE0">
        <w:rPr>
          <w:rFonts w:ascii="Calibri" w:hAnsi="Calibri" w:cs="Calibri"/>
          <w:sz w:val="22"/>
          <w:szCs w:val="22"/>
        </w:rPr>
        <w:t xml:space="preserve">are optional and apply only </w:t>
      </w:r>
      <w:r w:rsidR="001F2313" w:rsidRPr="001F2313">
        <w:rPr>
          <w:rFonts w:ascii="Calibri" w:hAnsi="Calibri" w:cs="Calibri"/>
          <w:sz w:val="22"/>
          <w:szCs w:val="22"/>
        </w:rPr>
        <w:t>where required. The</w:t>
      </w:r>
      <w:r w:rsidRPr="00FC3B12">
        <w:rPr>
          <w:rFonts w:ascii="Calibri" w:hAnsi="Calibri" w:cs="Calibri"/>
          <w:sz w:val="22"/>
          <w:szCs w:val="22"/>
        </w:rPr>
        <w:t xml:space="preserve"> chapter continues to discourage sub-appointments</w:t>
      </w:r>
      <w:r w:rsidRPr="009A5FD7">
        <w:rPr>
          <w:rFonts w:ascii="Calibri" w:hAnsi="Calibri" w:cs="Calibri"/>
          <w:sz w:val="22"/>
          <w:szCs w:val="22"/>
        </w:rPr>
        <w:t>,</w:t>
      </w:r>
      <w:r w:rsidRPr="00FC3B12">
        <w:rPr>
          <w:rFonts w:ascii="Calibri" w:hAnsi="Calibri" w:cs="Calibri"/>
          <w:sz w:val="22"/>
          <w:szCs w:val="22"/>
        </w:rPr>
        <w:t xml:space="preserve"> </w:t>
      </w:r>
      <w:r w:rsidR="001F2313" w:rsidRPr="001F2313">
        <w:rPr>
          <w:rFonts w:ascii="Calibri" w:hAnsi="Calibri" w:cs="Calibri"/>
          <w:sz w:val="22"/>
          <w:szCs w:val="22"/>
        </w:rPr>
        <w:t>states</w:t>
      </w:r>
      <w:r w:rsidRPr="00FC3B12">
        <w:rPr>
          <w:rFonts w:ascii="Calibri" w:hAnsi="Calibri" w:cs="Calibri"/>
          <w:sz w:val="22"/>
          <w:szCs w:val="22"/>
        </w:rPr>
        <w:t xml:space="preserve"> that an appointed business entity’s lines of authority should match those of the designated </w:t>
      </w:r>
      <w:proofErr w:type="gramStart"/>
      <w:r w:rsidRPr="00FC3B12">
        <w:rPr>
          <w:rFonts w:ascii="Calibri" w:hAnsi="Calibri" w:cs="Calibri"/>
          <w:sz w:val="22"/>
          <w:szCs w:val="22"/>
        </w:rPr>
        <w:t>producer</w:t>
      </w:r>
      <w:r w:rsidRPr="009A5FD7">
        <w:rPr>
          <w:rFonts w:ascii="Calibri" w:hAnsi="Calibri" w:cs="Calibri"/>
          <w:sz w:val="22"/>
          <w:szCs w:val="22"/>
        </w:rPr>
        <w:t>, and</w:t>
      </w:r>
      <w:proofErr w:type="gramEnd"/>
      <w:r w:rsidRPr="009A5FD7">
        <w:rPr>
          <w:rFonts w:ascii="Calibri" w:hAnsi="Calibri" w:cs="Calibri"/>
          <w:sz w:val="22"/>
          <w:szCs w:val="22"/>
        </w:rPr>
        <w:t xml:space="preserve"> aligns</w:t>
      </w:r>
      <w:r w:rsidRPr="00E75AE0">
        <w:rPr>
          <w:rFonts w:ascii="Calibri" w:hAnsi="Calibri" w:cs="Calibri"/>
          <w:sz w:val="22"/>
          <w:szCs w:val="22"/>
        </w:rPr>
        <w:t xml:space="preserve"> the recommended best practices </w:t>
      </w:r>
      <w:r w:rsidRPr="00E75AE0">
        <w:rPr>
          <w:rFonts w:ascii="Calibri" w:hAnsi="Calibri" w:cs="Calibri"/>
          <w:sz w:val="22"/>
          <w:szCs w:val="22"/>
        </w:rPr>
        <w:t xml:space="preserve">with the business entity chapter. He asked members to review </w:t>
      </w:r>
      <w:r w:rsidRPr="00FC3B12">
        <w:rPr>
          <w:rFonts w:ascii="Calibri" w:hAnsi="Calibri" w:cs="Calibri"/>
          <w:sz w:val="22"/>
          <w:szCs w:val="22"/>
        </w:rPr>
        <w:t xml:space="preserve">the </w:t>
      </w:r>
      <w:r w:rsidR="001F2313" w:rsidRPr="001F2313">
        <w:rPr>
          <w:rFonts w:ascii="Calibri" w:hAnsi="Calibri" w:cs="Calibri"/>
          <w:sz w:val="22"/>
          <w:szCs w:val="22"/>
        </w:rPr>
        <w:t>revision</w:t>
      </w:r>
      <w:r w:rsidRPr="00E75AE0">
        <w:rPr>
          <w:rFonts w:ascii="Calibri" w:hAnsi="Calibri" w:cs="Calibri"/>
          <w:sz w:val="22"/>
          <w:szCs w:val="22"/>
        </w:rPr>
        <w:t>.</w:t>
      </w:r>
    </w:p>
    <w:p w14:paraId="3D2A297A" w14:textId="77777777" w:rsidR="00780687" w:rsidRPr="00E75AE0" w:rsidRDefault="008019E8" w:rsidP="00FB1446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Schlautman said Chapter 25—Multiple Employer Welfare Arrangements was distributed for comment, and Welker said no comments were received. </w:t>
      </w:r>
      <w:r w:rsidR="008B174A" w:rsidRPr="008B174A">
        <w:rPr>
          <w:rFonts w:ascii="Calibri" w:hAnsi="Calibri" w:cs="Calibri"/>
          <w:sz w:val="22"/>
          <w:szCs w:val="22"/>
        </w:rPr>
        <w:t>Richmeier supported</w:t>
      </w:r>
      <w:r w:rsidRPr="00E75AE0">
        <w:rPr>
          <w:rFonts w:ascii="Calibri" w:hAnsi="Calibri" w:cs="Calibri"/>
          <w:sz w:val="22"/>
          <w:szCs w:val="22"/>
        </w:rPr>
        <w:t xml:space="preserve"> the chapter </w:t>
      </w:r>
      <w:r w:rsidRPr="00E75AE0">
        <w:rPr>
          <w:rFonts w:ascii="Calibri" w:hAnsi="Calibri" w:cs="Calibri"/>
          <w:sz w:val="22"/>
          <w:szCs w:val="22"/>
        </w:rPr>
        <w:t>as written</w:t>
      </w:r>
      <w:r w:rsidR="008B174A" w:rsidRPr="008B174A">
        <w:rPr>
          <w:rFonts w:ascii="Calibri" w:hAnsi="Calibri" w:cs="Calibri"/>
          <w:sz w:val="22"/>
          <w:szCs w:val="22"/>
        </w:rPr>
        <w:t>, and</w:t>
      </w:r>
      <w:r w:rsidRPr="00E75AE0">
        <w:rPr>
          <w:rFonts w:ascii="Calibri" w:hAnsi="Calibri" w:cs="Calibri"/>
          <w:sz w:val="22"/>
          <w:szCs w:val="22"/>
        </w:rPr>
        <w:t xml:space="preserve"> the Working Group agreed to retain </w:t>
      </w:r>
      <w:r w:rsidR="008B174A" w:rsidRPr="008B174A">
        <w:rPr>
          <w:rFonts w:ascii="Calibri" w:hAnsi="Calibri" w:cs="Calibri"/>
          <w:sz w:val="22"/>
          <w:szCs w:val="22"/>
        </w:rPr>
        <w:t>it</w:t>
      </w:r>
      <w:r w:rsidRPr="00E75AE0">
        <w:rPr>
          <w:rFonts w:ascii="Calibri" w:hAnsi="Calibri" w:cs="Calibri"/>
          <w:sz w:val="22"/>
          <w:szCs w:val="22"/>
        </w:rPr>
        <w:t xml:space="preserve"> without revision.</w:t>
      </w:r>
    </w:p>
    <w:p w14:paraId="0F885358" w14:textId="77777777" w:rsidR="00780687" w:rsidRPr="00E75AE0" w:rsidRDefault="008019E8" w:rsidP="00754188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lastRenderedPageBreak/>
        <w:t xml:space="preserve">Schlautman said </w:t>
      </w:r>
      <w:r w:rsidRPr="008450CF">
        <w:rPr>
          <w:rFonts w:ascii="Calibri" w:hAnsi="Calibri" w:cs="Calibri"/>
          <w:sz w:val="22"/>
          <w:szCs w:val="22"/>
        </w:rPr>
        <w:t xml:space="preserve">Ohio submitted </w:t>
      </w:r>
      <w:r w:rsidRPr="00E75AE0">
        <w:rPr>
          <w:rFonts w:ascii="Calibri" w:hAnsi="Calibri" w:cs="Calibri"/>
          <w:sz w:val="22"/>
          <w:szCs w:val="22"/>
        </w:rPr>
        <w:t xml:space="preserve">the </w:t>
      </w:r>
      <w:r w:rsidRPr="008450CF">
        <w:rPr>
          <w:rFonts w:ascii="Calibri" w:hAnsi="Calibri" w:cs="Calibri"/>
          <w:sz w:val="22"/>
          <w:szCs w:val="22"/>
        </w:rPr>
        <w:t>only</w:t>
      </w:r>
      <w:r w:rsidRPr="00E75AE0">
        <w:rPr>
          <w:rFonts w:ascii="Calibri" w:hAnsi="Calibri" w:cs="Calibri"/>
          <w:sz w:val="22"/>
          <w:szCs w:val="22"/>
        </w:rPr>
        <w:t xml:space="preserve"> comment on Chapter 30—Viatical and Life Settlement Brokers</w:t>
      </w:r>
      <w:r w:rsidRPr="008450CF">
        <w:rPr>
          <w:rFonts w:ascii="Calibri" w:hAnsi="Calibri" w:cs="Calibri"/>
          <w:sz w:val="22"/>
          <w:szCs w:val="22"/>
        </w:rPr>
        <w:t xml:space="preserve">, </w:t>
      </w:r>
      <w:r w:rsidRPr="00454FB6">
        <w:rPr>
          <w:rFonts w:ascii="Calibri" w:hAnsi="Calibri" w:cs="Calibri"/>
          <w:sz w:val="22"/>
          <w:szCs w:val="22"/>
        </w:rPr>
        <w:t>proposing</w:t>
      </w:r>
      <w:r w:rsidRPr="008450CF">
        <w:rPr>
          <w:rFonts w:ascii="Calibri" w:hAnsi="Calibri" w:cs="Calibri"/>
          <w:sz w:val="22"/>
          <w:szCs w:val="22"/>
        </w:rPr>
        <w:t xml:space="preserve"> </w:t>
      </w:r>
      <w:r w:rsidR="00FD75FC" w:rsidRPr="00FD75FC">
        <w:rPr>
          <w:rFonts w:ascii="Calibri" w:hAnsi="Calibri" w:cs="Calibri"/>
          <w:sz w:val="22"/>
          <w:szCs w:val="22"/>
        </w:rPr>
        <w:t xml:space="preserve">the </w:t>
      </w:r>
      <w:r w:rsidRPr="008450CF">
        <w:rPr>
          <w:rFonts w:ascii="Calibri" w:hAnsi="Calibri" w:cs="Calibri"/>
          <w:sz w:val="22"/>
          <w:szCs w:val="22"/>
        </w:rPr>
        <w:t xml:space="preserve">removal of </w:t>
      </w:r>
      <w:r w:rsidRPr="00E75AE0">
        <w:rPr>
          <w:rFonts w:ascii="Calibri" w:hAnsi="Calibri" w:cs="Calibri"/>
          <w:sz w:val="22"/>
          <w:szCs w:val="22"/>
        </w:rPr>
        <w:t>historical references to model act versions and amendment dates</w:t>
      </w:r>
      <w:r w:rsidRPr="008450CF">
        <w:rPr>
          <w:rFonts w:ascii="Calibri" w:hAnsi="Calibri" w:cs="Calibri"/>
          <w:sz w:val="22"/>
          <w:szCs w:val="22"/>
        </w:rPr>
        <w:t>.</w:t>
      </w:r>
      <w:r w:rsidRPr="00E75AE0">
        <w:rPr>
          <w:rFonts w:ascii="Calibri" w:hAnsi="Calibri" w:cs="Calibri"/>
          <w:sz w:val="22"/>
          <w:szCs w:val="22"/>
        </w:rPr>
        <w:t xml:space="preserve"> Huisken said </w:t>
      </w:r>
      <w:r w:rsidRPr="00454FB6">
        <w:rPr>
          <w:rFonts w:ascii="Calibri" w:hAnsi="Calibri" w:cs="Calibri"/>
          <w:sz w:val="22"/>
          <w:szCs w:val="22"/>
        </w:rPr>
        <w:t xml:space="preserve">varying </w:t>
      </w:r>
      <w:r w:rsidRPr="00E75AE0">
        <w:rPr>
          <w:rFonts w:ascii="Calibri" w:hAnsi="Calibri" w:cs="Calibri"/>
          <w:sz w:val="22"/>
          <w:szCs w:val="22"/>
        </w:rPr>
        <w:t xml:space="preserve">state </w:t>
      </w:r>
      <w:r w:rsidRPr="00E75AE0">
        <w:rPr>
          <w:rFonts w:ascii="Calibri" w:hAnsi="Calibri" w:cs="Calibri"/>
          <w:sz w:val="22"/>
          <w:szCs w:val="22"/>
        </w:rPr>
        <w:t xml:space="preserve">adoption dates </w:t>
      </w:r>
      <w:r w:rsidRPr="00454FB6">
        <w:rPr>
          <w:rFonts w:ascii="Calibri" w:hAnsi="Calibri" w:cs="Calibri"/>
          <w:sz w:val="22"/>
          <w:szCs w:val="22"/>
        </w:rPr>
        <w:t>make</w:t>
      </w:r>
      <w:r w:rsidRPr="008450CF">
        <w:rPr>
          <w:rFonts w:ascii="Calibri" w:hAnsi="Calibri" w:cs="Calibri"/>
          <w:sz w:val="22"/>
          <w:szCs w:val="22"/>
        </w:rPr>
        <w:t xml:space="preserve"> the </w:t>
      </w:r>
      <w:r w:rsidRPr="00EE2AA7">
        <w:rPr>
          <w:rFonts w:ascii="Calibri" w:hAnsi="Calibri" w:cs="Calibri"/>
          <w:sz w:val="22"/>
          <w:szCs w:val="22"/>
        </w:rPr>
        <w:t xml:space="preserve">history </w:t>
      </w:r>
      <w:r w:rsidRPr="00454FB6">
        <w:rPr>
          <w:rFonts w:ascii="Calibri" w:hAnsi="Calibri" w:cs="Calibri"/>
          <w:sz w:val="22"/>
          <w:szCs w:val="22"/>
        </w:rPr>
        <w:t>useful for</w:t>
      </w:r>
      <w:r w:rsidRPr="00EE2AA7">
        <w:rPr>
          <w:rFonts w:ascii="Calibri" w:hAnsi="Calibri" w:cs="Calibri"/>
          <w:sz w:val="22"/>
          <w:szCs w:val="22"/>
        </w:rPr>
        <w:t xml:space="preserve"> identifying</w:t>
      </w:r>
      <w:r w:rsidRPr="00E75AE0">
        <w:rPr>
          <w:rFonts w:ascii="Calibri" w:hAnsi="Calibri" w:cs="Calibri"/>
          <w:sz w:val="22"/>
          <w:szCs w:val="22"/>
        </w:rPr>
        <w:t xml:space="preserve"> which </w:t>
      </w:r>
      <w:r w:rsidRPr="00EE2AA7">
        <w:rPr>
          <w:rFonts w:ascii="Calibri" w:hAnsi="Calibri" w:cs="Calibri"/>
          <w:sz w:val="22"/>
          <w:szCs w:val="22"/>
        </w:rPr>
        <w:t xml:space="preserve">model </w:t>
      </w:r>
      <w:r w:rsidRPr="00E75AE0">
        <w:rPr>
          <w:rFonts w:ascii="Calibri" w:hAnsi="Calibri" w:cs="Calibri"/>
          <w:sz w:val="22"/>
          <w:szCs w:val="22"/>
        </w:rPr>
        <w:t xml:space="preserve">version </w:t>
      </w:r>
      <w:r w:rsidRPr="00E75AE0">
        <w:rPr>
          <w:rFonts w:ascii="Calibri" w:hAnsi="Calibri" w:cs="Calibri"/>
          <w:sz w:val="22"/>
          <w:szCs w:val="22"/>
        </w:rPr>
        <w:t xml:space="preserve">a </w:t>
      </w:r>
      <w:r w:rsidRPr="00E75AE0">
        <w:rPr>
          <w:rFonts w:ascii="Calibri" w:hAnsi="Calibri" w:cs="Calibri"/>
          <w:sz w:val="22"/>
          <w:szCs w:val="22"/>
        </w:rPr>
        <w:t>state adopted</w:t>
      </w:r>
      <w:r w:rsidRPr="00EE2AA7">
        <w:rPr>
          <w:rFonts w:ascii="Calibri" w:hAnsi="Calibri" w:cs="Calibri"/>
          <w:sz w:val="22"/>
          <w:szCs w:val="22"/>
        </w:rPr>
        <w:t xml:space="preserve"> and </w:t>
      </w:r>
      <w:r w:rsidR="00FD75FC" w:rsidRPr="00FD75FC">
        <w:rPr>
          <w:rFonts w:ascii="Calibri" w:hAnsi="Calibri" w:cs="Calibri"/>
          <w:sz w:val="22"/>
          <w:szCs w:val="22"/>
        </w:rPr>
        <w:t xml:space="preserve">that the references </w:t>
      </w:r>
      <w:r w:rsidRPr="008450CF">
        <w:rPr>
          <w:rFonts w:ascii="Calibri" w:hAnsi="Calibri" w:cs="Calibri"/>
          <w:sz w:val="22"/>
          <w:szCs w:val="22"/>
        </w:rPr>
        <w:t>could not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454FB6">
        <w:rPr>
          <w:rFonts w:ascii="Calibri" w:hAnsi="Calibri" w:cs="Calibri"/>
          <w:sz w:val="22"/>
          <w:szCs w:val="22"/>
        </w:rPr>
        <w:t>be removed</w:t>
      </w:r>
      <w:r w:rsidRPr="00EE2AA7">
        <w:rPr>
          <w:rFonts w:ascii="Calibri" w:hAnsi="Calibri" w:cs="Calibri"/>
          <w:sz w:val="22"/>
          <w:szCs w:val="22"/>
        </w:rPr>
        <w:t xml:space="preserve"> without losing</w:t>
      </w:r>
      <w:r w:rsidRPr="00E75AE0">
        <w:rPr>
          <w:rFonts w:ascii="Calibri" w:hAnsi="Calibri" w:cs="Calibri"/>
          <w:sz w:val="22"/>
          <w:szCs w:val="22"/>
        </w:rPr>
        <w:t xml:space="preserve"> that context. </w:t>
      </w:r>
      <w:r w:rsidRPr="00EE2AA7">
        <w:rPr>
          <w:rFonts w:ascii="Calibri" w:hAnsi="Calibri" w:cs="Calibri"/>
          <w:sz w:val="22"/>
          <w:szCs w:val="22"/>
        </w:rPr>
        <w:t>Schlautman</w:t>
      </w:r>
      <w:r w:rsidRPr="008450CF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supported retaining </w:t>
      </w:r>
      <w:r w:rsidR="00FD75FC" w:rsidRPr="00FD75FC">
        <w:rPr>
          <w:rFonts w:ascii="Calibri" w:hAnsi="Calibri" w:cs="Calibri"/>
          <w:sz w:val="22"/>
          <w:szCs w:val="22"/>
        </w:rPr>
        <w:t>them</w:t>
      </w:r>
      <w:r w:rsidRPr="008450CF">
        <w:rPr>
          <w:rFonts w:ascii="Calibri" w:hAnsi="Calibri" w:cs="Calibri"/>
          <w:sz w:val="22"/>
          <w:szCs w:val="22"/>
        </w:rPr>
        <w:t>,</w:t>
      </w:r>
      <w:r w:rsidRPr="00E75AE0">
        <w:rPr>
          <w:rFonts w:ascii="Calibri" w:hAnsi="Calibri" w:cs="Calibri"/>
          <w:sz w:val="22"/>
          <w:szCs w:val="22"/>
        </w:rPr>
        <w:t xml:space="preserve"> subject to routine updates to commissioner references and other wordsmithing.</w:t>
      </w:r>
    </w:p>
    <w:p w14:paraId="40F05A5C" w14:textId="77777777" w:rsidR="00780687" w:rsidRPr="00E75AE0" w:rsidRDefault="008019E8" w:rsidP="002E1C2D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Ferguson said California </w:t>
      </w:r>
      <w:r w:rsidRPr="00E75AE0">
        <w:rPr>
          <w:rFonts w:ascii="Calibri" w:hAnsi="Calibri" w:cs="Calibri"/>
          <w:sz w:val="22"/>
          <w:szCs w:val="22"/>
        </w:rPr>
        <w:t>licenses only life settlement providers and brokers</w:t>
      </w:r>
      <w:r w:rsidRPr="008F31C1">
        <w:rPr>
          <w:rFonts w:ascii="Calibri" w:hAnsi="Calibri" w:cs="Calibri"/>
          <w:sz w:val="22"/>
          <w:szCs w:val="22"/>
        </w:rPr>
        <w:t xml:space="preserve"> and</w:t>
      </w:r>
      <w:r w:rsidRPr="00E75AE0">
        <w:rPr>
          <w:rFonts w:ascii="Calibri" w:hAnsi="Calibri" w:cs="Calibri"/>
          <w:sz w:val="22"/>
          <w:szCs w:val="22"/>
        </w:rPr>
        <w:t xml:space="preserve"> asked whether the model act title would be updated to include life settlements</w:t>
      </w:r>
      <w:r w:rsidRPr="008F31C1">
        <w:rPr>
          <w:rFonts w:ascii="Calibri" w:hAnsi="Calibri" w:cs="Calibri"/>
          <w:sz w:val="22"/>
          <w:szCs w:val="22"/>
        </w:rPr>
        <w:t>.</w:t>
      </w:r>
      <w:r w:rsidRPr="00E75AE0">
        <w:rPr>
          <w:rFonts w:ascii="Calibri" w:hAnsi="Calibri" w:cs="Calibri"/>
          <w:sz w:val="22"/>
          <w:szCs w:val="22"/>
        </w:rPr>
        <w:t xml:space="preserve"> She said California requires 15 hours of continuing education (CE) for </w:t>
      </w:r>
      <w:r w:rsidRPr="00E75AE0">
        <w:rPr>
          <w:rFonts w:ascii="Calibri" w:hAnsi="Calibri" w:cs="Calibri"/>
          <w:sz w:val="22"/>
          <w:szCs w:val="22"/>
        </w:rPr>
        <w:t>a life settlement broker</w:t>
      </w:r>
      <w:r w:rsidRPr="008F31C1">
        <w:rPr>
          <w:rFonts w:ascii="Calibri" w:hAnsi="Calibri" w:cs="Calibri"/>
          <w:sz w:val="22"/>
          <w:szCs w:val="22"/>
        </w:rPr>
        <w:t xml:space="preserve">-only </w:t>
      </w:r>
      <w:r w:rsidRPr="00E75AE0">
        <w:rPr>
          <w:rFonts w:ascii="Calibri" w:hAnsi="Calibri" w:cs="Calibri"/>
          <w:sz w:val="22"/>
          <w:szCs w:val="22"/>
        </w:rPr>
        <w:t>license</w:t>
      </w:r>
      <w:r w:rsidRPr="00E75AE0">
        <w:rPr>
          <w:rFonts w:ascii="Calibri" w:hAnsi="Calibri" w:cs="Calibri"/>
          <w:sz w:val="22"/>
          <w:szCs w:val="22"/>
        </w:rPr>
        <w:t xml:space="preserve"> but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8F31C1">
        <w:rPr>
          <w:rFonts w:ascii="Calibri" w:hAnsi="Calibri" w:cs="Calibri"/>
          <w:sz w:val="22"/>
          <w:szCs w:val="22"/>
        </w:rPr>
        <w:t>no</w:t>
      </w:r>
      <w:r w:rsidRPr="00E75AE0">
        <w:rPr>
          <w:rFonts w:ascii="Calibri" w:hAnsi="Calibri" w:cs="Calibri"/>
          <w:sz w:val="22"/>
          <w:szCs w:val="22"/>
        </w:rPr>
        <w:t xml:space="preserve"> separate CE when a life agent adds life settlement brokering</w:t>
      </w:r>
      <w:r w:rsidR="00F45841" w:rsidRPr="00F45841">
        <w:rPr>
          <w:rFonts w:ascii="Calibri" w:hAnsi="Calibri" w:cs="Calibri"/>
          <w:sz w:val="22"/>
          <w:szCs w:val="22"/>
        </w:rPr>
        <w:t>. She</w:t>
      </w:r>
      <w:r w:rsidRPr="00E75AE0">
        <w:rPr>
          <w:rFonts w:ascii="Calibri" w:hAnsi="Calibri" w:cs="Calibri"/>
          <w:sz w:val="22"/>
          <w:szCs w:val="22"/>
        </w:rPr>
        <w:t xml:space="preserve"> asked how other states address the issue. Schlautman said Nebraska continues to use viatical as a license type and </w:t>
      </w:r>
      <w:r w:rsidR="00F45841" w:rsidRPr="00F45841">
        <w:rPr>
          <w:rFonts w:ascii="Calibri" w:hAnsi="Calibri" w:cs="Calibri"/>
          <w:sz w:val="22"/>
          <w:szCs w:val="22"/>
        </w:rPr>
        <w:t xml:space="preserve">that </w:t>
      </w:r>
      <w:r w:rsidRPr="00E75AE0">
        <w:rPr>
          <w:rFonts w:ascii="Calibri" w:hAnsi="Calibri" w:cs="Calibri"/>
          <w:sz w:val="22"/>
          <w:szCs w:val="22"/>
        </w:rPr>
        <w:t xml:space="preserve">staff would </w:t>
      </w:r>
      <w:r w:rsidRPr="00E75AE0">
        <w:rPr>
          <w:rFonts w:ascii="Calibri" w:hAnsi="Calibri" w:cs="Calibri"/>
          <w:sz w:val="22"/>
          <w:szCs w:val="22"/>
        </w:rPr>
        <w:t xml:space="preserve">confirm the </w:t>
      </w:r>
      <w:r w:rsidRPr="008F31C1">
        <w:rPr>
          <w:rFonts w:ascii="Calibri" w:hAnsi="Calibri" w:cs="Calibri"/>
          <w:sz w:val="22"/>
          <w:szCs w:val="22"/>
        </w:rPr>
        <w:t xml:space="preserve">model’s </w:t>
      </w:r>
      <w:r w:rsidRPr="00E75AE0">
        <w:rPr>
          <w:rFonts w:ascii="Calibri" w:hAnsi="Calibri" w:cs="Calibri"/>
          <w:sz w:val="22"/>
          <w:szCs w:val="22"/>
        </w:rPr>
        <w:t>terminology</w:t>
      </w:r>
      <w:r w:rsidRPr="00E75AE0">
        <w:rPr>
          <w:rFonts w:ascii="Calibri" w:hAnsi="Calibri" w:cs="Calibri"/>
          <w:sz w:val="22"/>
          <w:szCs w:val="22"/>
        </w:rPr>
        <w:t>.</w:t>
      </w:r>
    </w:p>
    <w:p w14:paraId="3A178A92" w14:textId="77777777" w:rsidR="00780687" w:rsidRPr="00E75AE0" w:rsidRDefault="008019E8" w:rsidP="000A21A6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Huisken said Michigan uses </w:t>
      </w:r>
      <w:r w:rsidRPr="00E52C8F">
        <w:rPr>
          <w:rFonts w:ascii="Calibri" w:hAnsi="Calibri" w:cs="Calibri"/>
          <w:sz w:val="22"/>
          <w:szCs w:val="22"/>
        </w:rPr>
        <w:t>“</w:t>
      </w:r>
      <w:r w:rsidRPr="00E75AE0">
        <w:rPr>
          <w:rFonts w:ascii="Calibri" w:hAnsi="Calibri" w:cs="Calibri"/>
          <w:sz w:val="22"/>
          <w:szCs w:val="22"/>
        </w:rPr>
        <w:t>viatical settlement</w:t>
      </w:r>
      <w:r w:rsidRPr="00E52C8F">
        <w:rPr>
          <w:rFonts w:ascii="Calibri" w:hAnsi="Calibri" w:cs="Calibri"/>
          <w:sz w:val="22"/>
          <w:szCs w:val="22"/>
        </w:rPr>
        <w:t>”</w:t>
      </w:r>
      <w:r w:rsidRPr="00E75AE0">
        <w:rPr>
          <w:rFonts w:ascii="Calibri" w:hAnsi="Calibri" w:cs="Calibri"/>
          <w:sz w:val="22"/>
          <w:szCs w:val="22"/>
        </w:rPr>
        <w:t xml:space="preserve"> and </w:t>
      </w:r>
      <w:r w:rsidRPr="00E52C8F">
        <w:rPr>
          <w:rFonts w:ascii="Calibri" w:hAnsi="Calibri" w:cs="Calibri"/>
          <w:sz w:val="22"/>
          <w:szCs w:val="22"/>
        </w:rPr>
        <w:t>“</w:t>
      </w:r>
      <w:r w:rsidRPr="00E75AE0">
        <w:rPr>
          <w:rFonts w:ascii="Calibri" w:hAnsi="Calibri" w:cs="Calibri"/>
          <w:sz w:val="22"/>
          <w:szCs w:val="22"/>
        </w:rPr>
        <w:t>life settlement</w:t>
      </w:r>
      <w:r w:rsidRPr="00E52C8F">
        <w:rPr>
          <w:rFonts w:ascii="Calibri" w:hAnsi="Calibri" w:cs="Calibri"/>
          <w:sz w:val="22"/>
          <w:szCs w:val="22"/>
        </w:rPr>
        <w:t>”</w:t>
      </w:r>
      <w:r w:rsidRPr="00E75AE0">
        <w:rPr>
          <w:rFonts w:ascii="Calibri" w:hAnsi="Calibri" w:cs="Calibri"/>
          <w:sz w:val="22"/>
          <w:szCs w:val="22"/>
        </w:rPr>
        <w:t xml:space="preserve"> somewhat interchangeably</w:t>
      </w:r>
      <w:r w:rsidRPr="001D4054">
        <w:rPr>
          <w:rFonts w:ascii="Calibri" w:hAnsi="Calibri" w:cs="Calibri"/>
          <w:sz w:val="22"/>
          <w:szCs w:val="22"/>
        </w:rPr>
        <w:t>;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="00DB6DED" w:rsidRPr="00DB6DED">
        <w:rPr>
          <w:rFonts w:ascii="Calibri" w:hAnsi="Calibri" w:cs="Calibri"/>
          <w:sz w:val="22"/>
          <w:szCs w:val="22"/>
        </w:rPr>
        <w:t>the</w:t>
      </w:r>
      <w:r w:rsidRPr="00E75AE0">
        <w:rPr>
          <w:rFonts w:ascii="Calibri" w:hAnsi="Calibri" w:cs="Calibri"/>
          <w:sz w:val="22"/>
          <w:szCs w:val="22"/>
        </w:rPr>
        <w:t xml:space="preserve"> initial </w:t>
      </w:r>
      <w:r w:rsidR="00DB6DED" w:rsidRPr="00DB6DED">
        <w:rPr>
          <w:rFonts w:ascii="Calibri" w:hAnsi="Calibri" w:cs="Calibri"/>
          <w:sz w:val="22"/>
          <w:szCs w:val="22"/>
        </w:rPr>
        <w:t xml:space="preserve">sale of a </w:t>
      </w:r>
      <w:r w:rsidRPr="00E75AE0">
        <w:rPr>
          <w:rFonts w:ascii="Calibri" w:hAnsi="Calibri" w:cs="Calibri"/>
          <w:sz w:val="22"/>
          <w:szCs w:val="22"/>
        </w:rPr>
        <w:t>life</w:t>
      </w:r>
      <w:r w:rsidR="00DB6DED" w:rsidRPr="00DB6DED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>policy</w:t>
      </w:r>
      <w:r w:rsidRPr="00E23450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requires a life producer license, </w:t>
      </w:r>
      <w:r w:rsidRPr="00E52C8F">
        <w:rPr>
          <w:rFonts w:ascii="Calibri" w:hAnsi="Calibri" w:cs="Calibri"/>
          <w:sz w:val="22"/>
          <w:szCs w:val="22"/>
        </w:rPr>
        <w:t>while</w:t>
      </w:r>
      <w:r w:rsidRPr="00E75AE0">
        <w:rPr>
          <w:rFonts w:ascii="Calibri" w:hAnsi="Calibri" w:cs="Calibri"/>
          <w:sz w:val="22"/>
          <w:szCs w:val="22"/>
        </w:rPr>
        <w:t xml:space="preserve"> a viatical </w:t>
      </w:r>
      <w:r w:rsidRPr="00E23450">
        <w:rPr>
          <w:rFonts w:ascii="Calibri" w:hAnsi="Calibri" w:cs="Calibri"/>
          <w:sz w:val="22"/>
          <w:szCs w:val="22"/>
        </w:rPr>
        <w:t xml:space="preserve">requires </w:t>
      </w:r>
      <w:r w:rsidRPr="00E75AE0">
        <w:rPr>
          <w:rFonts w:ascii="Calibri" w:hAnsi="Calibri" w:cs="Calibri"/>
          <w:sz w:val="22"/>
          <w:szCs w:val="22"/>
        </w:rPr>
        <w:t xml:space="preserve">registration or licensure with the </w:t>
      </w:r>
      <w:r w:rsidRPr="00E75AE0">
        <w:rPr>
          <w:rFonts w:ascii="Calibri" w:hAnsi="Calibri" w:cs="Calibri"/>
          <w:sz w:val="22"/>
          <w:szCs w:val="22"/>
        </w:rPr>
        <w:t xml:space="preserve">securities division. Pike said Massachusetts </w:t>
      </w:r>
      <w:r w:rsidRPr="00E52C8F">
        <w:rPr>
          <w:rFonts w:ascii="Calibri" w:hAnsi="Calibri" w:cs="Calibri"/>
          <w:sz w:val="22"/>
          <w:szCs w:val="22"/>
        </w:rPr>
        <w:t>licenses life settlement brokers</w:t>
      </w:r>
      <w:r w:rsidRPr="001D4054">
        <w:rPr>
          <w:rFonts w:ascii="Calibri" w:hAnsi="Calibri" w:cs="Calibri"/>
          <w:sz w:val="22"/>
          <w:szCs w:val="22"/>
        </w:rPr>
        <w:t xml:space="preserve">, </w:t>
      </w:r>
      <w:r w:rsidRPr="00E75AE0">
        <w:rPr>
          <w:rFonts w:ascii="Calibri" w:hAnsi="Calibri" w:cs="Calibri"/>
          <w:sz w:val="22"/>
          <w:szCs w:val="22"/>
        </w:rPr>
        <w:t xml:space="preserve">no longer uses </w:t>
      </w:r>
      <w:r w:rsidRPr="00E52C8F">
        <w:rPr>
          <w:rFonts w:ascii="Calibri" w:hAnsi="Calibri" w:cs="Calibri"/>
          <w:sz w:val="22"/>
          <w:szCs w:val="22"/>
        </w:rPr>
        <w:t>“</w:t>
      </w:r>
      <w:r w:rsidRPr="00E75AE0">
        <w:rPr>
          <w:rFonts w:ascii="Calibri" w:hAnsi="Calibri" w:cs="Calibri"/>
          <w:sz w:val="22"/>
          <w:szCs w:val="22"/>
        </w:rPr>
        <w:t>viatical settlement</w:t>
      </w:r>
      <w:r w:rsidRPr="001D4054">
        <w:rPr>
          <w:rFonts w:ascii="Calibri" w:hAnsi="Calibri" w:cs="Calibri"/>
          <w:sz w:val="22"/>
          <w:szCs w:val="22"/>
        </w:rPr>
        <w:t xml:space="preserve">,” and </w:t>
      </w:r>
      <w:r w:rsidRPr="00E52C8F">
        <w:rPr>
          <w:rFonts w:ascii="Calibri" w:hAnsi="Calibri" w:cs="Calibri"/>
          <w:sz w:val="22"/>
          <w:szCs w:val="22"/>
        </w:rPr>
        <w:t>requires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B41EAC">
        <w:rPr>
          <w:rFonts w:ascii="Calibri" w:hAnsi="Calibri" w:cs="Calibri"/>
          <w:sz w:val="22"/>
          <w:szCs w:val="22"/>
        </w:rPr>
        <w:t xml:space="preserve">no separate </w:t>
      </w:r>
      <w:r w:rsidRPr="00E75AE0">
        <w:rPr>
          <w:rFonts w:ascii="Calibri" w:hAnsi="Calibri" w:cs="Calibri"/>
          <w:sz w:val="22"/>
          <w:szCs w:val="22"/>
        </w:rPr>
        <w:t xml:space="preserve">CE </w:t>
      </w:r>
      <w:r w:rsidRPr="00E75AE0">
        <w:rPr>
          <w:rFonts w:ascii="Calibri" w:hAnsi="Calibri" w:cs="Calibri"/>
          <w:sz w:val="22"/>
          <w:szCs w:val="22"/>
        </w:rPr>
        <w:t xml:space="preserve">for a </w:t>
      </w:r>
      <w:r w:rsidRPr="00B41EAC">
        <w:rPr>
          <w:rFonts w:ascii="Calibri" w:hAnsi="Calibri" w:cs="Calibri"/>
          <w:sz w:val="22"/>
          <w:szCs w:val="22"/>
        </w:rPr>
        <w:t xml:space="preserve">producer with a </w:t>
      </w:r>
      <w:proofErr w:type="gramStart"/>
      <w:r w:rsidRPr="00B41EAC">
        <w:rPr>
          <w:rFonts w:ascii="Calibri" w:hAnsi="Calibri" w:cs="Calibri"/>
          <w:sz w:val="22"/>
          <w:szCs w:val="22"/>
        </w:rPr>
        <w:t>life line</w:t>
      </w:r>
      <w:proofErr w:type="gramEnd"/>
      <w:r w:rsidRPr="00B41EAC">
        <w:rPr>
          <w:rFonts w:ascii="Calibri" w:hAnsi="Calibri" w:cs="Calibri"/>
          <w:sz w:val="22"/>
          <w:szCs w:val="22"/>
        </w:rPr>
        <w:t xml:space="preserve"> of authority but 15 hours for a broker-only license.</w:t>
      </w:r>
      <w:r w:rsidRPr="00E75AE0">
        <w:rPr>
          <w:rFonts w:ascii="Calibri" w:hAnsi="Calibri" w:cs="Calibri"/>
          <w:sz w:val="22"/>
          <w:szCs w:val="22"/>
        </w:rPr>
        <w:t xml:space="preserve"> Overstreet said Utah </w:t>
      </w:r>
      <w:r w:rsidRPr="001D4054">
        <w:rPr>
          <w:rFonts w:ascii="Calibri" w:hAnsi="Calibri" w:cs="Calibri"/>
          <w:sz w:val="22"/>
          <w:szCs w:val="22"/>
        </w:rPr>
        <w:t>treats</w:t>
      </w:r>
      <w:r w:rsidRPr="00E75AE0">
        <w:rPr>
          <w:rFonts w:ascii="Calibri" w:hAnsi="Calibri" w:cs="Calibri"/>
          <w:sz w:val="22"/>
          <w:szCs w:val="22"/>
        </w:rPr>
        <w:t xml:space="preserve"> life settlements as a </w:t>
      </w:r>
      <w:r w:rsidRPr="001D4054">
        <w:rPr>
          <w:rFonts w:ascii="Calibri" w:hAnsi="Calibri" w:cs="Calibri"/>
          <w:sz w:val="22"/>
          <w:szCs w:val="22"/>
        </w:rPr>
        <w:t>producer-</w:t>
      </w:r>
      <w:r w:rsidRPr="00E75AE0">
        <w:rPr>
          <w:rFonts w:ascii="Calibri" w:hAnsi="Calibri" w:cs="Calibri"/>
          <w:sz w:val="22"/>
          <w:szCs w:val="22"/>
        </w:rPr>
        <w:t>license</w:t>
      </w:r>
      <w:r w:rsidRPr="00E52C8F">
        <w:rPr>
          <w:rFonts w:ascii="Calibri" w:hAnsi="Calibri" w:cs="Calibri"/>
          <w:sz w:val="22"/>
          <w:szCs w:val="22"/>
        </w:rPr>
        <w:t xml:space="preserve"> </w:t>
      </w:r>
      <w:r w:rsidRPr="001D4054">
        <w:rPr>
          <w:rFonts w:ascii="Calibri" w:hAnsi="Calibri" w:cs="Calibri"/>
          <w:sz w:val="22"/>
          <w:szCs w:val="22"/>
        </w:rPr>
        <w:t xml:space="preserve">line of authority rather than a separate </w:t>
      </w:r>
      <w:r w:rsidRPr="00E52C8F">
        <w:rPr>
          <w:rFonts w:ascii="Calibri" w:hAnsi="Calibri" w:cs="Calibri"/>
          <w:sz w:val="22"/>
          <w:szCs w:val="22"/>
        </w:rPr>
        <w:t>license</w:t>
      </w:r>
      <w:r w:rsidRPr="001D4054">
        <w:rPr>
          <w:rFonts w:ascii="Calibri" w:hAnsi="Calibri" w:cs="Calibri"/>
          <w:sz w:val="22"/>
          <w:szCs w:val="22"/>
        </w:rPr>
        <w:t>, and its</w:t>
      </w:r>
      <w:r w:rsidRPr="00E75AE0">
        <w:rPr>
          <w:rFonts w:ascii="Calibri" w:hAnsi="Calibri" w:cs="Calibri"/>
          <w:sz w:val="22"/>
          <w:szCs w:val="22"/>
        </w:rPr>
        <w:t xml:space="preserve"> Life Settlements Act defines </w:t>
      </w:r>
      <w:r w:rsidRPr="00E75AE0">
        <w:rPr>
          <w:rFonts w:ascii="Calibri" w:hAnsi="Calibri" w:cs="Calibri"/>
          <w:sz w:val="22"/>
          <w:szCs w:val="22"/>
        </w:rPr>
        <w:t xml:space="preserve">providers and purchasers. Tozer said Virginia </w:t>
      </w:r>
      <w:r w:rsidRPr="001D4054">
        <w:rPr>
          <w:rFonts w:ascii="Calibri" w:hAnsi="Calibri" w:cs="Calibri"/>
          <w:sz w:val="22"/>
          <w:szCs w:val="22"/>
        </w:rPr>
        <w:t xml:space="preserve">and several other states continue to </w:t>
      </w:r>
      <w:r w:rsidRPr="00E75AE0">
        <w:rPr>
          <w:rFonts w:ascii="Calibri" w:hAnsi="Calibri" w:cs="Calibri"/>
          <w:sz w:val="22"/>
          <w:szCs w:val="22"/>
        </w:rPr>
        <w:t>license viatical settlement brokers and providers</w:t>
      </w:r>
      <w:r w:rsidRPr="001D4054">
        <w:rPr>
          <w:rFonts w:ascii="Calibri" w:hAnsi="Calibri" w:cs="Calibri"/>
          <w:sz w:val="22"/>
          <w:szCs w:val="22"/>
        </w:rPr>
        <w:t>.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E52C8F">
        <w:rPr>
          <w:rFonts w:ascii="Calibri" w:hAnsi="Calibri" w:cs="Calibri"/>
          <w:sz w:val="22"/>
          <w:szCs w:val="22"/>
        </w:rPr>
        <w:t xml:space="preserve">Ferguson </w:t>
      </w:r>
      <w:r w:rsidRPr="00E23450">
        <w:rPr>
          <w:rFonts w:ascii="Calibri" w:hAnsi="Calibri" w:cs="Calibri"/>
          <w:sz w:val="22"/>
          <w:szCs w:val="22"/>
        </w:rPr>
        <w:t>supported</w:t>
      </w:r>
      <w:r w:rsidRPr="00E52C8F">
        <w:rPr>
          <w:rFonts w:ascii="Calibri" w:hAnsi="Calibri" w:cs="Calibri"/>
          <w:sz w:val="22"/>
          <w:szCs w:val="22"/>
        </w:rPr>
        <w:t xml:space="preserve"> retaining both terms in the chapter title</w:t>
      </w:r>
      <w:r w:rsidRPr="00E23450">
        <w:rPr>
          <w:rFonts w:ascii="Calibri" w:hAnsi="Calibri" w:cs="Calibri"/>
          <w:sz w:val="22"/>
          <w:szCs w:val="22"/>
        </w:rPr>
        <w:t>.</w:t>
      </w:r>
    </w:p>
    <w:p w14:paraId="6768B646" w14:textId="77777777" w:rsidR="00780687" w:rsidRPr="00E75AE0" w:rsidRDefault="007E7728" w:rsidP="00876AB3">
      <w:pPr>
        <w:rPr>
          <w:rFonts w:ascii="Calibri" w:hAnsi="Calibri" w:cs="Calibri"/>
          <w:sz w:val="22"/>
          <w:szCs w:val="22"/>
        </w:rPr>
      </w:pPr>
      <w:r w:rsidRPr="007E7728">
        <w:rPr>
          <w:rFonts w:ascii="Calibri" w:hAnsi="Calibri" w:cs="Calibri"/>
          <w:sz w:val="22"/>
          <w:szCs w:val="22"/>
        </w:rPr>
        <w:t>Schlautman said the chapter accurately addresses life settlements on the first page and the CE requirement on the second.</w:t>
      </w:r>
    </w:p>
    <w:p w14:paraId="26BB3997" w14:textId="77777777" w:rsidR="00780687" w:rsidRPr="00E75AE0" w:rsidRDefault="008019E8" w:rsidP="00632FF7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Tozer asked whether the chapter should address </w:t>
      </w:r>
      <w:r w:rsidRPr="00E75AE0">
        <w:rPr>
          <w:rFonts w:ascii="Calibri" w:hAnsi="Calibri" w:cs="Calibri"/>
          <w:sz w:val="22"/>
          <w:szCs w:val="22"/>
        </w:rPr>
        <w:t xml:space="preserve">antifraud plans </w:t>
      </w:r>
      <w:r w:rsidRPr="00BF1C69">
        <w:rPr>
          <w:rFonts w:ascii="Calibri" w:hAnsi="Calibri" w:cs="Calibri"/>
          <w:sz w:val="22"/>
          <w:szCs w:val="22"/>
        </w:rPr>
        <w:t>required of</w:t>
      </w:r>
      <w:r w:rsidRPr="00E75AE0">
        <w:rPr>
          <w:rFonts w:ascii="Calibri" w:hAnsi="Calibri" w:cs="Calibri"/>
          <w:sz w:val="22"/>
          <w:szCs w:val="22"/>
        </w:rPr>
        <w:t xml:space="preserve"> viatical settlement brokers and providers</w:t>
      </w:r>
      <w:r w:rsidRPr="00BF1C69">
        <w:rPr>
          <w:rFonts w:ascii="Calibri" w:hAnsi="Calibri" w:cs="Calibri"/>
          <w:sz w:val="22"/>
          <w:szCs w:val="22"/>
        </w:rPr>
        <w:t xml:space="preserve">. He said </w:t>
      </w:r>
      <w:r w:rsidRPr="00E75AE0">
        <w:rPr>
          <w:rFonts w:ascii="Calibri" w:hAnsi="Calibri" w:cs="Calibri"/>
          <w:sz w:val="22"/>
          <w:szCs w:val="22"/>
        </w:rPr>
        <w:t xml:space="preserve">Virginia requires </w:t>
      </w:r>
      <w:r w:rsidRPr="00BF1C69">
        <w:rPr>
          <w:rFonts w:ascii="Calibri" w:hAnsi="Calibri" w:cs="Calibri"/>
          <w:sz w:val="22"/>
          <w:szCs w:val="22"/>
        </w:rPr>
        <w:t xml:space="preserve">the filing </w:t>
      </w:r>
      <w:r w:rsidR="00C87104" w:rsidRPr="00C87104">
        <w:rPr>
          <w:rFonts w:ascii="Calibri" w:hAnsi="Calibri" w:cs="Calibri"/>
          <w:sz w:val="22"/>
          <w:szCs w:val="22"/>
        </w:rPr>
        <w:t xml:space="preserve">for the settlement license type </w:t>
      </w:r>
      <w:r w:rsidRPr="00BF1C69">
        <w:rPr>
          <w:rFonts w:ascii="Calibri" w:hAnsi="Calibri" w:cs="Calibri"/>
          <w:sz w:val="22"/>
          <w:szCs w:val="22"/>
        </w:rPr>
        <w:t xml:space="preserve">and believed most states </w:t>
      </w:r>
      <w:r w:rsidRPr="002A1E6F">
        <w:rPr>
          <w:rFonts w:ascii="Calibri" w:hAnsi="Calibri" w:cs="Calibri"/>
          <w:sz w:val="22"/>
          <w:szCs w:val="22"/>
        </w:rPr>
        <w:t>do as well.</w:t>
      </w:r>
      <w:r w:rsidRPr="00E75AE0">
        <w:rPr>
          <w:rFonts w:ascii="Calibri" w:hAnsi="Calibri" w:cs="Calibri"/>
          <w:sz w:val="22"/>
          <w:szCs w:val="22"/>
        </w:rPr>
        <w:t xml:space="preserve"> Richmeier said Kansas </w:t>
      </w:r>
      <w:r w:rsidRPr="00E75AE0">
        <w:rPr>
          <w:rFonts w:ascii="Calibri" w:hAnsi="Calibri" w:cs="Calibri"/>
          <w:sz w:val="22"/>
          <w:szCs w:val="22"/>
        </w:rPr>
        <w:t xml:space="preserve">requires </w:t>
      </w:r>
      <w:r w:rsidRPr="00AA56F8">
        <w:rPr>
          <w:rFonts w:ascii="Calibri" w:hAnsi="Calibri" w:cs="Calibri"/>
          <w:sz w:val="22"/>
          <w:szCs w:val="22"/>
        </w:rPr>
        <w:t>a</w:t>
      </w:r>
      <w:r w:rsidRPr="00BF1C69">
        <w:rPr>
          <w:rFonts w:ascii="Calibri" w:hAnsi="Calibri" w:cs="Calibri"/>
          <w:sz w:val="22"/>
          <w:szCs w:val="22"/>
        </w:rPr>
        <w:t xml:space="preserve"> plan</w:t>
      </w:r>
      <w:r w:rsidRPr="00E75AE0">
        <w:rPr>
          <w:rFonts w:ascii="Calibri" w:hAnsi="Calibri" w:cs="Calibri"/>
          <w:sz w:val="22"/>
          <w:szCs w:val="22"/>
        </w:rPr>
        <w:t xml:space="preserve">, and </w:t>
      </w:r>
      <w:r w:rsidRPr="00E75AE0">
        <w:rPr>
          <w:rFonts w:ascii="Calibri" w:hAnsi="Calibri" w:cs="Calibri"/>
          <w:sz w:val="22"/>
          <w:szCs w:val="22"/>
        </w:rPr>
        <w:t xml:space="preserve">chat responses </w:t>
      </w:r>
      <w:r w:rsidRPr="00AA56F8">
        <w:rPr>
          <w:rFonts w:ascii="Calibri" w:hAnsi="Calibri" w:cs="Calibri"/>
          <w:sz w:val="22"/>
          <w:szCs w:val="22"/>
        </w:rPr>
        <w:t>identified</w:t>
      </w:r>
      <w:r w:rsidRPr="00E75AE0">
        <w:rPr>
          <w:rFonts w:ascii="Calibri" w:hAnsi="Calibri" w:cs="Calibri"/>
          <w:sz w:val="22"/>
          <w:szCs w:val="22"/>
        </w:rPr>
        <w:t xml:space="preserve"> Tennessee, Massachusetts, and Louisiana </w:t>
      </w:r>
      <w:r w:rsidRPr="00AA56F8">
        <w:rPr>
          <w:rFonts w:ascii="Calibri" w:hAnsi="Calibri" w:cs="Calibri"/>
          <w:sz w:val="22"/>
          <w:szCs w:val="22"/>
        </w:rPr>
        <w:t xml:space="preserve">as </w:t>
      </w:r>
      <w:r w:rsidRPr="00BF1C69">
        <w:rPr>
          <w:rFonts w:ascii="Calibri" w:hAnsi="Calibri" w:cs="Calibri"/>
          <w:sz w:val="22"/>
          <w:szCs w:val="22"/>
        </w:rPr>
        <w:t xml:space="preserve">also </w:t>
      </w:r>
      <w:r w:rsidRPr="00AA56F8">
        <w:rPr>
          <w:rFonts w:ascii="Calibri" w:hAnsi="Calibri" w:cs="Calibri"/>
          <w:sz w:val="22"/>
          <w:szCs w:val="22"/>
        </w:rPr>
        <w:t>requiring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BF1C69">
        <w:rPr>
          <w:rFonts w:ascii="Calibri" w:hAnsi="Calibri" w:cs="Calibri"/>
          <w:sz w:val="22"/>
          <w:szCs w:val="22"/>
        </w:rPr>
        <w:t>one</w:t>
      </w:r>
      <w:r w:rsidRPr="00E75AE0">
        <w:rPr>
          <w:rFonts w:ascii="Calibri" w:hAnsi="Calibri" w:cs="Calibri"/>
          <w:sz w:val="22"/>
          <w:szCs w:val="22"/>
        </w:rPr>
        <w:t xml:space="preserve">. Schlautman </w:t>
      </w:r>
      <w:r w:rsidRPr="002A1E6F">
        <w:rPr>
          <w:rFonts w:ascii="Calibri" w:hAnsi="Calibri" w:cs="Calibri"/>
          <w:sz w:val="22"/>
          <w:szCs w:val="22"/>
        </w:rPr>
        <w:t>noted that</w:t>
      </w:r>
      <w:r w:rsidRPr="00AA56F8">
        <w:rPr>
          <w:rFonts w:ascii="Calibri" w:hAnsi="Calibri" w:cs="Calibri"/>
          <w:sz w:val="22"/>
          <w:szCs w:val="22"/>
        </w:rPr>
        <w:t xml:space="preserve"> the Handbook did not appear to address </w:t>
      </w:r>
      <w:r w:rsidRPr="002A1E6F">
        <w:rPr>
          <w:rFonts w:ascii="Calibri" w:hAnsi="Calibri" w:cs="Calibri"/>
          <w:sz w:val="22"/>
          <w:szCs w:val="22"/>
        </w:rPr>
        <w:t>the requirement.</w:t>
      </w:r>
      <w:r w:rsidRPr="00E75AE0">
        <w:rPr>
          <w:rFonts w:ascii="Calibri" w:hAnsi="Calibri" w:cs="Calibri"/>
          <w:sz w:val="22"/>
          <w:szCs w:val="22"/>
        </w:rPr>
        <w:t xml:space="preserve"> Tozer said </w:t>
      </w:r>
      <w:r w:rsidRPr="00AA56F8">
        <w:rPr>
          <w:rFonts w:ascii="Calibri" w:hAnsi="Calibri" w:cs="Calibri"/>
          <w:sz w:val="22"/>
          <w:szCs w:val="22"/>
        </w:rPr>
        <w:t>it</w:t>
      </w:r>
      <w:r w:rsidRPr="00E75AE0">
        <w:rPr>
          <w:rFonts w:ascii="Calibri" w:hAnsi="Calibri" w:cs="Calibri"/>
          <w:sz w:val="22"/>
          <w:szCs w:val="22"/>
        </w:rPr>
        <w:t xml:space="preserve"> may originate from the Antifraud Plan Guideline (#1690</w:t>
      </w:r>
      <w:r w:rsidRPr="00AA56F8">
        <w:rPr>
          <w:rFonts w:ascii="Calibri" w:hAnsi="Calibri" w:cs="Calibri"/>
          <w:sz w:val="22"/>
          <w:szCs w:val="22"/>
        </w:rPr>
        <w:t xml:space="preserve">), and </w:t>
      </w:r>
      <w:r w:rsidRPr="00E75AE0">
        <w:rPr>
          <w:rFonts w:ascii="Calibri" w:hAnsi="Calibri" w:cs="Calibri"/>
          <w:sz w:val="22"/>
          <w:szCs w:val="22"/>
        </w:rPr>
        <w:t xml:space="preserve">Welker </w:t>
      </w:r>
      <w:r w:rsidRPr="00AA56F8">
        <w:rPr>
          <w:rFonts w:ascii="Calibri" w:hAnsi="Calibri" w:cs="Calibri"/>
          <w:sz w:val="22"/>
          <w:szCs w:val="22"/>
        </w:rPr>
        <w:t>agreed to</w:t>
      </w:r>
      <w:r w:rsidRPr="00E75AE0">
        <w:rPr>
          <w:rFonts w:ascii="Calibri" w:hAnsi="Calibri" w:cs="Calibri"/>
          <w:sz w:val="22"/>
          <w:szCs w:val="22"/>
        </w:rPr>
        <w:t xml:space="preserve"> research </w:t>
      </w:r>
      <w:r w:rsidRPr="00BF1C69">
        <w:rPr>
          <w:rFonts w:ascii="Calibri" w:hAnsi="Calibri" w:cs="Calibri"/>
          <w:sz w:val="22"/>
          <w:szCs w:val="22"/>
        </w:rPr>
        <w:t>its application</w:t>
      </w:r>
      <w:r w:rsidRPr="00E75AE0">
        <w:rPr>
          <w:rFonts w:ascii="Calibri" w:hAnsi="Calibri" w:cs="Calibri"/>
          <w:sz w:val="22"/>
          <w:szCs w:val="22"/>
        </w:rPr>
        <w:t xml:space="preserve"> to viatical settlements. </w:t>
      </w:r>
      <w:r w:rsidR="00C87104" w:rsidRPr="00C87104">
        <w:rPr>
          <w:rFonts w:ascii="Calibri" w:hAnsi="Calibri" w:cs="Calibri"/>
          <w:sz w:val="22"/>
          <w:szCs w:val="22"/>
        </w:rPr>
        <w:t>Roberts said Nevada’s related law was enacted in 2001, and Wall said North Carolina’s law was revised that year in accordance with the NAIC model act.</w:t>
      </w:r>
    </w:p>
    <w:p w14:paraId="4448D3C8" w14:textId="77777777" w:rsidR="00780687" w:rsidRPr="00E75AE0" w:rsidRDefault="008019E8" w:rsidP="00451D68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Roberts said </w:t>
      </w:r>
      <w:r w:rsidR="00D02FDE" w:rsidRPr="00D02FDE">
        <w:rPr>
          <w:rFonts w:ascii="Calibri" w:hAnsi="Calibri" w:cs="Calibri"/>
          <w:sz w:val="22"/>
          <w:szCs w:val="22"/>
        </w:rPr>
        <w:t>one</w:t>
      </w:r>
      <w:r w:rsidRPr="00E75AE0">
        <w:rPr>
          <w:rFonts w:ascii="Calibri" w:hAnsi="Calibri" w:cs="Calibri"/>
          <w:sz w:val="22"/>
          <w:szCs w:val="22"/>
        </w:rPr>
        <w:t xml:space="preserve"> sentence </w:t>
      </w:r>
      <w:r w:rsidRPr="00A808DA">
        <w:rPr>
          <w:rFonts w:ascii="Calibri" w:hAnsi="Calibri" w:cs="Calibri"/>
          <w:sz w:val="22"/>
          <w:szCs w:val="22"/>
        </w:rPr>
        <w:t xml:space="preserve">requiring </w:t>
      </w:r>
      <w:r w:rsidRPr="00E75AE0">
        <w:rPr>
          <w:rFonts w:ascii="Calibri" w:hAnsi="Calibri" w:cs="Calibri"/>
          <w:sz w:val="22"/>
          <w:szCs w:val="22"/>
        </w:rPr>
        <w:t xml:space="preserve">a plan </w:t>
      </w:r>
      <w:r w:rsidRPr="00E75AE0">
        <w:rPr>
          <w:rFonts w:ascii="Calibri" w:hAnsi="Calibri" w:cs="Calibri"/>
          <w:sz w:val="22"/>
          <w:szCs w:val="22"/>
        </w:rPr>
        <w:t xml:space="preserve">reasonably calculated to prevent and detect fraud would </w:t>
      </w:r>
      <w:r w:rsidR="00D02FDE" w:rsidRPr="00D02FDE">
        <w:rPr>
          <w:rFonts w:ascii="Calibri" w:hAnsi="Calibri" w:cs="Calibri"/>
          <w:sz w:val="22"/>
          <w:szCs w:val="22"/>
        </w:rPr>
        <w:t xml:space="preserve">suffice. </w:t>
      </w:r>
      <w:r w:rsidRPr="00E75AE0">
        <w:rPr>
          <w:rFonts w:ascii="Calibri" w:hAnsi="Calibri" w:cs="Calibri"/>
          <w:sz w:val="22"/>
          <w:szCs w:val="22"/>
        </w:rPr>
        <w:t xml:space="preserve">Schlautman </w:t>
      </w:r>
      <w:r w:rsidRPr="00E75AE0">
        <w:rPr>
          <w:rFonts w:ascii="Calibri" w:hAnsi="Calibri" w:cs="Calibri"/>
          <w:sz w:val="22"/>
          <w:szCs w:val="22"/>
        </w:rPr>
        <w:t xml:space="preserve">proposed </w:t>
      </w:r>
      <w:r w:rsidRPr="00E75AE0">
        <w:rPr>
          <w:rFonts w:ascii="Calibri" w:hAnsi="Calibri" w:cs="Calibri"/>
          <w:sz w:val="22"/>
          <w:szCs w:val="22"/>
        </w:rPr>
        <w:t xml:space="preserve">model </w:t>
      </w:r>
      <w:r w:rsidR="00D02FDE" w:rsidRPr="00D02FDE">
        <w:rPr>
          <w:rFonts w:ascii="Calibri" w:hAnsi="Calibri" w:cs="Calibri"/>
          <w:sz w:val="22"/>
          <w:szCs w:val="22"/>
        </w:rPr>
        <w:t>language requiring</w:t>
      </w:r>
      <w:r w:rsidRPr="00A808DA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viatical settlement providers and </w:t>
      </w:r>
      <w:r w:rsidRPr="00E75AE0">
        <w:rPr>
          <w:rFonts w:ascii="Calibri" w:hAnsi="Calibri" w:cs="Calibri"/>
          <w:sz w:val="22"/>
          <w:szCs w:val="22"/>
        </w:rPr>
        <w:t xml:space="preserve">brokers </w:t>
      </w:r>
      <w:r w:rsidR="00D02FDE" w:rsidRPr="00D02FDE">
        <w:rPr>
          <w:rFonts w:ascii="Calibri" w:hAnsi="Calibri" w:cs="Calibri"/>
          <w:sz w:val="22"/>
          <w:szCs w:val="22"/>
        </w:rPr>
        <w:t>to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A808DA">
        <w:rPr>
          <w:rFonts w:ascii="Calibri" w:hAnsi="Calibri" w:cs="Calibri"/>
          <w:sz w:val="22"/>
          <w:szCs w:val="22"/>
        </w:rPr>
        <w:t>maintain</w:t>
      </w:r>
      <w:r w:rsidRPr="00E75AE0">
        <w:rPr>
          <w:rFonts w:ascii="Calibri" w:hAnsi="Calibri" w:cs="Calibri"/>
          <w:sz w:val="22"/>
          <w:szCs w:val="22"/>
        </w:rPr>
        <w:t xml:space="preserve"> antifraud initiatives reasonably calculated to detect, prosecute, and prevent fraudulent </w:t>
      </w:r>
      <w:r w:rsidRPr="00E75AE0">
        <w:rPr>
          <w:rFonts w:ascii="Calibri" w:hAnsi="Calibri" w:cs="Calibri"/>
          <w:sz w:val="22"/>
          <w:szCs w:val="22"/>
        </w:rPr>
        <w:t xml:space="preserve">acts, </w:t>
      </w:r>
      <w:r w:rsidRPr="00A808DA">
        <w:rPr>
          <w:rFonts w:ascii="Calibri" w:hAnsi="Calibri" w:cs="Calibri"/>
          <w:sz w:val="22"/>
          <w:szCs w:val="22"/>
        </w:rPr>
        <w:t>with</w:t>
      </w:r>
      <w:r w:rsidRPr="00E75AE0">
        <w:rPr>
          <w:rFonts w:ascii="Calibri" w:hAnsi="Calibri" w:cs="Calibri"/>
          <w:sz w:val="22"/>
          <w:szCs w:val="22"/>
        </w:rPr>
        <w:t xml:space="preserve"> a reference </w:t>
      </w:r>
      <w:r w:rsidRPr="00E75AE0">
        <w:rPr>
          <w:rFonts w:ascii="Calibri" w:hAnsi="Calibri" w:cs="Calibri"/>
          <w:sz w:val="22"/>
          <w:szCs w:val="22"/>
        </w:rPr>
        <w:t xml:space="preserve">to the model for </w:t>
      </w:r>
      <w:r w:rsidRPr="00E75AE0">
        <w:rPr>
          <w:rFonts w:ascii="Calibri" w:hAnsi="Calibri" w:cs="Calibri"/>
          <w:sz w:val="22"/>
          <w:szCs w:val="22"/>
        </w:rPr>
        <w:t>detail. Huisken and Roberts agreed.</w:t>
      </w:r>
    </w:p>
    <w:p w14:paraId="4760A80D" w14:textId="77777777" w:rsidR="00780687" w:rsidRPr="00E75AE0" w:rsidRDefault="008019E8" w:rsidP="000A14E6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Wall said the </w:t>
      </w:r>
      <w:r w:rsidRPr="00AB4CF8">
        <w:rPr>
          <w:rFonts w:ascii="Calibri" w:hAnsi="Calibri" w:cs="Calibri"/>
          <w:sz w:val="22"/>
          <w:szCs w:val="22"/>
        </w:rPr>
        <w:t xml:space="preserve">language </w:t>
      </w:r>
      <w:r w:rsidR="00BF5B14" w:rsidRPr="00BF5B14">
        <w:rPr>
          <w:rFonts w:ascii="Calibri" w:hAnsi="Calibri" w:cs="Calibri"/>
          <w:sz w:val="22"/>
          <w:szCs w:val="22"/>
        </w:rPr>
        <w:t xml:space="preserve">belonged in the </w:t>
      </w:r>
      <w:r w:rsidRPr="00E75AE0">
        <w:rPr>
          <w:rFonts w:ascii="Calibri" w:hAnsi="Calibri" w:cs="Calibri"/>
          <w:sz w:val="22"/>
          <w:szCs w:val="22"/>
        </w:rPr>
        <w:t>second</w:t>
      </w:r>
      <w:r w:rsidR="00BF5B14" w:rsidRPr="00BF5B14">
        <w:rPr>
          <w:rFonts w:ascii="Calibri" w:hAnsi="Calibri" w:cs="Calibri"/>
          <w:sz w:val="22"/>
          <w:szCs w:val="22"/>
        </w:rPr>
        <w:t>-</w:t>
      </w:r>
      <w:r w:rsidRPr="00E75AE0">
        <w:rPr>
          <w:rFonts w:ascii="Calibri" w:hAnsi="Calibri" w:cs="Calibri"/>
          <w:sz w:val="22"/>
          <w:szCs w:val="22"/>
        </w:rPr>
        <w:t xml:space="preserve">page </w:t>
      </w:r>
      <w:r w:rsidRPr="00AB4CF8">
        <w:rPr>
          <w:rFonts w:ascii="Calibri" w:hAnsi="Calibri" w:cs="Calibri"/>
          <w:sz w:val="22"/>
          <w:szCs w:val="22"/>
        </w:rPr>
        <w:t xml:space="preserve">paragraph </w:t>
      </w:r>
      <w:r w:rsidR="00BF5B14" w:rsidRPr="00BF5B14">
        <w:rPr>
          <w:rFonts w:ascii="Calibri" w:hAnsi="Calibri" w:cs="Calibri"/>
          <w:sz w:val="22"/>
          <w:szCs w:val="22"/>
        </w:rPr>
        <w:t>on receiving</w:t>
      </w:r>
      <w:r w:rsidRPr="00E75AE0">
        <w:rPr>
          <w:rFonts w:ascii="Calibri" w:hAnsi="Calibri" w:cs="Calibri"/>
          <w:sz w:val="22"/>
          <w:szCs w:val="22"/>
        </w:rPr>
        <w:t xml:space="preserve"> and </w:t>
      </w:r>
      <w:r w:rsidR="00BF5B14" w:rsidRPr="00BF5B14">
        <w:rPr>
          <w:rFonts w:ascii="Calibri" w:hAnsi="Calibri" w:cs="Calibri"/>
          <w:sz w:val="22"/>
          <w:szCs w:val="22"/>
        </w:rPr>
        <w:t>maintaining</w:t>
      </w:r>
      <w:r w:rsidRPr="00AB4CF8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>a license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8A54B1">
        <w:rPr>
          <w:rFonts w:ascii="Calibri" w:hAnsi="Calibri" w:cs="Calibri"/>
          <w:sz w:val="22"/>
          <w:szCs w:val="22"/>
        </w:rPr>
        <w:t>because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8A54B1">
        <w:rPr>
          <w:rFonts w:ascii="Calibri" w:hAnsi="Calibri" w:cs="Calibri"/>
          <w:sz w:val="22"/>
          <w:szCs w:val="22"/>
        </w:rPr>
        <w:t>an</w:t>
      </w:r>
      <w:r w:rsidRPr="00E75AE0">
        <w:rPr>
          <w:rFonts w:ascii="Calibri" w:hAnsi="Calibri" w:cs="Calibri"/>
          <w:sz w:val="22"/>
          <w:szCs w:val="22"/>
        </w:rPr>
        <w:t xml:space="preserve"> antifraud plan is part of </w:t>
      </w:r>
      <w:r w:rsidR="00BF5B14" w:rsidRPr="00BF5B14">
        <w:rPr>
          <w:rFonts w:ascii="Calibri" w:hAnsi="Calibri" w:cs="Calibri"/>
          <w:sz w:val="22"/>
          <w:szCs w:val="22"/>
        </w:rPr>
        <w:t>license maintenance.</w:t>
      </w:r>
      <w:r w:rsidRPr="00AB4CF8">
        <w:rPr>
          <w:rFonts w:ascii="Calibri" w:hAnsi="Calibri" w:cs="Calibri"/>
          <w:sz w:val="22"/>
          <w:szCs w:val="22"/>
        </w:rPr>
        <w:t xml:space="preserve"> The Working Group agreed to add </w:t>
      </w:r>
      <w:r w:rsidRPr="00E75AE0">
        <w:rPr>
          <w:rFonts w:ascii="Calibri" w:hAnsi="Calibri" w:cs="Calibri"/>
          <w:sz w:val="22"/>
          <w:szCs w:val="22"/>
        </w:rPr>
        <w:t xml:space="preserve">the sentence </w:t>
      </w:r>
      <w:r w:rsidRPr="00AB4CF8">
        <w:rPr>
          <w:rFonts w:ascii="Calibri" w:hAnsi="Calibri" w:cs="Calibri"/>
          <w:sz w:val="22"/>
          <w:szCs w:val="22"/>
        </w:rPr>
        <w:t>at</w:t>
      </w:r>
      <w:r w:rsidRPr="00E75AE0">
        <w:rPr>
          <w:rFonts w:ascii="Calibri" w:hAnsi="Calibri" w:cs="Calibri"/>
          <w:sz w:val="22"/>
          <w:szCs w:val="22"/>
        </w:rPr>
        <w:t xml:space="preserve"> the end of the paragraph beginning </w:t>
      </w:r>
      <w:r w:rsidRPr="008A54B1">
        <w:rPr>
          <w:rFonts w:ascii="Calibri" w:hAnsi="Calibri" w:cs="Calibri"/>
          <w:sz w:val="22"/>
          <w:szCs w:val="22"/>
        </w:rPr>
        <w:t>“</w:t>
      </w:r>
      <w:r w:rsidRPr="00E75AE0">
        <w:rPr>
          <w:rFonts w:ascii="Calibri" w:hAnsi="Calibri" w:cs="Calibri"/>
          <w:sz w:val="22"/>
          <w:szCs w:val="22"/>
        </w:rPr>
        <w:t>To receive and maintain a license</w:t>
      </w:r>
      <w:r w:rsidRPr="00AB4CF8">
        <w:rPr>
          <w:rFonts w:ascii="Calibri" w:hAnsi="Calibri" w:cs="Calibri"/>
          <w:sz w:val="22"/>
          <w:szCs w:val="22"/>
        </w:rPr>
        <w:t xml:space="preserve">,” followed by </w:t>
      </w:r>
      <w:r w:rsidRPr="008A54B1">
        <w:rPr>
          <w:rFonts w:ascii="Calibri" w:hAnsi="Calibri" w:cs="Calibri"/>
          <w:sz w:val="22"/>
          <w:szCs w:val="22"/>
        </w:rPr>
        <w:t>“as described in greater detail in Model #697</w:t>
      </w:r>
      <w:r w:rsidR="00BF5B14" w:rsidRPr="00BF5B14">
        <w:rPr>
          <w:rFonts w:ascii="Calibri" w:hAnsi="Calibri" w:cs="Calibri"/>
          <w:sz w:val="22"/>
          <w:szCs w:val="22"/>
        </w:rPr>
        <w:t>,”</w:t>
      </w:r>
      <w:r w:rsidRPr="008A54B1">
        <w:rPr>
          <w:rFonts w:ascii="Calibri" w:hAnsi="Calibri" w:cs="Calibri"/>
          <w:sz w:val="22"/>
          <w:szCs w:val="22"/>
        </w:rPr>
        <w:t xml:space="preserve"> using “</w:t>
      </w:r>
      <w:r w:rsidRPr="00E75AE0">
        <w:rPr>
          <w:rFonts w:ascii="Calibri" w:hAnsi="Calibri" w:cs="Calibri"/>
          <w:sz w:val="22"/>
          <w:szCs w:val="22"/>
        </w:rPr>
        <w:t>in</w:t>
      </w:r>
      <w:r w:rsidRPr="008A54B1">
        <w:rPr>
          <w:rFonts w:ascii="Calibri" w:hAnsi="Calibri" w:cs="Calibri"/>
          <w:sz w:val="22"/>
          <w:szCs w:val="22"/>
        </w:rPr>
        <w:t>”</w:t>
      </w:r>
      <w:r w:rsidRPr="00E75AE0">
        <w:rPr>
          <w:rFonts w:ascii="Calibri" w:hAnsi="Calibri" w:cs="Calibri"/>
          <w:sz w:val="22"/>
          <w:szCs w:val="22"/>
        </w:rPr>
        <w:t xml:space="preserve"> rather than </w:t>
      </w:r>
      <w:r w:rsidRPr="008A54B1">
        <w:rPr>
          <w:rFonts w:ascii="Calibri" w:hAnsi="Calibri" w:cs="Calibri"/>
          <w:sz w:val="22"/>
          <w:szCs w:val="22"/>
        </w:rPr>
        <w:t>“</w:t>
      </w:r>
      <w:r w:rsidRPr="00E75AE0">
        <w:rPr>
          <w:rFonts w:ascii="Calibri" w:hAnsi="Calibri" w:cs="Calibri"/>
          <w:sz w:val="22"/>
          <w:szCs w:val="22"/>
        </w:rPr>
        <w:t>of</w:t>
      </w:r>
      <w:r w:rsidRPr="008A54B1">
        <w:rPr>
          <w:rFonts w:ascii="Calibri" w:hAnsi="Calibri" w:cs="Calibri"/>
          <w:sz w:val="22"/>
          <w:szCs w:val="22"/>
        </w:rPr>
        <w:t>”</w:t>
      </w:r>
      <w:r w:rsidRPr="00E75AE0">
        <w:rPr>
          <w:rFonts w:ascii="Calibri" w:hAnsi="Calibri" w:cs="Calibri"/>
          <w:sz w:val="22"/>
          <w:szCs w:val="22"/>
        </w:rPr>
        <w:t xml:space="preserve"> for consistency</w:t>
      </w:r>
      <w:r w:rsidR="00BF5B14" w:rsidRPr="00BF5B14">
        <w:rPr>
          <w:rFonts w:ascii="Calibri" w:hAnsi="Calibri" w:cs="Calibri"/>
          <w:sz w:val="22"/>
          <w:szCs w:val="22"/>
        </w:rPr>
        <w:t>.</w:t>
      </w:r>
      <w:r w:rsidRPr="00E75AE0">
        <w:rPr>
          <w:rFonts w:ascii="Calibri" w:hAnsi="Calibri" w:cs="Calibri"/>
          <w:sz w:val="22"/>
          <w:szCs w:val="22"/>
        </w:rPr>
        <w:t xml:space="preserve"> Schlautman </w:t>
      </w:r>
      <w:r w:rsidRPr="00E75AE0">
        <w:rPr>
          <w:rFonts w:ascii="Calibri" w:hAnsi="Calibri" w:cs="Calibri"/>
          <w:sz w:val="22"/>
          <w:szCs w:val="22"/>
        </w:rPr>
        <w:t xml:space="preserve">asked that </w:t>
      </w:r>
      <w:r w:rsidRPr="00E75AE0">
        <w:rPr>
          <w:rFonts w:ascii="Calibri" w:hAnsi="Calibri" w:cs="Calibri"/>
          <w:sz w:val="22"/>
          <w:szCs w:val="22"/>
        </w:rPr>
        <w:t xml:space="preserve">references to the insurance commissioner </w:t>
      </w:r>
      <w:r w:rsidR="00BF5B14" w:rsidRPr="00BF5B14">
        <w:rPr>
          <w:rFonts w:ascii="Calibri" w:hAnsi="Calibri" w:cs="Calibri"/>
          <w:sz w:val="22"/>
          <w:szCs w:val="22"/>
        </w:rPr>
        <w:t>conform</w:t>
      </w:r>
      <w:r w:rsidRPr="00E75AE0">
        <w:rPr>
          <w:rFonts w:ascii="Calibri" w:hAnsi="Calibri" w:cs="Calibri"/>
          <w:sz w:val="22"/>
          <w:szCs w:val="22"/>
        </w:rPr>
        <w:t xml:space="preserve"> to </w:t>
      </w:r>
      <w:r w:rsidRPr="00E75AE0">
        <w:rPr>
          <w:rFonts w:ascii="Calibri" w:hAnsi="Calibri" w:cs="Calibri"/>
          <w:sz w:val="22"/>
          <w:szCs w:val="22"/>
        </w:rPr>
        <w:t xml:space="preserve">terminology </w:t>
      </w:r>
      <w:r w:rsidRPr="008A54B1">
        <w:rPr>
          <w:rFonts w:ascii="Calibri" w:hAnsi="Calibri" w:cs="Calibri"/>
          <w:sz w:val="22"/>
          <w:szCs w:val="22"/>
        </w:rPr>
        <w:t xml:space="preserve">used </w:t>
      </w:r>
      <w:r w:rsidRPr="00AB4CF8">
        <w:rPr>
          <w:rFonts w:ascii="Calibri" w:hAnsi="Calibri" w:cs="Calibri"/>
          <w:sz w:val="22"/>
          <w:szCs w:val="22"/>
        </w:rPr>
        <w:t xml:space="preserve">elsewhere in the </w:t>
      </w:r>
      <w:r w:rsidRPr="00E75AE0">
        <w:rPr>
          <w:rFonts w:ascii="Calibri" w:hAnsi="Calibri" w:cs="Calibri"/>
          <w:sz w:val="22"/>
          <w:szCs w:val="22"/>
        </w:rPr>
        <w:t>Handbook</w:t>
      </w:r>
      <w:r w:rsidRPr="00E75AE0">
        <w:rPr>
          <w:rFonts w:ascii="Calibri" w:hAnsi="Calibri" w:cs="Calibri"/>
          <w:sz w:val="22"/>
          <w:szCs w:val="22"/>
        </w:rPr>
        <w:t>, and Welker agreed.</w:t>
      </w:r>
    </w:p>
    <w:p w14:paraId="3EFA8B28" w14:textId="77777777" w:rsidR="00780687" w:rsidRPr="00E75AE0" w:rsidRDefault="008019E8" w:rsidP="00163161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Schlautman said </w:t>
      </w:r>
      <w:r w:rsidRPr="00E75AE0">
        <w:rPr>
          <w:rFonts w:ascii="Calibri" w:hAnsi="Calibri" w:cs="Calibri"/>
          <w:sz w:val="22"/>
          <w:szCs w:val="22"/>
        </w:rPr>
        <w:t>the Chapter 30 revision</w:t>
      </w:r>
      <w:r w:rsidRPr="0097050C">
        <w:rPr>
          <w:rFonts w:ascii="Calibri" w:hAnsi="Calibri" w:cs="Calibri"/>
          <w:sz w:val="22"/>
          <w:szCs w:val="22"/>
        </w:rPr>
        <w:t xml:space="preserve"> completed </w:t>
      </w:r>
      <w:r w:rsidRPr="00E75AE0">
        <w:rPr>
          <w:rFonts w:ascii="Calibri" w:hAnsi="Calibri" w:cs="Calibri"/>
          <w:sz w:val="22"/>
          <w:szCs w:val="22"/>
        </w:rPr>
        <w:t xml:space="preserve">the Working </w:t>
      </w:r>
      <w:r w:rsidRPr="0097050C">
        <w:rPr>
          <w:rFonts w:ascii="Calibri" w:hAnsi="Calibri" w:cs="Calibri"/>
          <w:sz w:val="22"/>
          <w:szCs w:val="22"/>
        </w:rPr>
        <w:t>Group’s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Handbook </w:t>
      </w:r>
      <w:r w:rsidRPr="00B05134">
        <w:rPr>
          <w:rFonts w:ascii="Calibri" w:hAnsi="Calibri" w:cs="Calibri"/>
          <w:sz w:val="22"/>
          <w:szCs w:val="22"/>
        </w:rPr>
        <w:t>review.</w:t>
      </w:r>
      <w:r w:rsidRPr="00E75AE0">
        <w:rPr>
          <w:rFonts w:ascii="Calibri" w:hAnsi="Calibri" w:cs="Calibri"/>
          <w:sz w:val="22"/>
          <w:szCs w:val="22"/>
        </w:rPr>
        <w:t xml:space="preserve"> Welker said he would </w:t>
      </w:r>
      <w:r w:rsidRPr="0097050C">
        <w:rPr>
          <w:rFonts w:ascii="Calibri" w:hAnsi="Calibri" w:cs="Calibri"/>
          <w:sz w:val="22"/>
          <w:szCs w:val="22"/>
        </w:rPr>
        <w:t>combine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97050C">
        <w:rPr>
          <w:rFonts w:ascii="Calibri" w:hAnsi="Calibri" w:cs="Calibri"/>
          <w:sz w:val="22"/>
          <w:szCs w:val="22"/>
        </w:rPr>
        <w:t xml:space="preserve">this </w:t>
      </w:r>
      <w:r w:rsidRPr="00B05134">
        <w:rPr>
          <w:rFonts w:ascii="Calibri" w:hAnsi="Calibri" w:cs="Calibri"/>
          <w:sz w:val="22"/>
          <w:szCs w:val="22"/>
        </w:rPr>
        <w:t>year’s chapters</w:t>
      </w:r>
      <w:r w:rsidRPr="0097050C">
        <w:rPr>
          <w:rFonts w:ascii="Calibri" w:hAnsi="Calibri" w:cs="Calibri"/>
          <w:sz w:val="22"/>
          <w:szCs w:val="22"/>
        </w:rPr>
        <w:t xml:space="preserve"> with those</w:t>
      </w:r>
      <w:r w:rsidRPr="00E75AE0">
        <w:rPr>
          <w:rFonts w:ascii="Calibri" w:hAnsi="Calibri" w:cs="Calibri"/>
          <w:sz w:val="22"/>
          <w:szCs w:val="22"/>
        </w:rPr>
        <w:t xml:space="preserve"> completed last year </w:t>
      </w:r>
      <w:r w:rsidRPr="00920FF0">
        <w:rPr>
          <w:rFonts w:ascii="Calibri" w:hAnsi="Calibri" w:cs="Calibri"/>
          <w:sz w:val="22"/>
          <w:szCs w:val="22"/>
        </w:rPr>
        <w:t>for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B05134">
        <w:rPr>
          <w:rFonts w:ascii="Calibri" w:hAnsi="Calibri" w:cs="Calibri"/>
          <w:sz w:val="22"/>
          <w:szCs w:val="22"/>
        </w:rPr>
        <w:t xml:space="preserve">one </w:t>
      </w:r>
      <w:r w:rsidRPr="00E75AE0">
        <w:rPr>
          <w:rFonts w:ascii="Calibri" w:hAnsi="Calibri" w:cs="Calibri"/>
          <w:sz w:val="22"/>
          <w:szCs w:val="22"/>
        </w:rPr>
        <w:t xml:space="preserve">review and </w:t>
      </w:r>
      <w:r w:rsidRPr="00E75AE0">
        <w:rPr>
          <w:rFonts w:ascii="Calibri" w:hAnsi="Calibri" w:cs="Calibri"/>
          <w:sz w:val="22"/>
          <w:szCs w:val="22"/>
        </w:rPr>
        <w:t>vote</w:t>
      </w:r>
      <w:r w:rsidRPr="00B05134">
        <w:rPr>
          <w:rFonts w:ascii="Calibri" w:hAnsi="Calibri" w:cs="Calibri"/>
          <w:sz w:val="22"/>
          <w:szCs w:val="22"/>
        </w:rPr>
        <w:t>; complete</w:t>
      </w:r>
      <w:r w:rsidRPr="00E75AE0">
        <w:rPr>
          <w:rFonts w:ascii="Calibri" w:hAnsi="Calibri" w:cs="Calibri"/>
          <w:sz w:val="22"/>
          <w:szCs w:val="22"/>
        </w:rPr>
        <w:t xml:space="preserve"> the title </w:t>
      </w:r>
      <w:r w:rsidRPr="00E75AE0">
        <w:rPr>
          <w:rFonts w:ascii="Calibri" w:hAnsi="Calibri" w:cs="Calibri"/>
          <w:sz w:val="22"/>
          <w:szCs w:val="22"/>
        </w:rPr>
        <w:lastRenderedPageBreak/>
        <w:t xml:space="preserve">page and related formatting </w:t>
      </w:r>
      <w:r w:rsidRPr="00E75AE0">
        <w:rPr>
          <w:rFonts w:ascii="Calibri" w:hAnsi="Calibri" w:cs="Calibri"/>
          <w:sz w:val="22"/>
          <w:szCs w:val="22"/>
        </w:rPr>
        <w:t>internally</w:t>
      </w:r>
      <w:r w:rsidR="00AD6102" w:rsidRPr="00AD6102">
        <w:rPr>
          <w:rFonts w:ascii="Calibri" w:hAnsi="Calibri" w:cs="Calibri"/>
          <w:sz w:val="22"/>
          <w:szCs w:val="22"/>
        </w:rPr>
        <w:t xml:space="preserve"> without a vote</w:t>
      </w:r>
      <w:r w:rsidRPr="00B05134">
        <w:rPr>
          <w:rFonts w:ascii="Calibri" w:hAnsi="Calibri" w:cs="Calibri"/>
          <w:sz w:val="22"/>
          <w:szCs w:val="22"/>
        </w:rPr>
        <w:t>;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97050C">
        <w:rPr>
          <w:rFonts w:ascii="Calibri" w:hAnsi="Calibri" w:cs="Calibri"/>
          <w:sz w:val="22"/>
          <w:szCs w:val="22"/>
        </w:rPr>
        <w:t xml:space="preserve">and </w:t>
      </w:r>
      <w:r w:rsidRPr="00B05134">
        <w:rPr>
          <w:rFonts w:ascii="Calibri" w:hAnsi="Calibri" w:cs="Calibri"/>
          <w:sz w:val="22"/>
          <w:szCs w:val="22"/>
        </w:rPr>
        <w:t xml:space="preserve">include this year’s adopted </w:t>
      </w:r>
      <w:r w:rsidRPr="00E75AE0">
        <w:rPr>
          <w:rFonts w:ascii="Calibri" w:hAnsi="Calibri" w:cs="Calibri"/>
          <w:sz w:val="22"/>
          <w:szCs w:val="22"/>
        </w:rPr>
        <w:t xml:space="preserve">documents </w:t>
      </w:r>
      <w:r w:rsidRPr="00E75AE0">
        <w:rPr>
          <w:rFonts w:ascii="Calibri" w:hAnsi="Calibri" w:cs="Calibri"/>
          <w:sz w:val="22"/>
          <w:szCs w:val="22"/>
        </w:rPr>
        <w:t>in the appendix</w:t>
      </w:r>
      <w:r w:rsidRPr="0097050C">
        <w:rPr>
          <w:rFonts w:ascii="Calibri" w:hAnsi="Calibri" w:cs="Calibri"/>
          <w:sz w:val="22"/>
          <w:szCs w:val="22"/>
        </w:rPr>
        <w:t xml:space="preserve">. </w:t>
      </w:r>
      <w:r w:rsidRPr="00920FF0">
        <w:rPr>
          <w:rFonts w:ascii="Calibri" w:hAnsi="Calibri" w:cs="Calibri"/>
          <w:sz w:val="22"/>
          <w:szCs w:val="22"/>
        </w:rPr>
        <w:t>After review by Schlautman and Huisken, the compilation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97050C">
        <w:rPr>
          <w:rFonts w:ascii="Calibri" w:hAnsi="Calibri" w:cs="Calibri"/>
          <w:sz w:val="22"/>
          <w:szCs w:val="22"/>
        </w:rPr>
        <w:t>would</w:t>
      </w:r>
      <w:proofErr w:type="gramEnd"/>
      <w:r w:rsidRPr="00E75AE0">
        <w:rPr>
          <w:rFonts w:ascii="Calibri" w:hAnsi="Calibri" w:cs="Calibri"/>
          <w:sz w:val="22"/>
          <w:szCs w:val="22"/>
        </w:rPr>
        <w:t xml:space="preserve"> be posted on </w:t>
      </w:r>
      <w:r w:rsidRPr="00E75AE0">
        <w:rPr>
          <w:rFonts w:ascii="Calibri" w:hAnsi="Calibri" w:cs="Calibri"/>
          <w:sz w:val="22"/>
          <w:szCs w:val="22"/>
        </w:rPr>
        <w:t xml:space="preserve">the Working </w:t>
      </w:r>
      <w:r w:rsidRPr="0097050C">
        <w:rPr>
          <w:rFonts w:ascii="Calibri" w:hAnsi="Calibri" w:cs="Calibri"/>
          <w:sz w:val="22"/>
          <w:szCs w:val="22"/>
        </w:rPr>
        <w:t>Group’s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and </w:t>
      </w:r>
      <w:r w:rsidRPr="00E75AE0">
        <w:rPr>
          <w:rFonts w:ascii="Calibri" w:hAnsi="Calibri" w:cs="Calibri"/>
          <w:sz w:val="22"/>
          <w:szCs w:val="22"/>
        </w:rPr>
        <w:t xml:space="preserve">Handbook web </w:t>
      </w:r>
      <w:r w:rsidRPr="00920FF0">
        <w:rPr>
          <w:rFonts w:ascii="Calibri" w:hAnsi="Calibri" w:cs="Calibri"/>
          <w:sz w:val="22"/>
          <w:szCs w:val="22"/>
        </w:rPr>
        <w:t>pages.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B05134">
        <w:rPr>
          <w:rFonts w:ascii="Calibri" w:hAnsi="Calibri" w:cs="Calibri"/>
          <w:sz w:val="22"/>
          <w:szCs w:val="22"/>
        </w:rPr>
        <w:t>The</w:t>
      </w:r>
      <w:r w:rsidRPr="0097050C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Working Group </w:t>
      </w:r>
      <w:r w:rsidRPr="0097050C">
        <w:rPr>
          <w:rFonts w:ascii="Calibri" w:hAnsi="Calibri" w:cs="Calibri"/>
          <w:sz w:val="22"/>
          <w:szCs w:val="22"/>
        </w:rPr>
        <w:t>would</w:t>
      </w:r>
      <w:r w:rsidRPr="00E75AE0">
        <w:rPr>
          <w:rFonts w:ascii="Calibri" w:hAnsi="Calibri" w:cs="Calibri"/>
          <w:sz w:val="22"/>
          <w:szCs w:val="22"/>
        </w:rPr>
        <w:t xml:space="preserve"> consider </w:t>
      </w:r>
      <w:r w:rsidRPr="00E75AE0">
        <w:rPr>
          <w:rFonts w:ascii="Calibri" w:hAnsi="Calibri" w:cs="Calibri"/>
          <w:sz w:val="22"/>
          <w:szCs w:val="22"/>
        </w:rPr>
        <w:t xml:space="preserve">adoption at </w:t>
      </w:r>
      <w:r w:rsidRPr="00920FF0">
        <w:rPr>
          <w:rFonts w:ascii="Calibri" w:hAnsi="Calibri" w:cs="Calibri"/>
          <w:sz w:val="22"/>
          <w:szCs w:val="22"/>
        </w:rPr>
        <w:t xml:space="preserve">its </w:t>
      </w:r>
      <w:r w:rsidRPr="00920FF0">
        <w:rPr>
          <w:rFonts w:ascii="Calibri" w:hAnsi="Calibri" w:cs="Calibri"/>
          <w:sz w:val="22"/>
          <w:szCs w:val="22"/>
        </w:rPr>
        <w:t>October meeting, allowing</w:t>
      </w:r>
      <w:r w:rsidRPr="00E75AE0">
        <w:rPr>
          <w:rFonts w:ascii="Calibri" w:hAnsi="Calibri" w:cs="Calibri"/>
          <w:sz w:val="22"/>
          <w:szCs w:val="22"/>
        </w:rPr>
        <w:t xml:space="preserve"> the Task Force </w:t>
      </w:r>
      <w:r w:rsidRPr="00E75AE0">
        <w:rPr>
          <w:rFonts w:ascii="Calibri" w:hAnsi="Calibri" w:cs="Calibri"/>
          <w:sz w:val="22"/>
          <w:szCs w:val="22"/>
        </w:rPr>
        <w:t xml:space="preserve">to </w:t>
      </w:r>
      <w:r w:rsidRPr="00B05134">
        <w:rPr>
          <w:rFonts w:ascii="Calibri" w:hAnsi="Calibri" w:cs="Calibri"/>
          <w:sz w:val="22"/>
          <w:szCs w:val="22"/>
        </w:rPr>
        <w:t>conduct a 30-day exposure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97050C">
        <w:rPr>
          <w:rFonts w:ascii="Calibri" w:hAnsi="Calibri" w:cs="Calibri"/>
          <w:sz w:val="22"/>
          <w:szCs w:val="22"/>
        </w:rPr>
        <w:t>before</w:t>
      </w:r>
      <w:r w:rsidRPr="00E75AE0">
        <w:rPr>
          <w:rFonts w:ascii="Calibri" w:hAnsi="Calibri" w:cs="Calibri"/>
          <w:sz w:val="22"/>
          <w:szCs w:val="22"/>
        </w:rPr>
        <w:t xml:space="preserve"> the Fall National Meeting</w:t>
      </w:r>
      <w:r w:rsidRPr="0097050C">
        <w:rPr>
          <w:rFonts w:ascii="Calibri" w:hAnsi="Calibri" w:cs="Calibri"/>
          <w:sz w:val="22"/>
          <w:szCs w:val="22"/>
        </w:rPr>
        <w:t>.</w:t>
      </w:r>
    </w:p>
    <w:p w14:paraId="26425379" w14:textId="77777777" w:rsidR="00C87283" w:rsidRPr="00D608E9" w:rsidRDefault="00C87283">
      <w:pPr>
        <w:spacing w:after="80"/>
        <w:rPr>
          <w:rFonts w:ascii="Calibri" w:hAnsi="Calibri" w:cs="Calibri"/>
          <w:sz w:val="22"/>
          <w:szCs w:val="22"/>
          <w:u w:val="single"/>
        </w:rPr>
      </w:pPr>
      <w:r w:rsidRPr="00E75AE0">
        <w:rPr>
          <w:rFonts w:ascii="Calibri" w:hAnsi="Calibri" w:cs="Calibri"/>
          <w:sz w:val="22"/>
          <w:szCs w:val="22"/>
        </w:rPr>
        <w:t xml:space="preserve">3. </w:t>
      </w:r>
      <w:r w:rsidRPr="00D608E9">
        <w:rPr>
          <w:rFonts w:ascii="Calibri" w:hAnsi="Calibri" w:cs="Calibri"/>
          <w:sz w:val="22"/>
          <w:szCs w:val="22"/>
          <w:u w:val="single"/>
        </w:rPr>
        <w:t>Discussed the Uniform Licensing Standards (ULS)</w:t>
      </w:r>
    </w:p>
    <w:p w14:paraId="7CF9AC3D" w14:textId="77777777" w:rsidR="00780687" w:rsidRPr="00E75AE0" w:rsidRDefault="008019E8" w:rsidP="00C30FDE">
      <w:pPr>
        <w:rPr>
          <w:rFonts w:ascii="Calibri" w:hAnsi="Calibri" w:cs="Calibri"/>
          <w:sz w:val="22"/>
          <w:szCs w:val="22"/>
        </w:rPr>
      </w:pPr>
      <w:r w:rsidRPr="00F206B4">
        <w:rPr>
          <w:rFonts w:ascii="Calibri" w:hAnsi="Calibri" w:cs="Calibri"/>
          <w:sz w:val="22"/>
          <w:szCs w:val="22"/>
        </w:rPr>
        <w:t>Schlautman said the Working Group would address the ULS after finalizing the Handbook revisions. It would</w:t>
      </w:r>
      <w:r w:rsidRPr="00E75AE0">
        <w:rPr>
          <w:rFonts w:ascii="Calibri" w:hAnsi="Calibri" w:cs="Calibri"/>
          <w:sz w:val="22"/>
          <w:szCs w:val="22"/>
        </w:rPr>
        <w:t xml:space="preserve"> review the </w:t>
      </w:r>
      <w:r w:rsidRPr="00E75AE0">
        <w:rPr>
          <w:rFonts w:ascii="Calibri" w:hAnsi="Calibri" w:cs="Calibri"/>
          <w:sz w:val="22"/>
          <w:szCs w:val="22"/>
        </w:rPr>
        <w:t xml:space="preserve">results to identify </w:t>
      </w:r>
      <w:r w:rsidRPr="00F206B4">
        <w:rPr>
          <w:rFonts w:ascii="Calibri" w:hAnsi="Calibri" w:cs="Calibri"/>
          <w:sz w:val="22"/>
          <w:szCs w:val="22"/>
        </w:rPr>
        <w:t xml:space="preserve">actionable </w:t>
      </w:r>
      <w:r w:rsidRPr="00E75AE0">
        <w:rPr>
          <w:rFonts w:ascii="Calibri" w:hAnsi="Calibri" w:cs="Calibri"/>
          <w:sz w:val="22"/>
          <w:szCs w:val="22"/>
        </w:rPr>
        <w:t>areas</w:t>
      </w:r>
      <w:r w:rsidRPr="00F206B4">
        <w:rPr>
          <w:rFonts w:ascii="Calibri" w:hAnsi="Calibri" w:cs="Calibri"/>
          <w:sz w:val="22"/>
          <w:szCs w:val="22"/>
        </w:rPr>
        <w:t>, including clearer</w:t>
      </w:r>
      <w:r w:rsidRPr="00E75AE0">
        <w:rPr>
          <w:rFonts w:ascii="Calibri" w:hAnsi="Calibri" w:cs="Calibri"/>
          <w:sz w:val="22"/>
          <w:szCs w:val="22"/>
        </w:rPr>
        <w:t xml:space="preserve"> standards for </w:t>
      </w:r>
      <w:r w:rsidRPr="00E75AE0">
        <w:rPr>
          <w:rFonts w:ascii="Calibri" w:hAnsi="Calibri" w:cs="Calibri"/>
          <w:sz w:val="22"/>
          <w:szCs w:val="22"/>
        </w:rPr>
        <w:t>future surveys</w:t>
      </w:r>
      <w:r w:rsidRPr="00F206B4">
        <w:rPr>
          <w:rFonts w:ascii="Calibri" w:hAnsi="Calibri" w:cs="Calibri"/>
          <w:sz w:val="22"/>
          <w:szCs w:val="22"/>
        </w:rPr>
        <w:t xml:space="preserve">, and </w:t>
      </w:r>
      <w:r w:rsidRPr="00E75AE0">
        <w:rPr>
          <w:rFonts w:ascii="Calibri" w:hAnsi="Calibri" w:cs="Calibri"/>
          <w:sz w:val="22"/>
          <w:szCs w:val="22"/>
        </w:rPr>
        <w:t xml:space="preserve">compare the current </w:t>
      </w:r>
      <w:r w:rsidRPr="00F206B4">
        <w:rPr>
          <w:rFonts w:ascii="Calibri" w:hAnsi="Calibri" w:cs="Calibri"/>
          <w:sz w:val="22"/>
          <w:szCs w:val="22"/>
        </w:rPr>
        <w:t xml:space="preserve">and previous </w:t>
      </w:r>
      <w:r w:rsidRPr="00E75AE0">
        <w:rPr>
          <w:rFonts w:ascii="Calibri" w:hAnsi="Calibri" w:cs="Calibri"/>
          <w:sz w:val="22"/>
          <w:szCs w:val="22"/>
        </w:rPr>
        <w:t xml:space="preserve">results to </w:t>
      </w:r>
      <w:r w:rsidRPr="00E75AE0">
        <w:rPr>
          <w:rFonts w:ascii="Calibri" w:hAnsi="Calibri" w:cs="Calibri"/>
          <w:sz w:val="22"/>
          <w:szCs w:val="22"/>
        </w:rPr>
        <w:t xml:space="preserve">determine whether any </w:t>
      </w:r>
      <w:r w:rsidR="009171E5" w:rsidRPr="009171E5">
        <w:rPr>
          <w:rFonts w:ascii="Calibri" w:hAnsi="Calibri" w:cs="Calibri"/>
          <w:sz w:val="22"/>
          <w:szCs w:val="22"/>
        </w:rPr>
        <w:t>states’</w:t>
      </w:r>
      <w:r w:rsidRPr="00E75AE0">
        <w:rPr>
          <w:rFonts w:ascii="Calibri" w:hAnsi="Calibri" w:cs="Calibri"/>
          <w:sz w:val="22"/>
          <w:szCs w:val="22"/>
        </w:rPr>
        <w:t xml:space="preserve"> compliance </w:t>
      </w:r>
      <w:r w:rsidR="009171E5" w:rsidRPr="009171E5">
        <w:rPr>
          <w:rFonts w:ascii="Calibri" w:hAnsi="Calibri" w:cs="Calibri"/>
          <w:sz w:val="22"/>
          <w:szCs w:val="22"/>
        </w:rPr>
        <w:t xml:space="preserve">levels had declined </w:t>
      </w:r>
      <w:r w:rsidRPr="00E75AE0">
        <w:rPr>
          <w:rFonts w:ascii="Calibri" w:hAnsi="Calibri" w:cs="Calibri"/>
          <w:sz w:val="22"/>
          <w:szCs w:val="22"/>
        </w:rPr>
        <w:t>and</w:t>
      </w:r>
      <w:r w:rsidRPr="00E75AE0">
        <w:rPr>
          <w:rFonts w:ascii="Calibri" w:hAnsi="Calibri" w:cs="Calibri"/>
          <w:sz w:val="22"/>
          <w:szCs w:val="22"/>
        </w:rPr>
        <w:t xml:space="preserve"> why.</w:t>
      </w:r>
    </w:p>
    <w:p w14:paraId="4DB5B1A4" w14:textId="77777777" w:rsidR="00C87283" w:rsidRPr="00E75AE0" w:rsidRDefault="00C87283">
      <w:pPr>
        <w:spacing w:after="80"/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4. </w:t>
      </w:r>
      <w:r w:rsidRPr="00D608E9">
        <w:rPr>
          <w:rFonts w:ascii="Calibri" w:hAnsi="Calibri" w:cs="Calibri"/>
          <w:sz w:val="22"/>
          <w:szCs w:val="22"/>
          <w:u w:val="single"/>
        </w:rPr>
        <w:t>Discussed Any Other Matters</w:t>
      </w:r>
    </w:p>
    <w:p w14:paraId="6E529383" w14:textId="77777777" w:rsidR="00780687" w:rsidRPr="00E75AE0" w:rsidRDefault="008019E8" w:rsidP="003E5CE8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 xml:space="preserve">Zoe Wojnowich (Council of Insurance Agents &amp; Brokers—CIAB) asked whether </w:t>
      </w:r>
      <w:r w:rsidR="00AC64D3" w:rsidRPr="00AC64D3">
        <w:rPr>
          <w:rFonts w:ascii="Calibri" w:hAnsi="Calibri" w:cs="Calibri"/>
          <w:sz w:val="22"/>
          <w:szCs w:val="22"/>
        </w:rPr>
        <w:t xml:space="preserve">the Working Group was still accepting </w:t>
      </w:r>
      <w:r w:rsidRPr="00E75AE0">
        <w:rPr>
          <w:rFonts w:ascii="Calibri" w:hAnsi="Calibri" w:cs="Calibri"/>
          <w:sz w:val="22"/>
          <w:szCs w:val="22"/>
        </w:rPr>
        <w:t>comments on Chapter 24—Managing General Agents</w:t>
      </w:r>
      <w:r w:rsidRPr="004C1189">
        <w:rPr>
          <w:rFonts w:ascii="Calibri" w:hAnsi="Calibri" w:cs="Calibri"/>
          <w:sz w:val="22"/>
          <w:szCs w:val="22"/>
        </w:rPr>
        <w:t>, noting that</w:t>
      </w:r>
      <w:r w:rsidRPr="00E75AE0">
        <w:rPr>
          <w:rFonts w:ascii="Calibri" w:hAnsi="Calibri" w:cs="Calibri"/>
          <w:sz w:val="22"/>
          <w:szCs w:val="22"/>
        </w:rPr>
        <w:t xml:space="preserve"> CIAB </w:t>
      </w:r>
      <w:r w:rsidRPr="006928F8">
        <w:rPr>
          <w:rFonts w:ascii="Calibri" w:hAnsi="Calibri" w:cs="Calibri"/>
          <w:sz w:val="22"/>
          <w:szCs w:val="22"/>
        </w:rPr>
        <w:t>had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EC112A">
        <w:rPr>
          <w:rFonts w:ascii="Calibri" w:hAnsi="Calibri" w:cs="Calibri"/>
          <w:sz w:val="22"/>
          <w:szCs w:val="22"/>
        </w:rPr>
        <w:t>identified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4C1189">
        <w:rPr>
          <w:rFonts w:ascii="Calibri" w:hAnsi="Calibri" w:cs="Calibri"/>
          <w:sz w:val="22"/>
          <w:szCs w:val="22"/>
        </w:rPr>
        <w:t>state inconsistencies</w:t>
      </w:r>
      <w:r w:rsidRPr="00E75AE0">
        <w:rPr>
          <w:rFonts w:ascii="Calibri" w:hAnsi="Calibri" w:cs="Calibri"/>
          <w:sz w:val="22"/>
          <w:szCs w:val="22"/>
        </w:rPr>
        <w:t xml:space="preserve"> and </w:t>
      </w:r>
      <w:r w:rsidRPr="006928F8">
        <w:rPr>
          <w:rFonts w:ascii="Calibri" w:hAnsi="Calibri" w:cs="Calibri"/>
          <w:sz w:val="22"/>
          <w:szCs w:val="22"/>
        </w:rPr>
        <w:t>was</w:t>
      </w:r>
      <w:r w:rsidRPr="00E75AE0">
        <w:rPr>
          <w:rFonts w:ascii="Calibri" w:hAnsi="Calibri" w:cs="Calibri"/>
          <w:sz w:val="22"/>
          <w:szCs w:val="22"/>
        </w:rPr>
        <w:t xml:space="preserve"> collecting </w:t>
      </w:r>
      <w:r w:rsidRPr="00EC112A">
        <w:rPr>
          <w:rFonts w:ascii="Calibri" w:hAnsi="Calibri" w:cs="Calibri"/>
          <w:sz w:val="22"/>
          <w:szCs w:val="22"/>
        </w:rPr>
        <w:t xml:space="preserve">member </w:t>
      </w:r>
      <w:r w:rsidRPr="00E75AE0">
        <w:rPr>
          <w:rFonts w:ascii="Calibri" w:hAnsi="Calibri" w:cs="Calibri"/>
          <w:sz w:val="22"/>
          <w:szCs w:val="22"/>
        </w:rPr>
        <w:t>feedback</w:t>
      </w:r>
      <w:r w:rsidRPr="006928F8">
        <w:rPr>
          <w:rFonts w:ascii="Calibri" w:hAnsi="Calibri" w:cs="Calibri"/>
          <w:sz w:val="22"/>
          <w:szCs w:val="22"/>
        </w:rPr>
        <w:t>.</w:t>
      </w:r>
      <w:r w:rsidRPr="00E75AE0">
        <w:rPr>
          <w:rFonts w:ascii="Calibri" w:hAnsi="Calibri" w:cs="Calibri"/>
          <w:sz w:val="22"/>
          <w:szCs w:val="22"/>
        </w:rPr>
        <w:t xml:space="preserve"> Schlautman </w:t>
      </w:r>
      <w:r w:rsidRPr="006928F8">
        <w:rPr>
          <w:rFonts w:ascii="Calibri" w:hAnsi="Calibri" w:cs="Calibri"/>
          <w:sz w:val="22"/>
          <w:szCs w:val="22"/>
        </w:rPr>
        <w:t>welcomed</w:t>
      </w:r>
      <w:r w:rsidRPr="00E75AE0">
        <w:rPr>
          <w:rFonts w:ascii="Calibri" w:hAnsi="Calibri" w:cs="Calibri"/>
          <w:sz w:val="22"/>
          <w:szCs w:val="22"/>
        </w:rPr>
        <w:t xml:space="preserve"> comments</w:t>
      </w:r>
      <w:r w:rsidRPr="00EC112A">
        <w:rPr>
          <w:rFonts w:ascii="Calibri" w:hAnsi="Calibri" w:cs="Calibri"/>
          <w:sz w:val="22"/>
          <w:szCs w:val="22"/>
        </w:rPr>
        <w:t>,</w:t>
      </w:r>
      <w:r w:rsidRPr="00E75AE0">
        <w:rPr>
          <w:rFonts w:ascii="Calibri" w:hAnsi="Calibri" w:cs="Calibri"/>
          <w:sz w:val="22"/>
          <w:szCs w:val="22"/>
        </w:rPr>
        <w:t xml:space="preserve"> and </w:t>
      </w:r>
      <w:r w:rsidRPr="00E75AE0">
        <w:rPr>
          <w:rFonts w:ascii="Calibri" w:hAnsi="Calibri" w:cs="Calibri"/>
          <w:sz w:val="22"/>
          <w:szCs w:val="22"/>
        </w:rPr>
        <w:t xml:space="preserve">Welker </w:t>
      </w:r>
      <w:r w:rsidR="00AC64D3" w:rsidRPr="00AC64D3">
        <w:rPr>
          <w:rFonts w:ascii="Calibri" w:hAnsi="Calibri" w:cs="Calibri"/>
          <w:sz w:val="22"/>
          <w:szCs w:val="22"/>
        </w:rPr>
        <w:t>asked whether CIAB could respond</w:t>
      </w:r>
      <w:r w:rsidRPr="00E75AE0">
        <w:rPr>
          <w:rFonts w:ascii="Calibri" w:hAnsi="Calibri" w:cs="Calibri"/>
          <w:sz w:val="22"/>
          <w:szCs w:val="22"/>
        </w:rPr>
        <w:t xml:space="preserve"> by the end of the week</w:t>
      </w:r>
      <w:r w:rsidRPr="001A5D3A">
        <w:rPr>
          <w:rFonts w:ascii="Calibri" w:hAnsi="Calibri" w:cs="Calibri"/>
          <w:sz w:val="22"/>
          <w:szCs w:val="22"/>
        </w:rPr>
        <w:t xml:space="preserve"> </w:t>
      </w:r>
      <w:r w:rsidR="00AC64D3" w:rsidRPr="00AC64D3">
        <w:rPr>
          <w:rFonts w:ascii="Calibri" w:hAnsi="Calibri" w:cs="Calibri"/>
          <w:sz w:val="22"/>
          <w:szCs w:val="22"/>
        </w:rPr>
        <w:t>to allow</w:t>
      </w:r>
      <w:r w:rsidRPr="004C1189">
        <w:rPr>
          <w:rFonts w:ascii="Calibri" w:hAnsi="Calibri" w:cs="Calibri"/>
          <w:sz w:val="22"/>
          <w:szCs w:val="22"/>
        </w:rPr>
        <w:t xml:space="preserve"> </w:t>
      </w:r>
      <w:r w:rsidRPr="001A5D3A">
        <w:rPr>
          <w:rFonts w:ascii="Calibri" w:hAnsi="Calibri" w:cs="Calibri"/>
          <w:sz w:val="22"/>
          <w:szCs w:val="22"/>
        </w:rPr>
        <w:t>review by Schlautman and Huisken.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E75AE0">
        <w:rPr>
          <w:rFonts w:ascii="Calibri" w:hAnsi="Calibri" w:cs="Calibri"/>
          <w:sz w:val="22"/>
          <w:szCs w:val="22"/>
        </w:rPr>
        <w:t>Wojnowich</w:t>
      </w:r>
      <w:proofErr w:type="spellEnd"/>
      <w:r w:rsidRPr="00E75AE0">
        <w:rPr>
          <w:rFonts w:ascii="Calibri" w:hAnsi="Calibri" w:cs="Calibri"/>
          <w:sz w:val="22"/>
          <w:szCs w:val="22"/>
        </w:rPr>
        <w:t xml:space="preserve"> said she would confirm </w:t>
      </w:r>
      <w:r w:rsidRPr="00E75AE0">
        <w:rPr>
          <w:rFonts w:ascii="Calibri" w:hAnsi="Calibri" w:cs="Calibri"/>
          <w:sz w:val="22"/>
          <w:szCs w:val="22"/>
        </w:rPr>
        <w:t>with her team</w:t>
      </w:r>
      <w:r w:rsidRPr="001A5D3A">
        <w:rPr>
          <w:rFonts w:ascii="Calibri" w:hAnsi="Calibri" w:cs="Calibri"/>
          <w:sz w:val="22"/>
          <w:szCs w:val="22"/>
        </w:rPr>
        <w:t>, and</w:t>
      </w:r>
      <w:r w:rsidRPr="00E75AE0">
        <w:rPr>
          <w:rFonts w:ascii="Calibri" w:hAnsi="Calibri" w:cs="Calibri"/>
          <w:sz w:val="22"/>
          <w:szCs w:val="22"/>
        </w:rPr>
        <w:t xml:space="preserve"> Huisken </w:t>
      </w:r>
      <w:r w:rsidR="00AC64D3" w:rsidRPr="00AC64D3">
        <w:rPr>
          <w:rFonts w:ascii="Calibri" w:hAnsi="Calibri" w:cs="Calibri"/>
          <w:sz w:val="22"/>
          <w:szCs w:val="22"/>
        </w:rPr>
        <w:t xml:space="preserve">said she </w:t>
      </w:r>
      <w:r w:rsidRPr="00E75AE0">
        <w:rPr>
          <w:rFonts w:ascii="Calibri" w:hAnsi="Calibri" w:cs="Calibri"/>
          <w:sz w:val="22"/>
          <w:szCs w:val="22"/>
        </w:rPr>
        <w:t>would follow up with Welker</w:t>
      </w:r>
      <w:r w:rsidRPr="001A5D3A">
        <w:rPr>
          <w:rFonts w:ascii="Calibri" w:hAnsi="Calibri" w:cs="Calibri"/>
          <w:sz w:val="22"/>
          <w:szCs w:val="22"/>
        </w:rPr>
        <w:t>.</w:t>
      </w:r>
      <w:r w:rsidRPr="00E75AE0">
        <w:rPr>
          <w:rFonts w:ascii="Calibri" w:hAnsi="Calibri" w:cs="Calibri"/>
          <w:sz w:val="22"/>
          <w:szCs w:val="22"/>
        </w:rPr>
        <w:t xml:space="preserve"> Welker </w:t>
      </w:r>
      <w:r w:rsidRPr="001A5D3A">
        <w:rPr>
          <w:rFonts w:ascii="Calibri" w:hAnsi="Calibri" w:cs="Calibri"/>
          <w:sz w:val="22"/>
          <w:szCs w:val="22"/>
        </w:rPr>
        <w:t>noted that</w:t>
      </w:r>
      <w:r w:rsidRPr="00E75AE0">
        <w:rPr>
          <w:rFonts w:ascii="Calibri" w:hAnsi="Calibri" w:cs="Calibri"/>
          <w:sz w:val="22"/>
          <w:szCs w:val="22"/>
        </w:rPr>
        <w:t xml:space="preserve"> the Task </w:t>
      </w:r>
      <w:r w:rsidRPr="001A5D3A">
        <w:rPr>
          <w:rFonts w:ascii="Calibri" w:hAnsi="Calibri" w:cs="Calibri"/>
          <w:sz w:val="22"/>
          <w:szCs w:val="22"/>
        </w:rPr>
        <w:t xml:space="preserve">Force’s </w:t>
      </w:r>
      <w:r w:rsidRPr="00E75AE0">
        <w:rPr>
          <w:rFonts w:ascii="Calibri" w:hAnsi="Calibri" w:cs="Calibri"/>
          <w:sz w:val="22"/>
          <w:szCs w:val="22"/>
        </w:rPr>
        <w:t>30</w:t>
      </w:r>
      <w:r w:rsidRPr="001A5D3A">
        <w:rPr>
          <w:rFonts w:ascii="Calibri" w:hAnsi="Calibri" w:cs="Calibri"/>
          <w:sz w:val="22"/>
          <w:szCs w:val="22"/>
        </w:rPr>
        <w:t>-day exposure would provide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6928F8">
        <w:rPr>
          <w:rFonts w:ascii="Calibri" w:hAnsi="Calibri" w:cs="Calibri"/>
          <w:sz w:val="22"/>
          <w:szCs w:val="22"/>
        </w:rPr>
        <w:t>another</w:t>
      </w:r>
      <w:r w:rsidRPr="00E75AE0">
        <w:rPr>
          <w:rFonts w:ascii="Calibri" w:hAnsi="Calibri" w:cs="Calibri"/>
          <w:sz w:val="22"/>
          <w:szCs w:val="22"/>
        </w:rPr>
        <w:t xml:space="preserve"> opportunity </w:t>
      </w:r>
      <w:r w:rsidRPr="004C1189">
        <w:rPr>
          <w:rFonts w:ascii="Calibri" w:hAnsi="Calibri" w:cs="Calibri"/>
          <w:sz w:val="22"/>
          <w:szCs w:val="22"/>
        </w:rPr>
        <w:t>to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1A5D3A">
        <w:rPr>
          <w:rFonts w:ascii="Calibri" w:hAnsi="Calibri" w:cs="Calibri"/>
          <w:sz w:val="22"/>
          <w:szCs w:val="22"/>
        </w:rPr>
        <w:t>comment.</w:t>
      </w:r>
      <w:r w:rsidRPr="00E75AE0">
        <w:rPr>
          <w:rFonts w:ascii="Calibri" w:hAnsi="Calibri" w:cs="Calibri"/>
          <w:sz w:val="22"/>
          <w:szCs w:val="22"/>
        </w:rPr>
        <w:t xml:space="preserve"> Schlautman said the Working Group </w:t>
      </w:r>
      <w:r w:rsidRPr="006928F8">
        <w:rPr>
          <w:rFonts w:ascii="Calibri" w:hAnsi="Calibri" w:cs="Calibri"/>
          <w:sz w:val="22"/>
          <w:szCs w:val="22"/>
        </w:rPr>
        <w:t>would</w:t>
      </w:r>
      <w:r w:rsidRPr="00E75AE0">
        <w:rPr>
          <w:rFonts w:ascii="Calibri" w:hAnsi="Calibri" w:cs="Calibri"/>
          <w:sz w:val="22"/>
          <w:szCs w:val="22"/>
        </w:rPr>
        <w:t xml:space="preserve"> </w:t>
      </w:r>
      <w:r w:rsidRPr="00E75AE0">
        <w:rPr>
          <w:rFonts w:ascii="Calibri" w:hAnsi="Calibri" w:cs="Calibri"/>
          <w:sz w:val="22"/>
          <w:szCs w:val="22"/>
        </w:rPr>
        <w:t xml:space="preserve">determine whether further discussion </w:t>
      </w:r>
      <w:r w:rsidRPr="00EC112A">
        <w:rPr>
          <w:rFonts w:ascii="Calibri" w:hAnsi="Calibri" w:cs="Calibri"/>
          <w:sz w:val="22"/>
          <w:szCs w:val="22"/>
        </w:rPr>
        <w:t>was needed</w:t>
      </w:r>
      <w:r w:rsidRPr="004C1189">
        <w:rPr>
          <w:rFonts w:ascii="Calibri" w:hAnsi="Calibri" w:cs="Calibri"/>
          <w:sz w:val="22"/>
          <w:szCs w:val="22"/>
        </w:rPr>
        <w:t xml:space="preserve"> after reviewing any comments</w:t>
      </w:r>
      <w:r w:rsidRPr="00EC112A">
        <w:rPr>
          <w:rFonts w:ascii="Calibri" w:hAnsi="Calibri" w:cs="Calibri"/>
          <w:sz w:val="22"/>
          <w:szCs w:val="22"/>
        </w:rPr>
        <w:t>.</w:t>
      </w:r>
    </w:p>
    <w:p w14:paraId="55BA709D" w14:textId="77777777" w:rsidR="00C87283" w:rsidRPr="00E75AE0" w:rsidRDefault="00C87283">
      <w:pPr>
        <w:rPr>
          <w:rFonts w:ascii="Calibri" w:hAnsi="Calibri" w:cs="Calibri"/>
          <w:sz w:val="22"/>
          <w:szCs w:val="22"/>
        </w:rPr>
      </w:pPr>
      <w:r w:rsidRPr="00E75AE0">
        <w:rPr>
          <w:rFonts w:ascii="Calibri" w:hAnsi="Calibri" w:cs="Calibri"/>
          <w:sz w:val="22"/>
          <w:szCs w:val="22"/>
        </w:rPr>
        <w:t>Having no further business, the Producer Licensing Uniformity (D) Working Group adjourned.</w:t>
      </w:r>
    </w:p>
    <w:p w14:paraId="7D38A00B" w14:textId="77777777" w:rsidR="00780687" w:rsidRPr="00E75AE0" w:rsidRDefault="00780687">
      <w:pPr>
        <w:rPr>
          <w:rFonts w:ascii="Calibri" w:hAnsi="Calibri" w:cs="Calibri"/>
          <w:sz w:val="22"/>
          <w:szCs w:val="22"/>
        </w:rPr>
      </w:pPr>
    </w:p>
    <w:sectPr w:rsidR="00780687" w:rsidRPr="00E75AE0" w:rsidSect="004626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E85D8" w14:textId="77777777" w:rsidR="008019E8" w:rsidRDefault="008019E8" w:rsidP="00F136D3">
      <w:pPr>
        <w:spacing w:after="0" w:line="240" w:lineRule="auto"/>
      </w:pPr>
      <w:r>
        <w:separator/>
      </w:r>
    </w:p>
  </w:endnote>
  <w:endnote w:type="continuationSeparator" w:id="0">
    <w:p w14:paraId="6E127691" w14:textId="77777777" w:rsidR="008019E8" w:rsidRDefault="008019E8" w:rsidP="00F1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2B80F" w14:textId="77777777" w:rsidR="006703C6" w:rsidRDefault="006703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96"/>
      <w:gridCol w:w="284"/>
    </w:tblGrid>
    <w:tr w:rsidR="00462607" w14:paraId="76AEE63D" w14:textId="77777777">
      <w:tc>
        <w:tcPr>
          <w:tcW w:w="0" w:type="auto"/>
          <w:tcMar>
            <w:top w:w="15" w:type="dxa"/>
            <w:left w:w="15" w:type="dxa"/>
            <w:bottom w:w="15" w:type="dxa"/>
            <w:right w:w="15" w:type="dxa"/>
          </w:tcMar>
          <w:vAlign w:val="center"/>
          <w:hideMark/>
        </w:tcPr>
        <w:p w14:paraId="6A31668D" w14:textId="77777777" w:rsidR="00462607" w:rsidRDefault="00462607">
          <w:pPr>
            <w:spacing w:before="100" w:beforeAutospacing="1" w:after="100" w:afterAutospacing="1"/>
            <w:rPr>
              <w:kern w:val="0"/>
              <w14:ligatures w14:val="none"/>
            </w:rPr>
          </w:pPr>
          <w:proofErr w:type="gramStart"/>
          <w:r>
            <w:rPr>
              <w:rFonts w:ascii="Calibri" w:hAnsi="Calibri" w:cs="Calibri"/>
              <w:sz w:val="18"/>
              <w:szCs w:val="18"/>
            </w:rPr>
            <w:t>© 2026 National Association</w:t>
          </w:r>
          <w:proofErr w:type="gramEnd"/>
          <w:r>
            <w:rPr>
              <w:rFonts w:ascii="Calibri" w:hAnsi="Calibri" w:cs="Calibri"/>
              <w:sz w:val="18"/>
              <w:szCs w:val="18"/>
            </w:rPr>
            <w:t xml:space="preserve"> of Insurance Commissioners</w:t>
          </w:r>
        </w:p>
      </w:tc>
      <w:tc>
        <w:tcPr>
          <w:tcW w:w="0" w:type="auto"/>
          <w:tcMar>
            <w:top w:w="15" w:type="dxa"/>
            <w:left w:w="15" w:type="dxa"/>
            <w:bottom w:w="15" w:type="dxa"/>
            <w:right w:w="15" w:type="dxa"/>
          </w:tcMar>
          <w:vAlign w:val="center"/>
          <w:hideMark/>
        </w:tcPr>
        <w:p w14:paraId="043815F4" w14:textId="3BCCB819" w:rsidR="00462607" w:rsidRDefault="00462607">
          <w:pPr>
            <w:spacing w:before="100" w:beforeAutospacing="1" w:after="100" w:afterAutospacing="1"/>
            <w:jc w:val="right"/>
          </w:pPr>
          <w:r>
            <w:rPr>
              <w:rFonts w:ascii="Calibri" w:hAnsi="Calibri" w:cs="Calibri"/>
              <w:sz w:val="18"/>
              <w:szCs w:val="18"/>
            </w:rPr>
            <w:fldChar w:fldCharType="begin"/>
          </w:r>
          <w:r>
            <w:rPr>
              <w:rFonts w:ascii="Calibri" w:hAnsi="Calibri" w:cs="Calibri"/>
              <w:sz w:val="18"/>
              <w:szCs w:val="18"/>
            </w:rPr>
            <w:instrText>PAGE</w:instrText>
          </w:r>
          <w:r>
            <w:rPr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Fonts w:ascii="Calibri" w:hAnsi="Calibri" w:cs="Calibri"/>
              <w:noProof/>
              <w:sz w:val="18"/>
              <w:szCs w:val="18"/>
            </w:rPr>
            <w:t>1</w:t>
          </w:r>
          <w:r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14:paraId="2EC39FA2" w14:textId="77777777" w:rsidR="00462607" w:rsidRDefault="00462607">
    <w:pPr>
      <w:pStyle w:val="Footer"/>
      <w:rPr>
        <w:rFonts w:eastAsiaTheme="minorEastAsia"/>
      </w:rPr>
    </w:pPr>
    <w:r>
      <w:t> </w:t>
    </w:r>
  </w:p>
  <w:p w14:paraId="375DC162" w14:textId="21CFCBDE" w:rsidR="006703C6" w:rsidRDefault="00462607">
    <w:pPr>
      <w:pStyle w:val="Footer"/>
    </w:pPr>
    <w: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DBDDB" w14:textId="77777777" w:rsidR="006703C6" w:rsidRDefault="006703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54B2A" w14:textId="77777777" w:rsidR="008019E8" w:rsidRDefault="008019E8" w:rsidP="00F136D3">
      <w:pPr>
        <w:spacing w:after="0" w:line="240" w:lineRule="auto"/>
      </w:pPr>
      <w:r>
        <w:separator/>
      </w:r>
    </w:p>
  </w:footnote>
  <w:footnote w:type="continuationSeparator" w:id="0">
    <w:p w14:paraId="05473066" w14:textId="77777777" w:rsidR="008019E8" w:rsidRDefault="008019E8" w:rsidP="00F136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AC3E" w14:textId="7E860582" w:rsidR="00F136D3" w:rsidRDefault="00F136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3D97" w14:textId="683D13FA" w:rsidR="00F136D3" w:rsidRDefault="00F136D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2F6C" w14:textId="3C3E2DB3" w:rsidR="00F136D3" w:rsidRDefault="00F136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6D3"/>
    <w:rsid w:val="00084371"/>
    <w:rsid w:val="00100608"/>
    <w:rsid w:val="001700B0"/>
    <w:rsid w:val="00171368"/>
    <w:rsid w:val="001A5D3A"/>
    <w:rsid w:val="001C3641"/>
    <w:rsid w:val="001D4054"/>
    <w:rsid w:val="001F2313"/>
    <w:rsid w:val="001F5C33"/>
    <w:rsid w:val="001F6661"/>
    <w:rsid w:val="002465AC"/>
    <w:rsid w:val="002A1E6F"/>
    <w:rsid w:val="002B3027"/>
    <w:rsid w:val="00417D27"/>
    <w:rsid w:val="00454FB6"/>
    <w:rsid w:val="00462607"/>
    <w:rsid w:val="004C1189"/>
    <w:rsid w:val="00552480"/>
    <w:rsid w:val="006703C6"/>
    <w:rsid w:val="006928F8"/>
    <w:rsid w:val="0070229E"/>
    <w:rsid w:val="00704E2C"/>
    <w:rsid w:val="00746CF3"/>
    <w:rsid w:val="00761ACA"/>
    <w:rsid w:val="00780687"/>
    <w:rsid w:val="00794B61"/>
    <w:rsid w:val="007E7728"/>
    <w:rsid w:val="008019E8"/>
    <w:rsid w:val="00842DD1"/>
    <w:rsid w:val="008450CF"/>
    <w:rsid w:val="008724D5"/>
    <w:rsid w:val="008A54B1"/>
    <w:rsid w:val="008B174A"/>
    <w:rsid w:val="008D0D07"/>
    <w:rsid w:val="008F31C1"/>
    <w:rsid w:val="009171E5"/>
    <w:rsid w:val="00920FF0"/>
    <w:rsid w:val="009347F1"/>
    <w:rsid w:val="0097050C"/>
    <w:rsid w:val="009976B2"/>
    <w:rsid w:val="009A5FD7"/>
    <w:rsid w:val="009F484C"/>
    <w:rsid w:val="00A52229"/>
    <w:rsid w:val="00A808DA"/>
    <w:rsid w:val="00AA56F8"/>
    <w:rsid w:val="00AB4CF8"/>
    <w:rsid w:val="00AC64D3"/>
    <w:rsid w:val="00AD6102"/>
    <w:rsid w:val="00B05134"/>
    <w:rsid w:val="00B41EAC"/>
    <w:rsid w:val="00B64E5A"/>
    <w:rsid w:val="00BA3869"/>
    <w:rsid w:val="00BF1C69"/>
    <w:rsid w:val="00BF5B14"/>
    <w:rsid w:val="00C635BD"/>
    <w:rsid w:val="00C87104"/>
    <w:rsid w:val="00C87283"/>
    <w:rsid w:val="00D02FDE"/>
    <w:rsid w:val="00D056EF"/>
    <w:rsid w:val="00D608E9"/>
    <w:rsid w:val="00DB6DED"/>
    <w:rsid w:val="00E23450"/>
    <w:rsid w:val="00E52C8F"/>
    <w:rsid w:val="00E75AE0"/>
    <w:rsid w:val="00EC112A"/>
    <w:rsid w:val="00EE2AA7"/>
    <w:rsid w:val="00F136D3"/>
    <w:rsid w:val="00F206B4"/>
    <w:rsid w:val="00F36BA2"/>
    <w:rsid w:val="00F37BAD"/>
    <w:rsid w:val="00F45841"/>
    <w:rsid w:val="00F80F73"/>
    <w:rsid w:val="00F86910"/>
    <w:rsid w:val="00FC10E0"/>
    <w:rsid w:val="00FC3B12"/>
    <w:rsid w:val="00FD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32BE8"/>
  <w15:chartTrackingRefBased/>
  <w15:docId w15:val="{690AED35-9D2C-4CA3-BEF7-A61E9F482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36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36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36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36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36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36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36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36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36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36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36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36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36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36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36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36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36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36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36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36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36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36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36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36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36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36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36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36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36D3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136D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136D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136D3"/>
    <w:rPr>
      <w:i/>
      <w:iCs/>
    </w:rPr>
  </w:style>
  <w:style w:type="paragraph" w:styleId="NoSpacing">
    <w:name w:val="No Spacing"/>
    <w:uiPriority w:val="1"/>
    <w:qFormat/>
    <w:rsid w:val="00F136D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136D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136D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136D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136D3"/>
    <w:pPr>
      <w:spacing w:before="240" w:after="0"/>
      <w:outlineLvl w:val="9"/>
    </w:pPr>
    <w:rPr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F13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6D3"/>
  </w:style>
  <w:style w:type="paragraph" w:styleId="Footer">
    <w:name w:val="footer"/>
    <w:basedOn w:val="Normal"/>
    <w:link w:val="FooterChar"/>
    <w:uiPriority w:val="99"/>
    <w:unhideWhenUsed/>
    <w:rsid w:val="00D608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8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2026-09-23T03:49:01+00:00</_EndDate>
    <StartDate xmlns="http://schemas.microsoft.com/sharepoint/v3">2026-09-23T03:49:01+00:00</StartDate>
    <Date xmlns="55eb7663-75cc-4f64-9609-52561375e7a6" xsi:nil="true"/>
    <Location xmlns="http://schemas.microsoft.com/sharepoint/v3/fields" xsi:nil="true"/>
    <Meeting_x0020_Type xmlns="734dc620-9a3c-4363-b6b2-552d0a5c0ad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0E523D-FA0B-4B6E-8A8F-A793F07DF0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CFE135-A4DF-4DF3-B77A-C70294FDD8F0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3.xml><?xml version="1.0" encoding="utf-8"?>
<ds:datastoreItem xmlns:ds="http://schemas.openxmlformats.org/officeDocument/2006/customXml" ds:itemID="{283A9879-E9EF-4614-AECB-E9326F07E5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34dc620-9a3c-4363-b6b2-552d0a5c0ad8"/>
    <ds:schemaRef ds:uri="http://schemas.microsoft.com/sharepoint/v3/fields"/>
    <ds:schemaRef ds:uri="55eb7663-75cc-4f64-9609-52561375e7a6"/>
    <ds:schemaRef ds:uri="3c9e15a3-223f-4584-afb1-1dbe0b38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91d6779-84c4-4848-881c-2e6e36c3fc98}" enabled="1" method="Privileged" siteId="{61f7c44d-d510-4321-9258-956e71d8b5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1189</Words>
  <Characters>6783</Characters>
  <Application>Microsoft Office Word</Application>
  <DocSecurity>0</DocSecurity>
  <Lines>91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Welker, Greg</dc:creator>
  <cp:keywords/>
  <dc:description/>
  <cp:lastModifiedBy>Welker, Greg</cp:lastModifiedBy>
  <cp:revision>2</cp:revision>
  <dcterms:created xsi:type="dcterms:W3CDTF">2026-10-07T04:36:00Z</dcterms:created>
  <dcterms:modified xsi:type="dcterms:W3CDTF">2026-10-07T04:36:00Z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0x010100376674D47D81254AAE898D727025BAAD</vt:lpwstr>
  </property>
  <property fmtid="{D5CDD505-2E9C-101B-9397-08002B2CF9AE}" pid="3" name="MediaServiceImageTags">
    <vt:lpwstr/>
  </property>
</Properties>
</file>