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72125" w14:textId="62B15656" w:rsidR="002C3BF3" w:rsidRPr="00950BEB" w:rsidRDefault="002C3BF3" w:rsidP="00141182">
      <w:pPr>
        <w:jc w:val="both"/>
        <w:rPr>
          <w:rFonts w:ascii="Calibri" w:hAnsi="Calibri" w:cs="Calibri"/>
          <w:sz w:val="22"/>
          <w:szCs w:val="22"/>
        </w:rPr>
      </w:pPr>
      <w:r w:rsidRPr="00950BEB">
        <w:rPr>
          <w:rFonts w:ascii="Calibri" w:hAnsi="Calibri" w:cs="Calibri"/>
          <w:sz w:val="22"/>
          <w:szCs w:val="22"/>
        </w:rPr>
        <w:t>T</w:t>
      </w:r>
      <w:r w:rsidR="00591741" w:rsidRPr="00950BEB">
        <w:rPr>
          <w:rFonts w:ascii="Calibri" w:hAnsi="Calibri" w:cs="Calibri"/>
          <w:sz w:val="22"/>
          <w:szCs w:val="22"/>
        </w:rPr>
        <w:t xml:space="preserve">o: </w:t>
      </w:r>
      <w:r w:rsidRPr="00950BEB">
        <w:rPr>
          <w:rFonts w:ascii="Calibri" w:hAnsi="Calibri" w:cs="Calibri"/>
          <w:sz w:val="22"/>
          <w:szCs w:val="22"/>
        </w:rPr>
        <w:tab/>
      </w:r>
      <w:r w:rsidR="00160658">
        <w:rPr>
          <w:rFonts w:ascii="Calibri" w:hAnsi="Calibri" w:cs="Calibri"/>
          <w:sz w:val="22"/>
          <w:szCs w:val="22"/>
        </w:rPr>
        <w:t>Rachel Hemphill</w:t>
      </w:r>
      <w:r w:rsidR="00CC7DE3" w:rsidRPr="00950BEB">
        <w:rPr>
          <w:rFonts w:ascii="Calibri" w:hAnsi="Calibri" w:cs="Calibri"/>
          <w:sz w:val="22"/>
          <w:szCs w:val="22"/>
        </w:rPr>
        <w:t xml:space="preserve">, Chair of the </w:t>
      </w:r>
      <w:r w:rsidR="002A57AC">
        <w:rPr>
          <w:rFonts w:ascii="Calibri" w:hAnsi="Calibri" w:cs="Calibri"/>
          <w:sz w:val="22"/>
          <w:szCs w:val="22"/>
        </w:rPr>
        <w:t xml:space="preserve">Life Actuarial (A) </w:t>
      </w:r>
      <w:r w:rsidR="00D159E5">
        <w:rPr>
          <w:rFonts w:ascii="Calibri" w:hAnsi="Calibri" w:cs="Calibri"/>
          <w:sz w:val="22"/>
          <w:szCs w:val="22"/>
        </w:rPr>
        <w:t>Task Force</w:t>
      </w:r>
    </w:p>
    <w:p w14:paraId="1CA1475F" w14:textId="65FE7C75" w:rsidR="003821E4" w:rsidRPr="00950BEB" w:rsidRDefault="003821E4" w:rsidP="000A2587">
      <w:pPr>
        <w:spacing w:after="120"/>
        <w:jc w:val="both"/>
        <w:rPr>
          <w:rFonts w:ascii="Calibri" w:hAnsi="Calibri" w:cs="Calibri"/>
          <w:sz w:val="22"/>
          <w:szCs w:val="22"/>
        </w:rPr>
      </w:pPr>
      <w:r w:rsidRPr="00950BEB">
        <w:rPr>
          <w:rFonts w:ascii="Calibri" w:hAnsi="Calibri" w:cs="Calibri"/>
          <w:sz w:val="22"/>
          <w:szCs w:val="22"/>
        </w:rPr>
        <w:tab/>
      </w:r>
      <w:r w:rsidR="00160658">
        <w:rPr>
          <w:rFonts w:ascii="Calibri" w:hAnsi="Calibri" w:cs="Calibri"/>
          <w:sz w:val="22"/>
          <w:szCs w:val="22"/>
        </w:rPr>
        <w:t>Craig Chupp</w:t>
      </w:r>
      <w:r w:rsidRPr="00950BEB">
        <w:rPr>
          <w:rFonts w:ascii="Calibri" w:hAnsi="Calibri" w:cs="Calibri"/>
          <w:sz w:val="22"/>
          <w:szCs w:val="22"/>
        </w:rPr>
        <w:t xml:space="preserve">, Vice Chair of the </w:t>
      </w:r>
      <w:r w:rsidR="002A57AC">
        <w:rPr>
          <w:rFonts w:ascii="Calibri" w:hAnsi="Calibri" w:cs="Calibri"/>
          <w:sz w:val="22"/>
          <w:szCs w:val="22"/>
        </w:rPr>
        <w:t>Life Actuarial (A)</w:t>
      </w:r>
      <w:r w:rsidR="00D159E5">
        <w:rPr>
          <w:rFonts w:ascii="Calibri" w:hAnsi="Calibri" w:cs="Calibri"/>
          <w:sz w:val="22"/>
          <w:szCs w:val="22"/>
        </w:rPr>
        <w:t xml:space="preserve"> Task Force</w:t>
      </w:r>
    </w:p>
    <w:p w14:paraId="04BF76F7" w14:textId="47F5D5D3" w:rsidR="002C3BF3" w:rsidRPr="00950BEB" w:rsidRDefault="00591741" w:rsidP="00AD57FF">
      <w:pPr>
        <w:jc w:val="both"/>
        <w:rPr>
          <w:rFonts w:ascii="Calibri" w:hAnsi="Calibri" w:cs="Calibri"/>
          <w:sz w:val="22"/>
          <w:szCs w:val="22"/>
        </w:rPr>
      </w:pPr>
      <w:r w:rsidRPr="00950BEB">
        <w:rPr>
          <w:rFonts w:ascii="Calibri" w:hAnsi="Calibri" w:cs="Calibri"/>
          <w:sz w:val="22"/>
          <w:szCs w:val="22"/>
        </w:rPr>
        <w:t xml:space="preserve">From: </w:t>
      </w:r>
      <w:r w:rsidRPr="00950BEB">
        <w:rPr>
          <w:rFonts w:ascii="Calibri" w:hAnsi="Calibri" w:cs="Calibri"/>
          <w:sz w:val="22"/>
          <w:szCs w:val="22"/>
        </w:rPr>
        <w:tab/>
      </w:r>
      <w:r w:rsidR="005E02BF" w:rsidRPr="00950BEB">
        <w:rPr>
          <w:rFonts w:ascii="Calibri" w:hAnsi="Calibri" w:cs="Calibri"/>
          <w:sz w:val="22"/>
          <w:szCs w:val="22"/>
        </w:rPr>
        <w:t>Kevin Clark</w:t>
      </w:r>
      <w:r w:rsidR="002C3BF3" w:rsidRPr="00950BEB">
        <w:rPr>
          <w:rFonts w:ascii="Calibri" w:hAnsi="Calibri" w:cs="Calibri"/>
          <w:sz w:val="22"/>
          <w:szCs w:val="22"/>
        </w:rPr>
        <w:t xml:space="preserve">, Chair of the Statutory Accounting Principles (E) Working Group </w:t>
      </w:r>
    </w:p>
    <w:p w14:paraId="6F8F6CED" w14:textId="113A2CC1" w:rsidR="00AD57FF" w:rsidRPr="00950BEB" w:rsidRDefault="00AD57FF" w:rsidP="000A2587">
      <w:pPr>
        <w:spacing w:after="120"/>
        <w:jc w:val="both"/>
        <w:rPr>
          <w:rFonts w:ascii="Calibri" w:hAnsi="Calibri" w:cs="Calibri"/>
          <w:sz w:val="22"/>
          <w:szCs w:val="22"/>
        </w:rPr>
      </w:pPr>
      <w:r w:rsidRPr="00950BEB">
        <w:rPr>
          <w:rFonts w:ascii="Calibri" w:hAnsi="Calibri" w:cs="Calibri"/>
          <w:sz w:val="22"/>
          <w:szCs w:val="22"/>
        </w:rPr>
        <w:tab/>
      </w:r>
      <w:r w:rsidR="005E02BF">
        <w:rPr>
          <w:rFonts w:ascii="Calibri" w:hAnsi="Calibri" w:cs="Calibri"/>
          <w:sz w:val="22"/>
          <w:szCs w:val="22"/>
        </w:rPr>
        <w:t>Dale Bruggeman</w:t>
      </w:r>
      <w:r w:rsidRPr="00950BEB">
        <w:rPr>
          <w:rFonts w:ascii="Calibri" w:hAnsi="Calibri" w:cs="Calibri"/>
          <w:sz w:val="22"/>
          <w:szCs w:val="22"/>
        </w:rPr>
        <w:t>, Vice Chair of the Statutory Accounting Principles (E) Working Group</w:t>
      </w:r>
    </w:p>
    <w:p w14:paraId="40439222" w14:textId="07F5445D" w:rsidR="002C3BF3" w:rsidRPr="00950BEB" w:rsidRDefault="00591741" w:rsidP="000A2587">
      <w:pPr>
        <w:spacing w:after="120"/>
        <w:ind w:left="720" w:hanging="720"/>
        <w:jc w:val="both"/>
        <w:rPr>
          <w:rFonts w:ascii="Calibri" w:hAnsi="Calibri" w:cs="Calibri"/>
          <w:sz w:val="22"/>
          <w:szCs w:val="22"/>
        </w:rPr>
      </w:pPr>
      <w:r w:rsidRPr="00950BEB">
        <w:rPr>
          <w:rFonts w:ascii="Calibri" w:hAnsi="Calibri" w:cs="Calibri"/>
          <w:sz w:val="22"/>
          <w:szCs w:val="22"/>
        </w:rPr>
        <w:t xml:space="preserve">Re: </w:t>
      </w:r>
      <w:r w:rsidRPr="00950BEB">
        <w:rPr>
          <w:rFonts w:ascii="Calibri" w:hAnsi="Calibri" w:cs="Calibri"/>
          <w:sz w:val="22"/>
          <w:szCs w:val="22"/>
        </w:rPr>
        <w:tab/>
      </w:r>
      <w:r w:rsidR="00405A99">
        <w:rPr>
          <w:rFonts w:ascii="Calibri" w:hAnsi="Calibri" w:cs="Calibri"/>
          <w:sz w:val="22"/>
          <w:szCs w:val="22"/>
        </w:rPr>
        <w:t>Asset Liability Management Derivatives</w:t>
      </w:r>
      <w:r w:rsidR="007319C4" w:rsidRPr="00950BEB">
        <w:rPr>
          <w:rFonts w:ascii="Calibri" w:hAnsi="Calibri" w:cs="Calibri"/>
          <w:sz w:val="22"/>
          <w:szCs w:val="22"/>
        </w:rPr>
        <w:t xml:space="preserve"> (SAPWG Ref #</w:t>
      </w:r>
      <w:r w:rsidR="009440AB">
        <w:rPr>
          <w:rFonts w:ascii="Calibri" w:hAnsi="Calibri" w:cs="Calibri"/>
          <w:sz w:val="22"/>
          <w:szCs w:val="22"/>
        </w:rPr>
        <w:t>2024-15</w:t>
      </w:r>
      <w:r w:rsidR="007319C4" w:rsidRPr="00950BEB">
        <w:rPr>
          <w:rFonts w:ascii="Calibri" w:hAnsi="Calibri" w:cs="Calibri"/>
          <w:sz w:val="22"/>
          <w:szCs w:val="22"/>
        </w:rPr>
        <w:t>)</w:t>
      </w:r>
    </w:p>
    <w:p w14:paraId="7B4A093A" w14:textId="4C908418" w:rsidR="002F09A5" w:rsidRPr="00950BEB" w:rsidRDefault="4C61F28C" w:rsidP="45CE63C8">
      <w:pPr>
        <w:pBdr>
          <w:bottom w:val="single" w:sz="12" w:space="1" w:color="auto"/>
        </w:pBdr>
        <w:spacing w:after="120"/>
        <w:jc w:val="both"/>
        <w:rPr>
          <w:rFonts w:ascii="Calibri" w:hAnsi="Calibri" w:cs="Calibri"/>
          <w:sz w:val="22"/>
          <w:szCs w:val="22"/>
        </w:rPr>
      </w:pPr>
      <w:r w:rsidRPr="00950BEB">
        <w:rPr>
          <w:rFonts w:ascii="Calibri" w:hAnsi="Calibri" w:cs="Calibri"/>
          <w:sz w:val="22"/>
          <w:szCs w:val="22"/>
        </w:rPr>
        <w:t>Date:</w:t>
      </w:r>
      <w:r w:rsidRPr="00950BEB">
        <w:rPr>
          <w:rFonts w:ascii="Calibri" w:hAnsi="Calibri" w:cs="Calibri"/>
          <w:sz w:val="22"/>
          <w:szCs w:val="22"/>
        </w:rPr>
        <w:tab/>
      </w:r>
      <w:r w:rsidR="00F83373">
        <w:rPr>
          <w:rFonts w:ascii="Calibri" w:hAnsi="Calibri" w:cs="Calibri"/>
          <w:sz w:val="22"/>
          <w:szCs w:val="22"/>
        </w:rPr>
        <w:t>August 17</w:t>
      </w:r>
      <w:r w:rsidR="007319C4" w:rsidRPr="00950BEB">
        <w:rPr>
          <w:rFonts w:ascii="Calibri" w:hAnsi="Calibri" w:cs="Calibri"/>
          <w:sz w:val="22"/>
          <w:szCs w:val="22"/>
        </w:rPr>
        <w:t>, 202</w:t>
      </w:r>
      <w:r w:rsidR="00F83373">
        <w:rPr>
          <w:rFonts w:ascii="Calibri" w:hAnsi="Calibri" w:cs="Calibri"/>
          <w:sz w:val="22"/>
          <w:szCs w:val="22"/>
        </w:rPr>
        <w:t>6</w:t>
      </w:r>
    </w:p>
    <w:p w14:paraId="1FE3C2C6" w14:textId="1956AA0E" w:rsidR="00FB347C" w:rsidRPr="00C277FC" w:rsidRDefault="000C096B" w:rsidP="00292C82">
      <w:pPr>
        <w:pStyle w:val="BodyText2"/>
        <w:tabs>
          <w:tab w:val="right" w:pos="360"/>
          <w:tab w:val="left" w:pos="720"/>
        </w:tabs>
        <w:jc w:val="both"/>
        <w:rPr>
          <w:rFonts w:asciiTheme="minorHAnsi" w:hAnsiTheme="minorHAnsi" w:cstheme="minorHAnsi"/>
          <w:sz w:val="22"/>
          <w:szCs w:val="22"/>
        </w:rPr>
      </w:pPr>
      <w:r w:rsidRPr="00C277FC">
        <w:rPr>
          <w:rFonts w:asciiTheme="minorHAnsi" w:hAnsiTheme="minorHAnsi" w:cstheme="minorHAnsi"/>
          <w:sz w:val="22"/>
          <w:szCs w:val="22"/>
        </w:rPr>
        <w:t>Th</w:t>
      </w:r>
      <w:r w:rsidR="000B6C12" w:rsidRPr="00C277FC">
        <w:rPr>
          <w:rFonts w:asciiTheme="minorHAnsi" w:hAnsiTheme="minorHAnsi" w:cstheme="minorHAnsi"/>
          <w:sz w:val="22"/>
          <w:szCs w:val="22"/>
        </w:rPr>
        <w:t xml:space="preserve">is referral </w:t>
      </w:r>
      <w:r w:rsidR="004E1F05" w:rsidRPr="00C277FC">
        <w:rPr>
          <w:rFonts w:asciiTheme="minorHAnsi" w:hAnsiTheme="minorHAnsi" w:cstheme="minorHAnsi"/>
          <w:sz w:val="22"/>
          <w:szCs w:val="22"/>
        </w:rPr>
        <w:t xml:space="preserve">intends to </w:t>
      </w:r>
      <w:r w:rsidR="007319C4" w:rsidRPr="00C277FC">
        <w:rPr>
          <w:rFonts w:asciiTheme="minorHAnsi" w:hAnsiTheme="minorHAnsi" w:cstheme="minorHAnsi"/>
          <w:sz w:val="22"/>
          <w:szCs w:val="22"/>
        </w:rPr>
        <w:t xml:space="preserve">inform the </w:t>
      </w:r>
      <w:r w:rsidR="009440AB" w:rsidRPr="00C277FC">
        <w:rPr>
          <w:rFonts w:asciiTheme="minorHAnsi" w:hAnsiTheme="minorHAnsi" w:cstheme="minorHAnsi"/>
          <w:sz w:val="22"/>
          <w:szCs w:val="22"/>
        </w:rPr>
        <w:t xml:space="preserve">Life Actuarial (A) Task Force </w:t>
      </w:r>
      <w:r w:rsidR="002F0CB1" w:rsidRPr="00C277FC">
        <w:rPr>
          <w:rFonts w:asciiTheme="minorHAnsi" w:hAnsiTheme="minorHAnsi" w:cstheme="minorHAnsi"/>
          <w:sz w:val="22"/>
          <w:szCs w:val="22"/>
        </w:rPr>
        <w:t xml:space="preserve">of the </w:t>
      </w:r>
      <w:r w:rsidR="00F82CDA" w:rsidRPr="00C277FC">
        <w:rPr>
          <w:rFonts w:asciiTheme="minorHAnsi" w:hAnsiTheme="minorHAnsi" w:cstheme="minorHAnsi"/>
          <w:sz w:val="22"/>
          <w:szCs w:val="22"/>
        </w:rPr>
        <w:t>Statutory Accounting Principles (E) Working Group</w:t>
      </w:r>
      <w:r w:rsidR="00ED1D61" w:rsidRPr="00C277FC">
        <w:rPr>
          <w:rFonts w:asciiTheme="minorHAnsi" w:hAnsiTheme="minorHAnsi" w:cstheme="minorHAnsi"/>
          <w:sz w:val="22"/>
          <w:szCs w:val="22"/>
        </w:rPr>
        <w:t xml:space="preserve">’s project to establish new statutory accounting provisions for </w:t>
      </w:r>
      <w:r w:rsidR="000F6343" w:rsidRPr="00C277FC">
        <w:rPr>
          <w:rFonts w:asciiTheme="minorHAnsi" w:hAnsiTheme="minorHAnsi" w:cstheme="minorHAnsi"/>
          <w:sz w:val="22"/>
          <w:szCs w:val="22"/>
        </w:rPr>
        <w:t>“a</w:t>
      </w:r>
      <w:r w:rsidR="00ED1D61" w:rsidRPr="00C277FC">
        <w:rPr>
          <w:rFonts w:asciiTheme="minorHAnsi" w:hAnsiTheme="minorHAnsi" w:cstheme="minorHAnsi"/>
          <w:sz w:val="22"/>
          <w:szCs w:val="22"/>
        </w:rPr>
        <w:t xml:space="preserve">sset </w:t>
      </w:r>
      <w:r w:rsidR="000F6343" w:rsidRPr="00C277FC">
        <w:rPr>
          <w:rFonts w:asciiTheme="minorHAnsi" w:hAnsiTheme="minorHAnsi" w:cstheme="minorHAnsi"/>
          <w:sz w:val="22"/>
          <w:szCs w:val="22"/>
        </w:rPr>
        <w:t>l</w:t>
      </w:r>
      <w:r w:rsidR="00ED1D61" w:rsidRPr="00C277FC">
        <w:rPr>
          <w:rFonts w:asciiTheme="minorHAnsi" w:hAnsiTheme="minorHAnsi" w:cstheme="minorHAnsi"/>
          <w:sz w:val="22"/>
          <w:szCs w:val="22"/>
        </w:rPr>
        <w:t xml:space="preserve">iability </w:t>
      </w:r>
      <w:r w:rsidR="000F6343" w:rsidRPr="00C277FC">
        <w:rPr>
          <w:rFonts w:asciiTheme="minorHAnsi" w:hAnsiTheme="minorHAnsi" w:cstheme="minorHAnsi"/>
          <w:sz w:val="22"/>
          <w:szCs w:val="22"/>
        </w:rPr>
        <w:t>m</w:t>
      </w:r>
      <w:r w:rsidR="00ED1D61" w:rsidRPr="00C277FC">
        <w:rPr>
          <w:rFonts w:asciiTheme="minorHAnsi" w:hAnsiTheme="minorHAnsi" w:cstheme="minorHAnsi"/>
          <w:sz w:val="22"/>
          <w:szCs w:val="22"/>
        </w:rPr>
        <w:t>anagement (ALM) derivatives</w:t>
      </w:r>
      <w:r w:rsidR="000F6343" w:rsidRPr="00C277FC">
        <w:rPr>
          <w:rFonts w:asciiTheme="minorHAnsi" w:hAnsiTheme="minorHAnsi" w:cstheme="minorHAnsi"/>
          <w:sz w:val="22"/>
          <w:szCs w:val="22"/>
        </w:rPr>
        <w:t xml:space="preserve">” with a request for assistance in </w:t>
      </w:r>
      <w:r w:rsidR="00FB347C" w:rsidRPr="00C277FC">
        <w:rPr>
          <w:rFonts w:asciiTheme="minorHAnsi" w:hAnsiTheme="minorHAnsi" w:cstheme="minorHAnsi"/>
          <w:sz w:val="22"/>
          <w:szCs w:val="22"/>
        </w:rPr>
        <w:t xml:space="preserve">reviewing and assessing the guidance prior to its adoption. </w:t>
      </w:r>
      <w:r w:rsidR="007C1A11" w:rsidRPr="00C277FC">
        <w:rPr>
          <w:rFonts w:asciiTheme="minorHAnsi" w:hAnsiTheme="minorHAnsi" w:cstheme="minorHAnsi"/>
          <w:sz w:val="22"/>
          <w:szCs w:val="22"/>
        </w:rPr>
        <w:t>Specifically, the Working Group request</w:t>
      </w:r>
      <w:r w:rsidR="00286DC6" w:rsidRPr="00C277FC">
        <w:rPr>
          <w:rFonts w:asciiTheme="minorHAnsi" w:hAnsiTheme="minorHAnsi" w:cstheme="minorHAnsi"/>
          <w:sz w:val="22"/>
          <w:szCs w:val="22"/>
        </w:rPr>
        <w:t>s</w:t>
      </w:r>
      <w:r w:rsidR="007C1A11" w:rsidRPr="00C277FC">
        <w:rPr>
          <w:rFonts w:asciiTheme="minorHAnsi" w:hAnsiTheme="minorHAnsi" w:cstheme="minorHAnsi"/>
          <w:sz w:val="22"/>
          <w:szCs w:val="22"/>
        </w:rPr>
        <w:t xml:space="preserve"> that the Task Force consider </w:t>
      </w:r>
      <w:r w:rsidR="00286DC6" w:rsidRPr="00C277FC">
        <w:rPr>
          <w:rFonts w:asciiTheme="minorHAnsi" w:hAnsiTheme="minorHAnsi" w:cstheme="minorHAnsi"/>
          <w:sz w:val="22"/>
          <w:szCs w:val="22"/>
        </w:rPr>
        <w:t xml:space="preserve">facilitating a pilot project </w:t>
      </w:r>
      <w:r w:rsidR="008A3017" w:rsidRPr="00C277FC">
        <w:rPr>
          <w:rFonts w:asciiTheme="minorHAnsi" w:hAnsiTheme="minorHAnsi" w:cstheme="minorHAnsi"/>
          <w:sz w:val="22"/>
          <w:szCs w:val="22"/>
        </w:rPr>
        <w:t>in early 2027</w:t>
      </w:r>
      <w:r w:rsidR="001571DF">
        <w:rPr>
          <w:rFonts w:asciiTheme="minorHAnsi" w:hAnsiTheme="minorHAnsi" w:cstheme="minorHAnsi"/>
          <w:sz w:val="22"/>
          <w:szCs w:val="22"/>
        </w:rPr>
        <w:t xml:space="preserve"> (or sooner if preferred)</w:t>
      </w:r>
      <w:r w:rsidR="008A3017" w:rsidRPr="00C277FC">
        <w:rPr>
          <w:rFonts w:asciiTheme="minorHAnsi" w:hAnsiTheme="minorHAnsi" w:cstheme="minorHAnsi"/>
          <w:sz w:val="22"/>
          <w:szCs w:val="22"/>
        </w:rPr>
        <w:t xml:space="preserve"> </w:t>
      </w:r>
      <w:r w:rsidR="002E5E0F" w:rsidRPr="00C277FC">
        <w:rPr>
          <w:rFonts w:asciiTheme="minorHAnsi" w:hAnsiTheme="minorHAnsi" w:cstheme="minorHAnsi"/>
          <w:sz w:val="22"/>
          <w:szCs w:val="22"/>
        </w:rPr>
        <w:t>to ensure regulatory life actuaries understand and are comfortable with the specific hedge effectiveness tests proposed to be used by industry</w:t>
      </w:r>
      <w:r w:rsidR="00DD36DC" w:rsidRPr="00C277FC">
        <w:rPr>
          <w:rFonts w:asciiTheme="minorHAnsi" w:hAnsiTheme="minorHAnsi" w:cstheme="minorHAnsi"/>
          <w:sz w:val="22"/>
          <w:szCs w:val="22"/>
        </w:rPr>
        <w:t xml:space="preserve">, with consideration of additional specifications that should be included in the statutory guidance around how effectiveness testing should be performed. </w:t>
      </w:r>
    </w:p>
    <w:p w14:paraId="60131910" w14:textId="77777777" w:rsidR="008A3017" w:rsidRPr="00C277FC" w:rsidRDefault="008A3017" w:rsidP="00292C82">
      <w:pPr>
        <w:pStyle w:val="BodyText2"/>
        <w:tabs>
          <w:tab w:val="right" w:pos="360"/>
          <w:tab w:val="left" w:pos="720"/>
        </w:tabs>
        <w:jc w:val="both"/>
        <w:rPr>
          <w:rFonts w:asciiTheme="minorHAnsi" w:hAnsiTheme="minorHAnsi" w:cstheme="minorHAnsi"/>
          <w:sz w:val="22"/>
          <w:szCs w:val="22"/>
        </w:rPr>
      </w:pPr>
    </w:p>
    <w:p w14:paraId="6620B270" w14:textId="30000C77" w:rsidR="008A3017" w:rsidRPr="00C277FC" w:rsidRDefault="008A3017" w:rsidP="00292C82">
      <w:pPr>
        <w:pStyle w:val="BodyText2"/>
        <w:tabs>
          <w:tab w:val="right" w:pos="360"/>
          <w:tab w:val="left" w:pos="720"/>
        </w:tabs>
        <w:jc w:val="both"/>
        <w:rPr>
          <w:rFonts w:asciiTheme="minorHAnsi" w:hAnsiTheme="minorHAnsi" w:cstheme="minorHAnsi"/>
          <w:sz w:val="22"/>
          <w:szCs w:val="22"/>
        </w:rPr>
      </w:pPr>
      <w:r w:rsidRPr="00C277FC">
        <w:rPr>
          <w:rFonts w:asciiTheme="minorHAnsi" w:hAnsiTheme="minorHAnsi" w:cstheme="minorHAnsi"/>
          <w:sz w:val="22"/>
          <w:szCs w:val="22"/>
        </w:rPr>
        <w:t xml:space="preserve">As background, </w:t>
      </w:r>
      <w:r w:rsidR="006B7867" w:rsidRPr="00C277FC">
        <w:rPr>
          <w:rFonts w:asciiTheme="minorHAnsi" w:hAnsiTheme="minorHAnsi" w:cstheme="minorHAnsi"/>
          <w:sz w:val="22"/>
          <w:szCs w:val="22"/>
        </w:rPr>
        <w:t xml:space="preserve">the proposed guidance intends to </w:t>
      </w:r>
      <w:r w:rsidR="002E321C" w:rsidRPr="00C277FC">
        <w:rPr>
          <w:rFonts w:asciiTheme="minorHAnsi" w:hAnsiTheme="minorHAnsi" w:cstheme="minorHAnsi"/>
          <w:sz w:val="22"/>
          <w:szCs w:val="22"/>
        </w:rPr>
        <w:t xml:space="preserve">address interest-rate hedging derivatives that do not qualify as </w:t>
      </w:r>
      <w:r w:rsidR="007850C3" w:rsidRPr="00C277FC">
        <w:rPr>
          <w:rFonts w:asciiTheme="minorHAnsi" w:hAnsiTheme="minorHAnsi" w:cstheme="minorHAnsi"/>
          <w:sz w:val="22"/>
          <w:szCs w:val="22"/>
        </w:rPr>
        <w:t>accounting</w:t>
      </w:r>
      <w:r w:rsidR="002A57AC">
        <w:rPr>
          <w:rFonts w:asciiTheme="minorHAnsi" w:hAnsiTheme="minorHAnsi" w:cstheme="minorHAnsi"/>
          <w:sz w:val="22"/>
          <w:szCs w:val="22"/>
        </w:rPr>
        <w:t>-</w:t>
      </w:r>
      <w:r w:rsidR="002E321C" w:rsidRPr="00C277FC">
        <w:rPr>
          <w:rFonts w:asciiTheme="minorHAnsi" w:hAnsiTheme="minorHAnsi" w:cstheme="minorHAnsi"/>
          <w:sz w:val="22"/>
          <w:szCs w:val="22"/>
        </w:rPr>
        <w:t xml:space="preserve">effective hedges under </w:t>
      </w:r>
      <w:r w:rsidR="002E321C" w:rsidRPr="00C277FC">
        <w:rPr>
          <w:rFonts w:asciiTheme="minorHAnsi" w:hAnsiTheme="minorHAnsi" w:cstheme="minorHAnsi"/>
          <w:i/>
          <w:iCs/>
          <w:sz w:val="22"/>
          <w:szCs w:val="22"/>
        </w:rPr>
        <w:t>SSAP No. 86—Derivatives</w:t>
      </w:r>
      <w:r w:rsidR="002E321C" w:rsidRPr="00C277FC">
        <w:rPr>
          <w:rFonts w:asciiTheme="minorHAnsi" w:hAnsiTheme="minorHAnsi" w:cstheme="minorHAnsi"/>
          <w:sz w:val="22"/>
          <w:szCs w:val="22"/>
        </w:rPr>
        <w:t>, but that are used for asset</w:t>
      </w:r>
      <w:r w:rsidR="00280468" w:rsidRPr="00C277FC">
        <w:rPr>
          <w:rFonts w:asciiTheme="minorHAnsi" w:hAnsiTheme="minorHAnsi" w:cstheme="minorHAnsi"/>
          <w:sz w:val="22"/>
          <w:szCs w:val="22"/>
        </w:rPr>
        <w:t xml:space="preserve"> </w:t>
      </w:r>
      <w:r w:rsidR="002E321C" w:rsidRPr="00C277FC">
        <w:rPr>
          <w:rFonts w:asciiTheme="minorHAnsi" w:hAnsiTheme="minorHAnsi" w:cstheme="minorHAnsi"/>
          <w:sz w:val="22"/>
          <w:szCs w:val="22"/>
        </w:rPr>
        <w:t xml:space="preserve">liability management. </w:t>
      </w:r>
      <w:r w:rsidR="00E90A2E" w:rsidRPr="00C277FC">
        <w:rPr>
          <w:rFonts w:asciiTheme="minorHAnsi" w:hAnsiTheme="minorHAnsi" w:cstheme="minorHAnsi"/>
          <w:sz w:val="22"/>
          <w:szCs w:val="22"/>
        </w:rPr>
        <w:t xml:space="preserve">The discussion originated from the interest maintenance reserve (IMR) project, as it was identified </w:t>
      </w:r>
      <w:r w:rsidR="00A558F0" w:rsidRPr="00C277FC">
        <w:rPr>
          <w:rFonts w:asciiTheme="minorHAnsi" w:hAnsiTheme="minorHAnsi" w:cstheme="minorHAnsi"/>
          <w:sz w:val="22"/>
          <w:szCs w:val="22"/>
        </w:rPr>
        <w:t xml:space="preserve">that certain members of </w:t>
      </w:r>
      <w:r w:rsidR="0032400F" w:rsidRPr="00C277FC">
        <w:rPr>
          <w:rFonts w:asciiTheme="minorHAnsi" w:hAnsiTheme="minorHAnsi" w:cstheme="minorHAnsi"/>
          <w:sz w:val="22"/>
          <w:szCs w:val="22"/>
        </w:rPr>
        <w:t xml:space="preserve">the life </w:t>
      </w:r>
      <w:r w:rsidR="00A558F0" w:rsidRPr="00C277FC">
        <w:rPr>
          <w:rFonts w:asciiTheme="minorHAnsi" w:hAnsiTheme="minorHAnsi" w:cstheme="minorHAnsi"/>
          <w:sz w:val="22"/>
          <w:szCs w:val="22"/>
        </w:rPr>
        <w:t xml:space="preserve">industry </w:t>
      </w:r>
      <w:r w:rsidR="00D050BF" w:rsidRPr="00C277FC">
        <w:rPr>
          <w:rFonts w:asciiTheme="minorHAnsi" w:hAnsiTheme="minorHAnsi" w:cstheme="minorHAnsi"/>
          <w:sz w:val="22"/>
          <w:szCs w:val="22"/>
        </w:rPr>
        <w:t>were</w:t>
      </w:r>
      <w:r w:rsidR="0032400F" w:rsidRPr="00C277FC">
        <w:rPr>
          <w:rFonts w:asciiTheme="minorHAnsi" w:hAnsiTheme="minorHAnsi" w:cstheme="minorHAnsi"/>
          <w:sz w:val="22"/>
          <w:szCs w:val="22"/>
        </w:rPr>
        <w:t xml:space="preserve"> allocating the gain or loss on these derivatives</w:t>
      </w:r>
      <w:r w:rsidR="00A558F0" w:rsidRPr="00C277FC">
        <w:rPr>
          <w:rFonts w:asciiTheme="minorHAnsi" w:hAnsiTheme="minorHAnsi" w:cstheme="minorHAnsi"/>
          <w:sz w:val="22"/>
          <w:szCs w:val="22"/>
        </w:rPr>
        <w:t xml:space="preserve">, which they considered </w:t>
      </w:r>
      <w:r w:rsidR="002A57AC" w:rsidRPr="00C277FC">
        <w:rPr>
          <w:rFonts w:asciiTheme="minorHAnsi" w:hAnsiTheme="minorHAnsi" w:cstheme="minorHAnsi"/>
          <w:sz w:val="22"/>
          <w:szCs w:val="22"/>
        </w:rPr>
        <w:t>economically</w:t>
      </w:r>
      <w:r w:rsidR="002A57AC">
        <w:rPr>
          <w:rFonts w:asciiTheme="minorHAnsi" w:hAnsiTheme="minorHAnsi" w:cstheme="minorHAnsi"/>
          <w:sz w:val="22"/>
          <w:szCs w:val="22"/>
        </w:rPr>
        <w:t xml:space="preserve"> effective</w:t>
      </w:r>
      <w:r w:rsidR="00A558F0" w:rsidRPr="00C277FC">
        <w:rPr>
          <w:rFonts w:asciiTheme="minorHAnsi" w:hAnsiTheme="minorHAnsi" w:cstheme="minorHAnsi"/>
          <w:sz w:val="22"/>
          <w:szCs w:val="22"/>
        </w:rPr>
        <w:t xml:space="preserve">, </w:t>
      </w:r>
      <w:r w:rsidR="0032400F" w:rsidRPr="00C277FC">
        <w:rPr>
          <w:rFonts w:asciiTheme="minorHAnsi" w:hAnsiTheme="minorHAnsi" w:cstheme="minorHAnsi"/>
          <w:sz w:val="22"/>
          <w:szCs w:val="22"/>
        </w:rPr>
        <w:t xml:space="preserve">to IMR at termination. </w:t>
      </w:r>
      <w:r w:rsidR="00F02F33" w:rsidRPr="00C277FC">
        <w:rPr>
          <w:rFonts w:asciiTheme="minorHAnsi" w:hAnsiTheme="minorHAnsi" w:cstheme="minorHAnsi"/>
          <w:sz w:val="22"/>
          <w:szCs w:val="22"/>
        </w:rPr>
        <w:t xml:space="preserve">As the derivatives did not qualify as accounting-effective, they were held at fair value throughout the life of the derivative, with fair value changes reflected in surplus. At termination, the resulting gain or loss (already reflected in surplus), was reversed and allocated to IMR for deferral </w:t>
      </w:r>
      <w:r w:rsidR="00F60644" w:rsidRPr="00C277FC">
        <w:rPr>
          <w:rFonts w:asciiTheme="minorHAnsi" w:hAnsiTheme="minorHAnsi" w:cstheme="minorHAnsi"/>
          <w:sz w:val="22"/>
          <w:szCs w:val="22"/>
        </w:rPr>
        <w:t xml:space="preserve">and recognition into income over a period of time.  </w:t>
      </w:r>
      <w:r w:rsidR="00D050BF" w:rsidRPr="00C277FC">
        <w:rPr>
          <w:rFonts w:asciiTheme="minorHAnsi" w:hAnsiTheme="minorHAnsi" w:cstheme="minorHAnsi"/>
          <w:sz w:val="22"/>
          <w:szCs w:val="22"/>
        </w:rPr>
        <w:t xml:space="preserve">With the IMR revisions, clarifications have been included that these derivative structures will not be permitted allocation to the IMR. </w:t>
      </w:r>
      <w:r w:rsidR="008E232A" w:rsidRPr="00C277FC">
        <w:rPr>
          <w:rFonts w:asciiTheme="minorHAnsi" w:hAnsiTheme="minorHAnsi" w:cstheme="minorHAnsi"/>
          <w:sz w:val="22"/>
          <w:szCs w:val="22"/>
        </w:rPr>
        <w:t xml:space="preserve">Rather, </w:t>
      </w:r>
      <w:r w:rsidR="00CE38AF" w:rsidRPr="00C277FC">
        <w:rPr>
          <w:rFonts w:asciiTheme="minorHAnsi" w:hAnsiTheme="minorHAnsi" w:cstheme="minorHAnsi"/>
          <w:sz w:val="22"/>
          <w:szCs w:val="22"/>
        </w:rPr>
        <w:t>the development of</w:t>
      </w:r>
      <w:r w:rsidR="008E232A" w:rsidRPr="00C277FC">
        <w:rPr>
          <w:rFonts w:asciiTheme="minorHAnsi" w:hAnsiTheme="minorHAnsi" w:cstheme="minorHAnsi"/>
          <w:sz w:val="22"/>
          <w:szCs w:val="22"/>
        </w:rPr>
        <w:t xml:space="preserve"> new guidance </w:t>
      </w:r>
      <w:r w:rsidR="00242C48" w:rsidRPr="00C277FC">
        <w:rPr>
          <w:rFonts w:asciiTheme="minorHAnsi" w:hAnsiTheme="minorHAnsi" w:cstheme="minorHAnsi"/>
          <w:sz w:val="22"/>
          <w:szCs w:val="22"/>
        </w:rPr>
        <w:t xml:space="preserve">to prescribe specific accounting treatment for these derivatives </w:t>
      </w:r>
      <w:r w:rsidR="00CE38AF" w:rsidRPr="00C277FC">
        <w:rPr>
          <w:rFonts w:asciiTheme="minorHAnsi" w:hAnsiTheme="minorHAnsi" w:cstheme="minorHAnsi"/>
          <w:sz w:val="22"/>
          <w:szCs w:val="22"/>
        </w:rPr>
        <w:t xml:space="preserve">is being considered. </w:t>
      </w:r>
    </w:p>
    <w:p w14:paraId="34B33968" w14:textId="77777777" w:rsidR="00FB347C" w:rsidRPr="00C277FC" w:rsidRDefault="00FB347C" w:rsidP="00292C82">
      <w:pPr>
        <w:pStyle w:val="BodyText2"/>
        <w:tabs>
          <w:tab w:val="right" w:pos="360"/>
          <w:tab w:val="left" w:pos="720"/>
        </w:tabs>
        <w:jc w:val="both"/>
        <w:rPr>
          <w:rFonts w:asciiTheme="minorHAnsi" w:hAnsiTheme="minorHAnsi" w:cstheme="minorHAnsi"/>
          <w:sz w:val="22"/>
          <w:szCs w:val="22"/>
        </w:rPr>
      </w:pPr>
    </w:p>
    <w:p w14:paraId="398AE93A" w14:textId="64F2F07F" w:rsidR="00062C96" w:rsidRPr="00C277FC" w:rsidRDefault="004A0050" w:rsidP="00292C82">
      <w:pPr>
        <w:pStyle w:val="BodyText2"/>
        <w:tabs>
          <w:tab w:val="right" w:pos="360"/>
          <w:tab w:val="left" w:pos="720"/>
        </w:tabs>
        <w:jc w:val="both"/>
        <w:rPr>
          <w:rFonts w:asciiTheme="minorHAnsi" w:hAnsiTheme="minorHAnsi" w:cstheme="minorHAnsi"/>
          <w:sz w:val="22"/>
          <w:szCs w:val="22"/>
        </w:rPr>
      </w:pPr>
      <w:r w:rsidRPr="00C277FC">
        <w:rPr>
          <w:rFonts w:asciiTheme="minorHAnsi" w:hAnsiTheme="minorHAnsi" w:cstheme="minorHAnsi"/>
          <w:sz w:val="22"/>
          <w:szCs w:val="22"/>
        </w:rPr>
        <w:t xml:space="preserve">The proposed guidance in the </w:t>
      </w:r>
      <w:r w:rsidR="00C16ADA" w:rsidRPr="00C277FC">
        <w:rPr>
          <w:rFonts w:asciiTheme="minorHAnsi" w:hAnsiTheme="minorHAnsi" w:cstheme="minorHAnsi"/>
          <w:sz w:val="22"/>
          <w:szCs w:val="22"/>
        </w:rPr>
        <w:t xml:space="preserve">draft </w:t>
      </w:r>
      <w:r w:rsidRPr="00C277FC">
        <w:rPr>
          <w:rFonts w:asciiTheme="minorHAnsi" w:hAnsiTheme="minorHAnsi" w:cstheme="minorHAnsi"/>
          <w:sz w:val="22"/>
          <w:szCs w:val="22"/>
        </w:rPr>
        <w:t xml:space="preserve">new </w:t>
      </w:r>
      <w:r w:rsidRPr="00C277FC">
        <w:rPr>
          <w:rFonts w:asciiTheme="minorHAnsi" w:hAnsiTheme="minorHAnsi" w:cstheme="minorHAnsi"/>
          <w:i/>
          <w:iCs/>
          <w:sz w:val="22"/>
          <w:szCs w:val="22"/>
        </w:rPr>
        <w:t>SSAP No. 109—Asset Liability Management Derivatives</w:t>
      </w:r>
      <w:r w:rsidRPr="00C277FC">
        <w:rPr>
          <w:rFonts w:asciiTheme="minorHAnsi" w:hAnsiTheme="minorHAnsi" w:cstheme="minorHAnsi"/>
          <w:sz w:val="22"/>
          <w:szCs w:val="22"/>
        </w:rPr>
        <w:t xml:space="preserve"> (SSAP No. 109) </w:t>
      </w:r>
      <w:r w:rsidR="003F0070" w:rsidRPr="00C277FC">
        <w:rPr>
          <w:rFonts w:asciiTheme="minorHAnsi" w:hAnsiTheme="minorHAnsi" w:cstheme="minorHAnsi"/>
          <w:sz w:val="22"/>
          <w:szCs w:val="22"/>
        </w:rPr>
        <w:t xml:space="preserve">would allow qualifying derivative structures to be held at amortized cost. </w:t>
      </w:r>
      <w:r w:rsidR="00AC2C8E" w:rsidRPr="00C277FC">
        <w:rPr>
          <w:rFonts w:asciiTheme="minorHAnsi" w:hAnsiTheme="minorHAnsi" w:cstheme="minorHAnsi"/>
          <w:sz w:val="22"/>
          <w:szCs w:val="22"/>
        </w:rPr>
        <w:t xml:space="preserve">A derivative structure that qualified as highly effective at the time of termination or removal from the derivative program with a realized gain or loss </w:t>
      </w:r>
      <w:r w:rsidR="000D4DE5" w:rsidRPr="00C277FC">
        <w:rPr>
          <w:rFonts w:asciiTheme="minorHAnsi" w:hAnsiTheme="minorHAnsi" w:cstheme="minorHAnsi"/>
          <w:sz w:val="22"/>
          <w:szCs w:val="22"/>
        </w:rPr>
        <w:t xml:space="preserve">would </w:t>
      </w:r>
      <w:r w:rsidR="00A61241">
        <w:rPr>
          <w:rFonts w:asciiTheme="minorHAnsi" w:hAnsiTheme="minorHAnsi" w:cstheme="minorHAnsi"/>
          <w:sz w:val="22"/>
          <w:szCs w:val="22"/>
        </w:rPr>
        <w:t xml:space="preserve">result with allocation of the </w:t>
      </w:r>
      <w:r w:rsidR="00C277FC" w:rsidRPr="00C277FC">
        <w:rPr>
          <w:rFonts w:asciiTheme="minorHAnsi" w:hAnsiTheme="minorHAnsi" w:cstheme="minorHAnsi"/>
          <w:sz w:val="22"/>
          <w:szCs w:val="22"/>
        </w:rPr>
        <w:t>realized gain or loss</w:t>
      </w:r>
      <w:r w:rsidR="000D4DE5" w:rsidRPr="00C277FC">
        <w:rPr>
          <w:rFonts w:asciiTheme="minorHAnsi" w:hAnsiTheme="minorHAnsi" w:cstheme="minorHAnsi"/>
          <w:sz w:val="22"/>
          <w:szCs w:val="22"/>
        </w:rPr>
        <w:t xml:space="preserve"> to a deferred derivative account </w:t>
      </w:r>
      <w:r w:rsidR="00C277FC" w:rsidRPr="00C277FC">
        <w:rPr>
          <w:rFonts w:asciiTheme="minorHAnsi" w:hAnsiTheme="minorHAnsi" w:cstheme="minorHAnsi"/>
          <w:sz w:val="22"/>
          <w:szCs w:val="22"/>
        </w:rPr>
        <w:t>with amortization</w:t>
      </w:r>
      <w:r w:rsidR="00171A35" w:rsidRPr="00C277FC">
        <w:rPr>
          <w:rFonts w:asciiTheme="minorHAnsi" w:hAnsiTheme="minorHAnsi" w:cstheme="minorHAnsi"/>
          <w:sz w:val="22"/>
          <w:szCs w:val="22"/>
        </w:rPr>
        <w:t xml:space="preserve"> into income over the average life of the hedged liability portfolio, not to exceed 10 years. </w:t>
      </w:r>
    </w:p>
    <w:p w14:paraId="71B984A1" w14:textId="77777777" w:rsidR="00607A0C" w:rsidRPr="00C277FC" w:rsidRDefault="00607A0C" w:rsidP="00292C82">
      <w:pPr>
        <w:pStyle w:val="BodyText2"/>
        <w:tabs>
          <w:tab w:val="right" w:pos="360"/>
          <w:tab w:val="left" w:pos="720"/>
        </w:tabs>
        <w:jc w:val="both"/>
        <w:rPr>
          <w:rFonts w:asciiTheme="minorHAnsi" w:hAnsiTheme="minorHAnsi" w:cstheme="minorHAnsi"/>
          <w:sz w:val="22"/>
          <w:szCs w:val="22"/>
        </w:rPr>
      </w:pPr>
    </w:p>
    <w:p w14:paraId="364A2A04" w14:textId="32ADE246" w:rsidR="00607A0C" w:rsidRPr="00C277FC" w:rsidRDefault="00607A0C" w:rsidP="00292C82">
      <w:pPr>
        <w:pStyle w:val="BodyText2"/>
        <w:tabs>
          <w:tab w:val="right" w:pos="360"/>
          <w:tab w:val="left" w:pos="720"/>
        </w:tabs>
        <w:jc w:val="both"/>
        <w:rPr>
          <w:rFonts w:asciiTheme="minorHAnsi" w:hAnsiTheme="minorHAnsi" w:cstheme="minorHAnsi"/>
          <w:sz w:val="22"/>
          <w:szCs w:val="22"/>
        </w:rPr>
      </w:pPr>
      <w:r w:rsidRPr="00C277FC">
        <w:rPr>
          <w:rFonts w:asciiTheme="minorHAnsi" w:hAnsiTheme="minorHAnsi" w:cstheme="minorHAnsi"/>
          <w:sz w:val="22"/>
          <w:szCs w:val="22"/>
        </w:rPr>
        <w:t xml:space="preserve">A key aspect of the guidance is the assessment of whether the derivative is </w:t>
      </w:r>
      <w:r w:rsidR="00BB16A2" w:rsidRPr="00C277FC">
        <w:rPr>
          <w:rFonts w:asciiTheme="minorHAnsi" w:hAnsiTheme="minorHAnsi" w:cstheme="minorHAnsi"/>
          <w:sz w:val="22"/>
          <w:szCs w:val="22"/>
        </w:rPr>
        <w:t>highly effective</w:t>
      </w:r>
      <w:r w:rsidRPr="00C277FC">
        <w:rPr>
          <w:rFonts w:asciiTheme="minorHAnsi" w:hAnsiTheme="minorHAnsi" w:cstheme="minorHAnsi"/>
          <w:sz w:val="22"/>
          <w:szCs w:val="22"/>
        </w:rPr>
        <w:t xml:space="preserve">. The draft guidance currently permits one of three methods to be designated for this assessment: </w:t>
      </w:r>
    </w:p>
    <w:p w14:paraId="7EC91FB0" w14:textId="77777777" w:rsidR="00607A0C" w:rsidRPr="00C277FC" w:rsidRDefault="00607A0C" w:rsidP="00292C82">
      <w:pPr>
        <w:pStyle w:val="BodyText2"/>
        <w:tabs>
          <w:tab w:val="right" w:pos="360"/>
          <w:tab w:val="left" w:pos="720"/>
        </w:tabs>
        <w:jc w:val="both"/>
        <w:rPr>
          <w:rFonts w:asciiTheme="minorHAnsi" w:hAnsiTheme="minorHAnsi" w:cstheme="minorHAnsi"/>
          <w:sz w:val="22"/>
          <w:szCs w:val="22"/>
        </w:rPr>
      </w:pPr>
    </w:p>
    <w:p w14:paraId="738BF12A" w14:textId="3C2337E1" w:rsidR="00BB16A2" w:rsidRPr="00C277FC" w:rsidRDefault="00BB16A2" w:rsidP="00BB16A2">
      <w:pPr>
        <w:pStyle w:val="ListContinue"/>
        <w:numPr>
          <w:ilvl w:val="0"/>
          <w:numId w:val="24"/>
        </w:numPr>
        <w:tabs>
          <w:tab w:val="num" w:pos="720"/>
        </w:tabs>
        <w:rPr>
          <w:rFonts w:asciiTheme="minorHAnsi" w:hAnsiTheme="minorHAnsi" w:cstheme="minorHAnsi"/>
          <w:szCs w:val="22"/>
        </w:rPr>
      </w:pPr>
      <w:r w:rsidRPr="00C277FC">
        <w:rPr>
          <w:rFonts w:asciiTheme="minorHAnsi" w:hAnsiTheme="minorHAnsi" w:cstheme="minorHAnsi"/>
          <w:color w:val="010202"/>
          <w:szCs w:val="22"/>
        </w:rPr>
        <w:t>The term “highly</w:t>
      </w:r>
      <w:r w:rsidRPr="00C277FC">
        <w:rPr>
          <w:rFonts w:asciiTheme="minorHAnsi" w:hAnsiTheme="minorHAnsi" w:cstheme="minorHAnsi"/>
          <w:color w:val="010202"/>
          <w:spacing w:val="-3"/>
          <w:szCs w:val="22"/>
        </w:rPr>
        <w:t xml:space="preserve"> </w:t>
      </w:r>
      <w:r w:rsidRPr="00C277FC">
        <w:rPr>
          <w:rFonts w:asciiTheme="minorHAnsi" w:hAnsiTheme="minorHAnsi" w:cstheme="minorHAnsi"/>
          <w:color w:val="010202"/>
          <w:szCs w:val="22"/>
        </w:rPr>
        <w:t>effective”</w:t>
      </w:r>
      <w:r w:rsidRPr="00C277FC">
        <w:rPr>
          <w:rFonts w:asciiTheme="minorHAnsi" w:hAnsiTheme="minorHAnsi" w:cstheme="minorHAnsi"/>
          <w:color w:val="010202"/>
          <w:spacing w:val="-5"/>
          <w:szCs w:val="22"/>
        </w:rPr>
        <w:t xml:space="preserve"> </w:t>
      </w:r>
      <w:r w:rsidRPr="00C277FC">
        <w:rPr>
          <w:rFonts w:asciiTheme="minorHAnsi" w:hAnsiTheme="minorHAnsi" w:cstheme="minorHAnsi"/>
          <w:color w:val="010202"/>
          <w:szCs w:val="22"/>
        </w:rPr>
        <w:t>describes</w:t>
      </w:r>
      <w:r w:rsidRPr="00C277FC">
        <w:rPr>
          <w:rFonts w:asciiTheme="minorHAnsi" w:hAnsiTheme="minorHAnsi" w:cstheme="minorHAnsi"/>
          <w:color w:val="010202"/>
          <w:spacing w:val="-3"/>
          <w:szCs w:val="22"/>
        </w:rPr>
        <w:t xml:space="preserve"> </w:t>
      </w:r>
      <w:r w:rsidRPr="00C277FC">
        <w:rPr>
          <w:rFonts w:asciiTheme="minorHAnsi" w:hAnsiTheme="minorHAnsi" w:cstheme="minorHAnsi"/>
          <w:color w:val="010202"/>
          <w:szCs w:val="22"/>
        </w:rPr>
        <w:t>a</w:t>
      </w:r>
      <w:r w:rsidRPr="00C277FC">
        <w:rPr>
          <w:rFonts w:asciiTheme="minorHAnsi" w:hAnsiTheme="minorHAnsi" w:cstheme="minorHAnsi"/>
          <w:color w:val="010202"/>
          <w:spacing w:val="-1"/>
          <w:szCs w:val="22"/>
        </w:rPr>
        <w:t xml:space="preserve"> </w:t>
      </w:r>
      <w:r w:rsidRPr="00C277FC">
        <w:rPr>
          <w:rFonts w:asciiTheme="minorHAnsi" w:hAnsiTheme="minorHAnsi" w:cstheme="minorHAnsi"/>
          <w:color w:val="010202"/>
          <w:szCs w:val="22"/>
        </w:rPr>
        <w:t>reduction</w:t>
      </w:r>
      <w:r w:rsidRPr="00C277FC">
        <w:rPr>
          <w:rFonts w:asciiTheme="minorHAnsi" w:hAnsiTheme="minorHAnsi" w:cstheme="minorHAnsi"/>
          <w:color w:val="010202"/>
          <w:spacing w:val="-1"/>
          <w:szCs w:val="22"/>
        </w:rPr>
        <w:t xml:space="preserve"> </w:t>
      </w:r>
      <w:r w:rsidRPr="00C277FC">
        <w:rPr>
          <w:rFonts w:asciiTheme="minorHAnsi" w:hAnsiTheme="minorHAnsi" w:cstheme="minorHAnsi"/>
          <w:color w:val="010202"/>
          <w:szCs w:val="22"/>
        </w:rPr>
        <w:t>of the duration</w:t>
      </w:r>
      <w:r w:rsidRPr="00C277FC">
        <w:rPr>
          <w:rFonts w:asciiTheme="minorHAnsi" w:hAnsiTheme="minorHAnsi" w:cstheme="minorHAnsi"/>
          <w:color w:val="010202"/>
          <w:spacing w:val="-3"/>
          <w:szCs w:val="22"/>
        </w:rPr>
        <w:t xml:space="preserve"> </w:t>
      </w:r>
      <w:r w:rsidRPr="00C277FC">
        <w:rPr>
          <w:rFonts w:asciiTheme="minorHAnsi" w:hAnsiTheme="minorHAnsi" w:cstheme="minorHAnsi"/>
          <w:color w:val="010202"/>
          <w:szCs w:val="22"/>
        </w:rPr>
        <w:t>difference between the asset and liability portfolios that is accomplished by the hedging derivatives with between an 80%-125% effective rate.</w:t>
      </w:r>
      <w:r w:rsidRPr="00C277FC">
        <w:rPr>
          <w:rFonts w:asciiTheme="minorHAnsi" w:hAnsiTheme="minorHAnsi" w:cstheme="minorHAnsi"/>
          <w:color w:val="010202"/>
          <w:spacing w:val="40"/>
          <w:szCs w:val="22"/>
        </w:rPr>
        <w:t xml:space="preserve"> </w:t>
      </w:r>
      <w:r w:rsidRPr="00C277FC">
        <w:rPr>
          <w:rFonts w:asciiTheme="minorHAnsi" w:hAnsiTheme="minorHAnsi" w:cstheme="minorHAnsi"/>
          <w:color w:val="010202"/>
          <w:szCs w:val="22"/>
        </w:rPr>
        <w:t xml:space="preserve">One of the following methods shall be designated as the approach for each hedging program to determine whether the program is highly effective: </w:t>
      </w:r>
    </w:p>
    <w:p w14:paraId="5AAFCBDF" w14:textId="77777777" w:rsidR="00BB16A2" w:rsidRPr="00C277FC" w:rsidRDefault="00BB16A2" w:rsidP="00BB16A2">
      <w:pPr>
        <w:pStyle w:val="ListParagraph"/>
        <w:widowControl w:val="0"/>
        <w:numPr>
          <w:ilvl w:val="1"/>
          <w:numId w:val="23"/>
        </w:numPr>
        <w:autoSpaceDE w:val="0"/>
        <w:autoSpaceDN w:val="0"/>
        <w:spacing w:after="220"/>
        <w:ind w:left="1440" w:hanging="720"/>
        <w:contextualSpacing w:val="0"/>
        <w:jc w:val="both"/>
        <w:rPr>
          <w:rFonts w:asciiTheme="minorHAnsi" w:hAnsiTheme="minorHAnsi" w:cstheme="minorHAnsi"/>
          <w:sz w:val="22"/>
          <w:szCs w:val="22"/>
        </w:rPr>
      </w:pPr>
      <w:r w:rsidRPr="00C277FC">
        <w:rPr>
          <w:rFonts w:asciiTheme="minorHAnsi" w:hAnsiTheme="minorHAnsi" w:cstheme="minorHAnsi"/>
          <w:color w:val="010202"/>
          <w:sz w:val="22"/>
          <w:szCs w:val="22"/>
        </w:rPr>
        <w:t>“Modified Duration” is the effect that a 100-basis-point (1%) change in interest rates will have on the price of an instrument (e.g., if an instrument has a modified duration of 5, a 1% change in interest rates would be expected to cause a 5% change in the instrument's price</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in</w:t>
      </w:r>
      <w:r w:rsidRPr="00C277FC">
        <w:rPr>
          <w:rFonts w:asciiTheme="minorHAnsi" w:hAnsiTheme="minorHAnsi" w:cstheme="minorHAnsi"/>
          <w:color w:val="010202"/>
          <w:spacing w:val="-4"/>
          <w:sz w:val="22"/>
          <w:szCs w:val="22"/>
        </w:rPr>
        <w:t xml:space="preserve"> </w:t>
      </w:r>
      <w:r w:rsidRPr="00C277FC">
        <w:rPr>
          <w:rFonts w:asciiTheme="minorHAnsi" w:hAnsiTheme="minorHAnsi" w:cstheme="minorHAnsi"/>
          <w:color w:val="010202"/>
          <w:sz w:val="22"/>
          <w:szCs w:val="22"/>
        </w:rPr>
        <w:t>the opposite</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direction);</w:t>
      </w:r>
      <w:r w:rsidRPr="00C277FC">
        <w:rPr>
          <w:rFonts w:asciiTheme="minorHAnsi" w:hAnsiTheme="minorHAnsi" w:cstheme="minorHAnsi"/>
          <w:color w:val="010202"/>
          <w:spacing w:val="-3"/>
          <w:sz w:val="22"/>
          <w:szCs w:val="22"/>
        </w:rPr>
        <w:t xml:space="preserve"> </w:t>
      </w:r>
      <w:r w:rsidRPr="00C277FC">
        <w:rPr>
          <w:rFonts w:asciiTheme="minorHAnsi" w:hAnsiTheme="minorHAnsi" w:cstheme="minorHAnsi"/>
          <w:color w:val="010202"/>
          <w:sz w:val="22"/>
          <w:szCs w:val="22"/>
        </w:rPr>
        <w:t>so</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if an</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asset portfolio</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has a</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modified duration</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of 9 and</w:t>
      </w:r>
      <w:r w:rsidRPr="00C277FC">
        <w:rPr>
          <w:rFonts w:asciiTheme="minorHAnsi" w:hAnsiTheme="minorHAnsi" w:cstheme="minorHAnsi"/>
          <w:color w:val="010202"/>
          <w:spacing w:val="-4"/>
          <w:sz w:val="22"/>
          <w:szCs w:val="22"/>
        </w:rPr>
        <w:t xml:space="preserve"> </w:t>
      </w:r>
      <w:r w:rsidRPr="00C277FC">
        <w:rPr>
          <w:rFonts w:asciiTheme="minorHAnsi" w:hAnsiTheme="minorHAnsi" w:cstheme="minorHAnsi"/>
          <w:color w:val="010202"/>
          <w:sz w:val="22"/>
          <w:szCs w:val="22"/>
        </w:rPr>
        <w:t>a liability portfolio has a modified duration of 10, a highly effective derivative portfolio hedging</w:t>
      </w:r>
      <w:r w:rsidRPr="00C277FC">
        <w:rPr>
          <w:rFonts w:asciiTheme="minorHAnsi" w:hAnsiTheme="minorHAnsi" w:cstheme="minorHAnsi"/>
          <w:color w:val="010202"/>
          <w:spacing w:val="-10"/>
          <w:sz w:val="22"/>
          <w:szCs w:val="22"/>
        </w:rPr>
        <w:t xml:space="preserve"> </w:t>
      </w:r>
      <w:r w:rsidRPr="00C277FC">
        <w:rPr>
          <w:rFonts w:asciiTheme="minorHAnsi" w:hAnsiTheme="minorHAnsi" w:cstheme="minorHAnsi"/>
          <w:color w:val="010202"/>
          <w:sz w:val="22"/>
          <w:szCs w:val="22"/>
        </w:rPr>
        <w:t>this</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difference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would</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place</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the</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modified</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duration</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of</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the</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assets</w:t>
      </w:r>
      <w:r w:rsidRPr="00C277FC">
        <w:rPr>
          <w:rFonts w:asciiTheme="minorHAnsi" w:hAnsiTheme="minorHAnsi" w:cstheme="minorHAnsi"/>
          <w:color w:val="010202"/>
          <w:spacing w:val="-4"/>
          <w:sz w:val="22"/>
          <w:szCs w:val="22"/>
        </w:rPr>
        <w:t xml:space="preserve"> </w:t>
      </w:r>
      <w:r w:rsidRPr="00C277FC">
        <w:rPr>
          <w:rFonts w:asciiTheme="minorHAnsi" w:hAnsiTheme="minorHAnsi" w:cstheme="minorHAnsi"/>
          <w:color w:val="010202"/>
          <w:sz w:val="22"/>
          <w:szCs w:val="22"/>
        </w:rPr>
        <w:t>with</w:t>
      </w:r>
      <w:r w:rsidRPr="00C277FC">
        <w:rPr>
          <w:rFonts w:asciiTheme="minorHAnsi" w:hAnsiTheme="minorHAnsi" w:cstheme="minorHAnsi"/>
          <w:color w:val="010202"/>
          <w:spacing w:val="-12"/>
          <w:sz w:val="22"/>
          <w:szCs w:val="22"/>
        </w:rPr>
        <w:t xml:space="preserve"> </w:t>
      </w:r>
      <w:r w:rsidRPr="00C277FC">
        <w:rPr>
          <w:rFonts w:asciiTheme="minorHAnsi" w:hAnsiTheme="minorHAnsi" w:cstheme="minorHAnsi"/>
          <w:color w:val="010202"/>
          <w:sz w:val="22"/>
          <w:szCs w:val="22"/>
        </w:rPr>
        <w:t>derivatives</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 xml:space="preserve">at between 9.8 and 10.25 (80%-125% of the </w:t>
      </w:r>
      <w:r w:rsidRPr="00C277FC">
        <w:rPr>
          <w:rFonts w:asciiTheme="minorHAnsi" w:hAnsiTheme="minorHAnsi" w:cstheme="minorHAnsi"/>
          <w:color w:val="010202"/>
          <w:sz w:val="22"/>
          <w:szCs w:val="22"/>
        </w:rPr>
        <w:lastRenderedPageBreak/>
        <w:t>modified duration difference).</w:t>
      </w:r>
      <w:r w:rsidRPr="00C277FC">
        <w:rPr>
          <w:rFonts w:asciiTheme="minorHAnsi" w:hAnsiTheme="minorHAnsi" w:cstheme="minorHAnsi"/>
          <w:color w:val="010202"/>
          <w:spacing w:val="40"/>
          <w:sz w:val="22"/>
          <w:szCs w:val="22"/>
        </w:rPr>
        <w:t xml:space="preserve"> </w:t>
      </w:r>
      <w:r w:rsidRPr="00C277FC">
        <w:rPr>
          <w:rFonts w:asciiTheme="minorHAnsi" w:hAnsiTheme="minorHAnsi" w:cstheme="minorHAnsi"/>
          <w:color w:val="010202"/>
          <w:sz w:val="22"/>
          <w:szCs w:val="22"/>
        </w:rPr>
        <w:t>Alternatively, if asset portfolio</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duration</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is</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9</w:t>
      </w:r>
      <w:r w:rsidRPr="00C277FC">
        <w:rPr>
          <w:rFonts w:asciiTheme="minorHAnsi" w:hAnsiTheme="minorHAnsi" w:cstheme="minorHAnsi"/>
          <w:color w:val="010202"/>
          <w:spacing w:val="-4"/>
          <w:sz w:val="22"/>
          <w:szCs w:val="22"/>
        </w:rPr>
        <w:t xml:space="preserve"> </w:t>
      </w:r>
      <w:r w:rsidRPr="00C277FC">
        <w:rPr>
          <w:rFonts w:asciiTheme="minorHAnsi" w:hAnsiTheme="minorHAnsi" w:cstheme="minorHAnsi"/>
          <w:color w:val="010202"/>
          <w:sz w:val="22"/>
          <w:szCs w:val="22"/>
        </w:rPr>
        <w:t>and</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a</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liability duration</w:t>
      </w:r>
      <w:r w:rsidRPr="00C277FC">
        <w:rPr>
          <w:rFonts w:asciiTheme="minorHAnsi" w:hAnsiTheme="minorHAnsi" w:cstheme="minorHAnsi"/>
          <w:color w:val="010202"/>
          <w:spacing w:val="-2"/>
          <w:sz w:val="22"/>
          <w:szCs w:val="22"/>
        </w:rPr>
        <w:t xml:space="preserve"> </w:t>
      </w:r>
      <w:r w:rsidRPr="00C277FC">
        <w:rPr>
          <w:rFonts w:asciiTheme="minorHAnsi" w:hAnsiTheme="minorHAnsi" w:cstheme="minorHAnsi"/>
          <w:color w:val="010202"/>
          <w:sz w:val="22"/>
          <w:szCs w:val="22"/>
        </w:rPr>
        <w:t>is 11, an</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entity can elect</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to</w:t>
      </w:r>
      <w:r w:rsidRPr="00C277FC">
        <w:rPr>
          <w:rFonts w:asciiTheme="minorHAnsi" w:hAnsiTheme="minorHAnsi" w:cstheme="minorHAnsi"/>
          <w:color w:val="010202"/>
          <w:spacing w:val="-1"/>
          <w:sz w:val="22"/>
          <w:szCs w:val="22"/>
        </w:rPr>
        <w:t xml:space="preserve"> </w:t>
      </w:r>
      <w:r w:rsidRPr="00C277FC">
        <w:rPr>
          <w:rFonts w:asciiTheme="minorHAnsi" w:hAnsiTheme="minorHAnsi" w:cstheme="minorHAnsi"/>
          <w:color w:val="010202"/>
          <w:sz w:val="22"/>
          <w:szCs w:val="22"/>
        </w:rPr>
        <w:t>hedge only half</w:t>
      </w:r>
      <w:r w:rsidRPr="00C277FC">
        <w:rPr>
          <w:rFonts w:asciiTheme="minorHAnsi" w:hAnsiTheme="minorHAnsi" w:cstheme="minorHAnsi"/>
          <w:color w:val="010202"/>
          <w:spacing w:val="-4"/>
          <w:sz w:val="22"/>
          <w:szCs w:val="22"/>
        </w:rPr>
        <w:t xml:space="preserve"> </w:t>
      </w:r>
      <w:r w:rsidRPr="00C277FC">
        <w:rPr>
          <w:rFonts w:asciiTheme="minorHAnsi" w:hAnsiTheme="minorHAnsi" w:cstheme="minorHAnsi"/>
          <w:color w:val="010202"/>
          <w:sz w:val="22"/>
          <w:szCs w:val="22"/>
        </w:rPr>
        <w:t>the</w:t>
      </w:r>
      <w:r w:rsidRPr="00C277FC">
        <w:rPr>
          <w:rFonts w:asciiTheme="minorHAnsi" w:hAnsiTheme="minorHAnsi" w:cstheme="minorHAnsi"/>
          <w:color w:val="010202"/>
          <w:spacing w:val="-2"/>
          <w:sz w:val="22"/>
          <w:szCs w:val="22"/>
        </w:rPr>
        <w:t xml:space="preserve"> </w:t>
      </w:r>
      <w:r w:rsidRPr="00C277FC">
        <w:rPr>
          <w:rFonts w:asciiTheme="minorHAnsi" w:hAnsiTheme="minorHAnsi" w:cstheme="minorHAnsi"/>
          <w:color w:val="010202"/>
          <w:sz w:val="22"/>
          <w:szCs w:val="22"/>
        </w:rPr>
        <w:t>difference</w:t>
      </w:r>
      <w:r w:rsidRPr="00C277FC">
        <w:rPr>
          <w:rFonts w:asciiTheme="minorHAnsi" w:hAnsiTheme="minorHAnsi" w:cstheme="minorHAnsi"/>
          <w:color w:val="010202"/>
          <w:spacing w:val="-2"/>
          <w:sz w:val="22"/>
          <w:szCs w:val="22"/>
        </w:rPr>
        <w:t xml:space="preserve"> (between 9 and 11,  i.e., 10). </w:t>
      </w:r>
      <w:r w:rsidRPr="00C277FC">
        <w:rPr>
          <w:rFonts w:asciiTheme="minorHAnsi" w:hAnsiTheme="minorHAnsi" w:cstheme="minorHAnsi"/>
          <w:color w:val="010202"/>
          <w:sz w:val="22"/>
          <w:szCs w:val="22"/>
        </w:rPr>
        <w:t>In which case, a duration</w:t>
      </w:r>
      <w:r w:rsidRPr="00C277FC">
        <w:rPr>
          <w:rFonts w:asciiTheme="minorHAnsi" w:hAnsiTheme="minorHAnsi" w:cstheme="minorHAnsi"/>
          <w:color w:val="010202"/>
          <w:spacing w:val="-5"/>
          <w:sz w:val="22"/>
          <w:szCs w:val="22"/>
        </w:rPr>
        <w:t xml:space="preserve"> </w:t>
      </w:r>
      <w:r w:rsidRPr="00C277FC">
        <w:rPr>
          <w:rFonts w:asciiTheme="minorHAnsi" w:hAnsiTheme="minorHAnsi" w:cstheme="minorHAnsi"/>
          <w:color w:val="010202"/>
          <w:sz w:val="22"/>
          <w:szCs w:val="22"/>
        </w:rPr>
        <w:t>of the assets with</w:t>
      </w:r>
      <w:r w:rsidRPr="00C277FC">
        <w:rPr>
          <w:rFonts w:asciiTheme="minorHAnsi" w:hAnsiTheme="minorHAnsi" w:cstheme="minorHAnsi"/>
          <w:color w:val="010202"/>
          <w:spacing w:val="-2"/>
          <w:sz w:val="22"/>
          <w:szCs w:val="22"/>
        </w:rPr>
        <w:t xml:space="preserve"> </w:t>
      </w:r>
      <w:r w:rsidRPr="00C277FC">
        <w:rPr>
          <w:rFonts w:asciiTheme="minorHAnsi" w:hAnsiTheme="minorHAnsi" w:cstheme="minorHAnsi"/>
          <w:color w:val="010202"/>
          <w:sz w:val="22"/>
          <w:szCs w:val="22"/>
        </w:rPr>
        <w:t>derivatives of between 9.8 and 10.25 would be highly effective.</w:t>
      </w:r>
    </w:p>
    <w:p w14:paraId="252D0E58" w14:textId="77777777" w:rsidR="00BB16A2" w:rsidRPr="00C277FC" w:rsidRDefault="00BB16A2" w:rsidP="00BB16A2">
      <w:pPr>
        <w:pStyle w:val="ListParagraph"/>
        <w:widowControl w:val="0"/>
        <w:numPr>
          <w:ilvl w:val="1"/>
          <w:numId w:val="23"/>
        </w:numPr>
        <w:autoSpaceDE w:val="0"/>
        <w:autoSpaceDN w:val="0"/>
        <w:spacing w:after="220"/>
        <w:ind w:left="1440" w:hanging="720"/>
        <w:contextualSpacing w:val="0"/>
        <w:jc w:val="both"/>
        <w:rPr>
          <w:rFonts w:asciiTheme="minorHAnsi" w:hAnsiTheme="minorHAnsi" w:cstheme="minorHAnsi"/>
          <w:color w:val="010202"/>
          <w:sz w:val="22"/>
          <w:szCs w:val="22"/>
        </w:rPr>
      </w:pPr>
      <w:r w:rsidRPr="00C277FC">
        <w:rPr>
          <w:rFonts w:asciiTheme="minorHAnsi" w:hAnsiTheme="minorHAnsi" w:cstheme="minorHAnsi"/>
          <w:color w:val="010202"/>
          <w:sz w:val="22"/>
          <w:szCs w:val="22"/>
        </w:rPr>
        <w:t>“Macaulay Duration” is the weighted average time until cash flows are received and is measured</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in</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years;</w:t>
      </w:r>
      <w:r w:rsidRPr="00C277FC">
        <w:rPr>
          <w:rFonts w:asciiTheme="minorHAnsi" w:hAnsiTheme="minorHAnsi" w:cstheme="minorHAnsi"/>
          <w:color w:val="010202"/>
          <w:spacing w:val="-10"/>
          <w:sz w:val="22"/>
          <w:szCs w:val="22"/>
        </w:rPr>
        <w:t xml:space="preserve"> </w:t>
      </w:r>
      <w:proofErr w:type="gramStart"/>
      <w:r w:rsidRPr="00C277FC">
        <w:rPr>
          <w:rFonts w:asciiTheme="minorHAnsi" w:hAnsiTheme="minorHAnsi" w:cstheme="minorHAnsi"/>
          <w:color w:val="010202"/>
          <w:sz w:val="22"/>
          <w:szCs w:val="22"/>
        </w:rPr>
        <w:t>so</w:t>
      </w:r>
      <w:proofErr w:type="gramEnd"/>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if</w:t>
      </w:r>
      <w:r w:rsidRPr="00C277FC">
        <w:rPr>
          <w:rFonts w:asciiTheme="minorHAnsi" w:hAnsiTheme="minorHAnsi" w:cstheme="minorHAnsi"/>
          <w:color w:val="010202"/>
          <w:spacing w:val="-12"/>
          <w:sz w:val="22"/>
          <w:szCs w:val="22"/>
        </w:rPr>
        <w:t xml:space="preserve"> </w:t>
      </w:r>
      <w:r w:rsidRPr="00C277FC">
        <w:rPr>
          <w:rFonts w:asciiTheme="minorHAnsi" w:hAnsiTheme="minorHAnsi" w:cstheme="minorHAnsi"/>
          <w:color w:val="010202"/>
          <w:sz w:val="22"/>
          <w:szCs w:val="22"/>
        </w:rPr>
        <w:t>an</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asset</w:t>
      </w:r>
      <w:r w:rsidRPr="00C277FC">
        <w:rPr>
          <w:rFonts w:asciiTheme="minorHAnsi" w:hAnsiTheme="minorHAnsi" w:cstheme="minorHAnsi"/>
          <w:color w:val="010202"/>
          <w:spacing w:val="-12"/>
          <w:sz w:val="22"/>
          <w:szCs w:val="22"/>
        </w:rPr>
        <w:t xml:space="preserve"> </w:t>
      </w:r>
      <w:r w:rsidRPr="00C277FC">
        <w:rPr>
          <w:rFonts w:asciiTheme="minorHAnsi" w:hAnsiTheme="minorHAnsi" w:cstheme="minorHAnsi"/>
          <w:color w:val="010202"/>
          <w:sz w:val="22"/>
          <w:szCs w:val="22"/>
        </w:rPr>
        <w:t>portfolio</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has</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a</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Macaulay</w:t>
      </w:r>
      <w:r w:rsidRPr="00C277FC">
        <w:rPr>
          <w:rFonts w:asciiTheme="minorHAnsi" w:hAnsiTheme="minorHAnsi" w:cstheme="minorHAnsi"/>
          <w:color w:val="010202"/>
          <w:spacing w:val="-11"/>
          <w:sz w:val="22"/>
          <w:szCs w:val="22"/>
        </w:rPr>
        <w:t xml:space="preserve"> </w:t>
      </w:r>
      <w:r w:rsidRPr="00C277FC">
        <w:rPr>
          <w:rFonts w:asciiTheme="minorHAnsi" w:hAnsiTheme="minorHAnsi" w:cstheme="minorHAnsi"/>
          <w:color w:val="010202"/>
          <w:sz w:val="22"/>
          <w:szCs w:val="22"/>
        </w:rPr>
        <w:t>duration</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of</w:t>
      </w:r>
      <w:r w:rsidRPr="00C277FC">
        <w:rPr>
          <w:rFonts w:asciiTheme="minorHAnsi" w:hAnsiTheme="minorHAnsi" w:cstheme="minorHAnsi"/>
          <w:color w:val="010202"/>
          <w:spacing w:val="-10"/>
          <w:sz w:val="22"/>
          <w:szCs w:val="22"/>
        </w:rPr>
        <w:t xml:space="preserve"> </w:t>
      </w:r>
      <w:r w:rsidRPr="00C277FC">
        <w:rPr>
          <w:rFonts w:asciiTheme="minorHAnsi" w:hAnsiTheme="minorHAnsi" w:cstheme="minorHAnsi"/>
          <w:color w:val="010202"/>
          <w:sz w:val="22"/>
          <w:szCs w:val="22"/>
        </w:rPr>
        <w:t>9</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years</w:t>
      </w:r>
      <w:r w:rsidRPr="00C277FC">
        <w:rPr>
          <w:rFonts w:asciiTheme="minorHAnsi" w:hAnsiTheme="minorHAnsi" w:cstheme="minorHAnsi"/>
          <w:color w:val="010202"/>
          <w:spacing w:val="-11"/>
          <w:sz w:val="22"/>
          <w:szCs w:val="22"/>
        </w:rPr>
        <w:t xml:space="preserve"> </w:t>
      </w:r>
      <w:r w:rsidRPr="00C277FC">
        <w:rPr>
          <w:rFonts w:asciiTheme="minorHAnsi" w:hAnsiTheme="minorHAnsi" w:cstheme="minorHAnsi"/>
          <w:color w:val="010202"/>
          <w:sz w:val="22"/>
          <w:szCs w:val="22"/>
        </w:rPr>
        <w:t>and</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a</w:t>
      </w:r>
      <w:r w:rsidRPr="00C277FC">
        <w:rPr>
          <w:rFonts w:asciiTheme="minorHAnsi" w:hAnsiTheme="minorHAnsi" w:cstheme="minorHAnsi"/>
          <w:color w:val="010202"/>
          <w:spacing w:val="-13"/>
          <w:sz w:val="22"/>
          <w:szCs w:val="22"/>
        </w:rPr>
        <w:t xml:space="preserve"> </w:t>
      </w:r>
      <w:r w:rsidRPr="00C277FC">
        <w:rPr>
          <w:rFonts w:asciiTheme="minorHAnsi" w:hAnsiTheme="minorHAnsi" w:cstheme="minorHAnsi"/>
          <w:color w:val="010202"/>
          <w:sz w:val="22"/>
          <w:szCs w:val="22"/>
        </w:rPr>
        <w:t>liability portfolio has a Macauley Duration of 10 years, a highly effective derivative portfolio hedging this difference would place the Macauley Duration of the assets with derivatives at between 9.8 years and 10.25 years (80%-125% of the Macauley duration difference).</w:t>
      </w:r>
    </w:p>
    <w:p w14:paraId="4C8C01C3" w14:textId="77777777" w:rsidR="00BB16A2" w:rsidRPr="00C277FC" w:rsidRDefault="00BB16A2" w:rsidP="00BB16A2">
      <w:pPr>
        <w:pStyle w:val="ListParagraph"/>
        <w:widowControl w:val="0"/>
        <w:numPr>
          <w:ilvl w:val="1"/>
          <w:numId w:val="23"/>
        </w:numPr>
        <w:autoSpaceDE w:val="0"/>
        <w:autoSpaceDN w:val="0"/>
        <w:spacing w:after="220"/>
        <w:ind w:left="1440" w:hanging="720"/>
        <w:contextualSpacing w:val="0"/>
        <w:jc w:val="both"/>
        <w:rPr>
          <w:rFonts w:asciiTheme="minorHAnsi" w:hAnsiTheme="minorHAnsi" w:cstheme="minorHAnsi"/>
          <w:sz w:val="22"/>
          <w:szCs w:val="22"/>
        </w:rPr>
      </w:pPr>
      <w:r w:rsidRPr="00C277FC">
        <w:rPr>
          <w:rFonts w:asciiTheme="minorHAnsi" w:hAnsiTheme="minorHAnsi" w:cstheme="minorHAnsi"/>
          <w:sz w:val="22"/>
          <w:szCs w:val="22"/>
        </w:rPr>
        <w:t xml:space="preserve">“Dollar Value One (DV01)” </w:t>
      </w:r>
      <w:r w:rsidRPr="00C277FC">
        <w:rPr>
          <w:rFonts w:asciiTheme="minorHAnsi" w:hAnsiTheme="minorHAnsi" w:cstheme="minorHAnsi"/>
          <w:color w:val="010202"/>
          <w:sz w:val="22"/>
          <w:szCs w:val="22"/>
        </w:rPr>
        <w:t>measures</w:t>
      </w:r>
      <w:r w:rsidRPr="00C277FC">
        <w:rPr>
          <w:rFonts w:asciiTheme="minorHAnsi" w:hAnsiTheme="minorHAnsi" w:cstheme="minorHAnsi"/>
          <w:sz w:val="22"/>
          <w:szCs w:val="22"/>
        </w:rPr>
        <w:t xml:space="preserve"> the dollar change in an instrument's price for a one basis point (0.01%) </w:t>
      </w:r>
      <w:r w:rsidRPr="00C277FC">
        <w:rPr>
          <w:rFonts w:asciiTheme="minorHAnsi" w:hAnsiTheme="minorHAnsi" w:cstheme="minorHAnsi"/>
          <w:color w:val="010202"/>
          <w:sz w:val="22"/>
          <w:szCs w:val="22"/>
        </w:rPr>
        <w:t>change</w:t>
      </w:r>
      <w:r w:rsidRPr="00C277FC">
        <w:rPr>
          <w:rFonts w:asciiTheme="minorHAnsi" w:hAnsiTheme="minorHAnsi" w:cstheme="minorHAnsi"/>
          <w:sz w:val="22"/>
          <w:szCs w:val="22"/>
        </w:rPr>
        <w:t xml:space="preserve"> in rates; </w:t>
      </w:r>
      <w:proofErr w:type="gramStart"/>
      <w:r w:rsidRPr="00C277FC">
        <w:rPr>
          <w:rFonts w:asciiTheme="minorHAnsi" w:hAnsiTheme="minorHAnsi" w:cstheme="minorHAnsi"/>
          <w:sz w:val="22"/>
          <w:szCs w:val="22"/>
        </w:rPr>
        <w:t>so</w:t>
      </w:r>
      <w:proofErr w:type="gramEnd"/>
      <w:r w:rsidRPr="00C277FC">
        <w:rPr>
          <w:rFonts w:asciiTheme="minorHAnsi" w:hAnsiTheme="minorHAnsi" w:cstheme="minorHAnsi"/>
          <w:sz w:val="22"/>
          <w:szCs w:val="22"/>
        </w:rPr>
        <w:t xml:space="preserve"> if an </w:t>
      </w:r>
      <w:r w:rsidRPr="00C277FC">
        <w:rPr>
          <w:rFonts w:asciiTheme="minorHAnsi" w:hAnsiTheme="minorHAnsi" w:cstheme="minorHAnsi"/>
          <w:color w:val="010202"/>
          <w:sz w:val="22"/>
          <w:szCs w:val="22"/>
        </w:rPr>
        <w:t>asset portfolio has a DV01 of $9M and a liability portfolio has a DV01</w:t>
      </w:r>
      <w:r w:rsidRPr="00C277FC">
        <w:rPr>
          <w:rFonts w:asciiTheme="minorHAnsi" w:hAnsiTheme="minorHAnsi" w:cstheme="minorHAnsi"/>
          <w:color w:val="010202"/>
          <w:spacing w:val="-5"/>
          <w:sz w:val="22"/>
          <w:szCs w:val="22"/>
        </w:rPr>
        <w:t xml:space="preserve"> </w:t>
      </w:r>
      <w:r w:rsidRPr="00C277FC">
        <w:rPr>
          <w:rFonts w:asciiTheme="minorHAnsi" w:hAnsiTheme="minorHAnsi" w:cstheme="minorHAnsi"/>
          <w:color w:val="010202"/>
          <w:sz w:val="22"/>
          <w:szCs w:val="22"/>
        </w:rPr>
        <w:t>of</w:t>
      </w:r>
      <w:r w:rsidRPr="00C277FC">
        <w:rPr>
          <w:rFonts w:asciiTheme="minorHAnsi" w:hAnsiTheme="minorHAnsi" w:cstheme="minorHAnsi"/>
          <w:color w:val="010202"/>
          <w:spacing w:val="-6"/>
          <w:sz w:val="22"/>
          <w:szCs w:val="22"/>
        </w:rPr>
        <w:t xml:space="preserve"> </w:t>
      </w:r>
      <w:r w:rsidRPr="00C277FC">
        <w:rPr>
          <w:rFonts w:asciiTheme="minorHAnsi" w:hAnsiTheme="minorHAnsi" w:cstheme="minorHAnsi"/>
          <w:color w:val="010202"/>
          <w:sz w:val="22"/>
          <w:szCs w:val="22"/>
        </w:rPr>
        <w:t>$10M,</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a</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highly</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effective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derivative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portfolio</w:t>
      </w:r>
      <w:r w:rsidRPr="00C277FC">
        <w:rPr>
          <w:rFonts w:asciiTheme="minorHAnsi" w:hAnsiTheme="minorHAnsi" w:cstheme="minorHAnsi"/>
          <w:color w:val="010202"/>
          <w:spacing w:val="-11"/>
          <w:sz w:val="22"/>
          <w:szCs w:val="22"/>
        </w:rPr>
        <w:t xml:space="preserve"> </w:t>
      </w:r>
      <w:r w:rsidRPr="00C277FC">
        <w:rPr>
          <w:rFonts w:asciiTheme="minorHAnsi" w:hAnsiTheme="minorHAnsi" w:cstheme="minorHAnsi"/>
          <w:color w:val="010202"/>
          <w:sz w:val="22"/>
          <w:szCs w:val="22"/>
        </w:rPr>
        <w:t>hedging</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this</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difference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would</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place the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DV01</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of</w:t>
      </w:r>
      <w:r w:rsidRPr="00C277FC">
        <w:rPr>
          <w:rFonts w:asciiTheme="minorHAnsi" w:hAnsiTheme="minorHAnsi" w:cstheme="minorHAnsi"/>
          <w:color w:val="010202"/>
          <w:spacing w:val="-6"/>
          <w:sz w:val="22"/>
          <w:szCs w:val="22"/>
        </w:rPr>
        <w:t xml:space="preserve"> </w:t>
      </w:r>
      <w:r w:rsidRPr="00C277FC">
        <w:rPr>
          <w:rFonts w:asciiTheme="minorHAnsi" w:hAnsiTheme="minorHAnsi" w:cstheme="minorHAnsi"/>
          <w:color w:val="010202"/>
          <w:sz w:val="22"/>
          <w:szCs w:val="22"/>
        </w:rPr>
        <w:t>the</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assets</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with</w:t>
      </w:r>
      <w:r w:rsidRPr="00C277FC">
        <w:rPr>
          <w:rFonts w:asciiTheme="minorHAnsi" w:hAnsiTheme="minorHAnsi" w:cstheme="minorHAnsi"/>
          <w:color w:val="010202"/>
          <w:spacing w:val="-14"/>
          <w:sz w:val="22"/>
          <w:szCs w:val="22"/>
        </w:rPr>
        <w:t xml:space="preserve"> </w:t>
      </w:r>
      <w:r w:rsidRPr="00C277FC">
        <w:rPr>
          <w:rFonts w:asciiTheme="minorHAnsi" w:hAnsiTheme="minorHAnsi" w:cstheme="minorHAnsi"/>
          <w:color w:val="010202"/>
          <w:sz w:val="22"/>
          <w:szCs w:val="22"/>
        </w:rPr>
        <w:t>derivatives</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at</w:t>
      </w:r>
      <w:r w:rsidRPr="00C277FC">
        <w:rPr>
          <w:rFonts w:asciiTheme="minorHAnsi" w:hAnsiTheme="minorHAnsi" w:cstheme="minorHAnsi"/>
          <w:color w:val="010202"/>
          <w:spacing w:val="-6"/>
          <w:sz w:val="22"/>
          <w:szCs w:val="22"/>
        </w:rPr>
        <w:t xml:space="preserve"> </w:t>
      </w:r>
      <w:r w:rsidRPr="00C277FC">
        <w:rPr>
          <w:rFonts w:asciiTheme="minorHAnsi" w:hAnsiTheme="minorHAnsi" w:cstheme="minorHAnsi"/>
          <w:color w:val="010202"/>
          <w:sz w:val="22"/>
          <w:szCs w:val="22"/>
        </w:rPr>
        <w:t>between</w:t>
      </w:r>
      <w:r w:rsidRPr="00C277FC">
        <w:rPr>
          <w:rFonts w:asciiTheme="minorHAnsi" w:hAnsiTheme="minorHAnsi" w:cstheme="minorHAnsi"/>
          <w:color w:val="010202"/>
          <w:spacing w:val="-10"/>
          <w:sz w:val="22"/>
          <w:szCs w:val="22"/>
        </w:rPr>
        <w:t xml:space="preserve"> </w:t>
      </w:r>
      <w:r w:rsidRPr="00C277FC">
        <w:rPr>
          <w:rFonts w:asciiTheme="minorHAnsi" w:hAnsiTheme="minorHAnsi" w:cstheme="minorHAnsi"/>
          <w:color w:val="010202"/>
          <w:sz w:val="22"/>
          <w:szCs w:val="22"/>
        </w:rPr>
        <w:t>$9.8M</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and</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$10.25M</w:t>
      </w:r>
      <w:r w:rsidRPr="00C277FC">
        <w:rPr>
          <w:rFonts w:asciiTheme="minorHAnsi" w:hAnsiTheme="minorHAnsi" w:cstheme="minorHAnsi"/>
          <w:color w:val="010202"/>
          <w:spacing w:val="-7"/>
          <w:sz w:val="22"/>
          <w:szCs w:val="22"/>
        </w:rPr>
        <w:t xml:space="preserve"> </w:t>
      </w:r>
      <w:r w:rsidRPr="00C277FC">
        <w:rPr>
          <w:rFonts w:asciiTheme="minorHAnsi" w:hAnsiTheme="minorHAnsi" w:cstheme="minorHAnsi"/>
          <w:color w:val="010202"/>
          <w:sz w:val="22"/>
          <w:szCs w:val="22"/>
        </w:rPr>
        <w:t>(80%-125%</w:t>
      </w:r>
      <w:r w:rsidRPr="00C277FC">
        <w:rPr>
          <w:rFonts w:asciiTheme="minorHAnsi" w:hAnsiTheme="minorHAnsi" w:cstheme="minorHAnsi"/>
          <w:color w:val="010202"/>
          <w:spacing w:val="-6"/>
          <w:sz w:val="22"/>
          <w:szCs w:val="22"/>
        </w:rPr>
        <w:t xml:space="preserve"> </w:t>
      </w:r>
      <w:r w:rsidRPr="00C277FC">
        <w:rPr>
          <w:rFonts w:asciiTheme="minorHAnsi" w:hAnsiTheme="minorHAnsi" w:cstheme="minorHAnsi"/>
          <w:color w:val="010202"/>
          <w:sz w:val="22"/>
          <w:szCs w:val="22"/>
        </w:rPr>
        <w:t>of</w:t>
      </w:r>
      <w:r w:rsidRPr="00C277FC">
        <w:rPr>
          <w:rFonts w:asciiTheme="minorHAnsi" w:hAnsiTheme="minorHAnsi" w:cstheme="minorHAnsi"/>
          <w:color w:val="010202"/>
          <w:spacing w:val="-9"/>
          <w:sz w:val="22"/>
          <w:szCs w:val="22"/>
        </w:rPr>
        <w:t xml:space="preserve"> </w:t>
      </w:r>
      <w:r w:rsidRPr="00C277FC">
        <w:rPr>
          <w:rFonts w:asciiTheme="minorHAnsi" w:hAnsiTheme="minorHAnsi" w:cstheme="minorHAnsi"/>
          <w:color w:val="010202"/>
          <w:sz w:val="22"/>
          <w:szCs w:val="22"/>
        </w:rPr>
        <w:t>the DV01 difference).</w:t>
      </w:r>
    </w:p>
    <w:p w14:paraId="779510AB" w14:textId="120A6F57" w:rsidR="00607A0C" w:rsidRPr="00C277FC" w:rsidRDefault="00D117B3" w:rsidP="00292C82">
      <w:pPr>
        <w:pStyle w:val="BodyText2"/>
        <w:tabs>
          <w:tab w:val="right" w:pos="360"/>
          <w:tab w:val="left" w:pos="720"/>
        </w:tabs>
        <w:jc w:val="both"/>
        <w:rPr>
          <w:rFonts w:asciiTheme="minorHAnsi" w:hAnsiTheme="minorHAnsi" w:cstheme="minorHAnsi"/>
          <w:sz w:val="22"/>
          <w:szCs w:val="22"/>
        </w:rPr>
      </w:pPr>
      <w:r w:rsidRPr="00C277FC">
        <w:rPr>
          <w:rFonts w:asciiTheme="minorHAnsi" w:hAnsiTheme="minorHAnsi" w:cstheme="minorHAnsi"/>
          <w:sz w:val="22"/>
          <w:szCs w:val="22"/>
        </w:rPr>
        <w:t>In addition to the direction of this Task Force referral, d</w:t>
      </w:r>
      <w:r w:rsidR="0040430F" w:rsidRPr="00C277FC">
        <w:rPr>
          <w:rFonts w:asciiTheme="minorHAnsi" w:hAnsiTheme="minorHAnsi" w:cstheme="minorHAnsi"/>
          <w:sz w:val="22"/>
          <w:szCs w:val="22"/>
        </w:rPr>
        <w:t xml:space="preserve">uring the 2026 Summer National Meeting the Working Group exposed a revised </w:t>
      </w:r>
      <w:r w:rsidR="002A2DB9" w:rsidRPr="00C277FC">
        <w:rPr>
          <w:rFonts w:asciiTheme="minorHAnsi" w:hAnsiTheme="minorHAnsi" w:cstheme="minorHAnsi"/>
          <w:sz w:val="22"/>
          <w:szCs w:val="22"/>
        </w:rPr>
        <w:t>SSAP and issue paper</w:t>
      </w:r>
      <w:r w:rsidR="00901F49" w:rsidRPr="00C277FC">
        <w:rPr>
          <w:rFonts w:asciiTheme="minorHAnsi" w:hAnsiTheme="minorHAnsi" w:cstheme="minorHAnsi"/>
          <w:sz w:val="22"/>
          <w:szCs w:val="22"/>
        </w:rPr>
        <w:t xml:space="preserve"> with an effective date of January 1, 2028</w:t>
      </w:r>
      <w:r w:rsidR="002A2DB9" w:rsidRPr="00C277FC">
        <w:rPr>
          <w:rFonts w:asciiTheme="minorHAnsi" w:hAnsiTheme="minorHAnsi" w:cstheme="minorHAnsi"/>
          <w:sz w:val="22"/>
          <w:szCs w:val="22"/>
        </w:rPr>
        <w:t xml:space="preserve">. Although the ACLI communicated support for adoption, comments received from regulators requested additional modifications, which are reflected in the exposure draft. These modifications include: </w:t>
      </w:r>
    </w:p>
    <w:p w14:paraId="11590304" w14:textId="77777777" w:rsidR="002A2DB9" w:rsidRPr="00C277FC" w:rsidRDefault="002A2DB9" w:rsidP="00292C82">
      <w:pPr>
        <w:pStyle w:val="BodyText2"/>
        <w:tabs>
          <w:tab w:val="right" w:pos="360"/>
          <w:tab w:val="left" w:pos="720"/>
        </w:tabs>
        <w:jc w:val="both"/>
        <w:rPr>
          <w:rFonts w:asciiTheme="minorHAnsi" w:hAnsiTheme="minorHAnsi" w:cstheme="minorHAnsi"/>
          <w:sz w:val="22"/>
          <w:szCs w:val="22"/>
        </w:rPr>
      </w:pPr>
    </w:p>
    <w:p w14:paraId="404D46F0" w14:textId="77777777" w:rsidR="00D117B3" w:rsidRPr="00C277FC" w:rsidRDefault="00D117B3" w:rsidP="00D117B3">
      <w:pPr>
        <w:pStyle w:val="ListParagraph"/>
        <w:numPr>
          <w:ilvl w:val="1"/>
          <w:numId w:val="25"/>
        </w:numPr>
        <w:jc w:val="both"/>
        <w:rPr>
          <w:rFonts w:asciiTheme="minorHAnsi" w:hAnsiTheme="minorHAnsi" w:cstheme="minorHAnsi"/>
          <w:sz w:val="22"/>
          <w:szCs w:val="22"/>
        </w:rPr>
      </w:pPr>
      <w:r w:rsidRPr="00C277FC">
        <w:rPr>
          <w:rFonts w:asciiTheme="minorHAnsi" w:hAnsiTheme="minorHAnsi" w:cstheme="minorHAnsi"/>
          <w:sz w:val="22"/>
          <w:szCs w:val="22"/>
        </w:rPr>
        <w:t xml:space="preserve">Requirement to eliminate derivative deferred assets and liabilities upon derecognition of the hedged liability portfolio due to a reinsurance agreement. </w:t>
      </w:r>
    </w:p>
    <w:p w14:paraId="6FA74D7C" w14:textId="77777777" w:rsidR="00D117B3" w:rsidRPr="00C277FC" w:rsidRDefault="00D117B3" w:rsidP="00D117B3">
      <w:pPr>
        <w:pStyle w:val="ListParagraph"/>
        <w:ind w:left="1080"/>
        <w:jc w:val="both"/>
        <w:rPr>
          <w:rFonts w:asciiTheme="minorHAnsi" w:hAnsiTheme="minorHAnsi" w:cstheme="minorHAnsi"/>
          <w:sz w:val="22"/>
          <w:szCs w:val="22"/>
        </w:rPr>
      </w:pPr>
    </w:p>
    <w:p w14:paraId="00548842" w14:textId="77777777" w:rsidR="00D117B3" w:rsidRPr="00C277FC" w:rsidRDefault="00D117B3" w:rsidP="00D117B3">
      <w:pPr>
        <w:pStyle w:val="ListParagraph"/>
        <w:numPr>
          <w:ilvl w:val="1"/>
          <w:numId w:val="25"/>
        </w:numPr>
        <w:jc w:val="both"/>
        <w:rPr>
          <w:rFonts w:asciiTheme="minorHAnsi" w:hAnsiTheme="minorHAnsi" w:cstheme="minorHAnsi"/>
          <w:sz w:val="22"/>
          <w:szCs w:val="22"/>
        </w:rPr>
      </w:pPr>
      <w:r w:rsidRPr="00C277FC">
        <w:rPr>
          <w:rFonts w:asciiTheme="minorHAnsi" w:hAnsiTheme="minorHAnsi" w:cstheme="minorHAnsi"/>
          <w:sz w:val="22"/>
          <w:szCs w:val="22"/>
        </w:rPr>
        <w:t xml:space="preserve">Requirement to include derivative deferred gains and losses in actuarial projections, with a reconciliation of admitted deferred derivative losses to the reported deferred amounts reflected for principles-based reserving and cash flow testing. </w:t>
      </w:r>
    </w:p>
    <w:p w14:paraId="45FC0958" w14:textId="77777777" w:rsidR="00D117B3" w:rsidRPr="00C277FC" w:rsidRDefault="00D117B3" w:rsidP="00D117B3">
      <w:pPr>
        <w:pStyle w:val="ListParagraph"/>
        <w:rPr>
          <w:rFonts w:asciiTheme="minorHAnsi" w:hAnsiTheme="minorHAnsi" w:cstheme="minorHAnsi"/>
          <w:sz w:val="22"/>
          <w:szCs w:val="22"/>
        </w:rPr>
      </w:pPr>
    </w:p>
    <w:p w14:paraId="70FF45BE" w14:textId="77777777" w:rsidR="00D117B3" w:rsidRPr="00C277FC" w:rsidRDefault="00D117B3" w:rsidP="00D117B3">
      <w:pPr>
        <w:pStyle w:val="ListParagraph"/>
        <w:numPr>
          <w:ilvl w:val="1"/>
          <w:numId w:val="25"/>
        </w:numPr>
        <w:jc w:val="both"/>
        <w:rPr>
          <w:rFonts w:asciiTheme="minorHAnsi" w:hAnsiTheme="minorHAnsi" w:cstheme="minorHAnsi"/>
          <w:sz w:val="22"/>
          <w:szCs w:val="22"/>
        </w:rPr>
      </w:pPr>
      <w:r w:rsidRPr="00C277FC">
        <w:rPr>
          <w:rFonts w:asciiTheme="minorHAnsi" w:hAnsiTheme="minorHAnsi" w:cstheme="minorHAnsi"/>
          <w:sz w:val="22"/>
          <w:szCs w:val="22"/>
        </w:rPr>
        <w:t xml:space="preserve">Elimination of the elective accelerated amortization provisions. </w:t>
      </w:r>
    </w:p>
    <w:p w14:paraId="7E55B160" w14:textId="77777777" w:rsidR="002A2DB9" w:rsidRPr="00C277FC" w:rsidRDefault="002A2DB9" w:rsidP="00292C82">
      <w:pPr>
        <w:pStyle w:val="BodyText2"/>
        <w:tabs>
          <w:tab w:val="right" w:pos="360"/>
          <w:tab w:val="left" w:pos="720"/>
        </w:tabs>
        <w:jc w:val="both"/>
        <w:rPr>
          <w:rFonts w:asciiTheme="minorHAnsi" w:hAnsiTheme="minorHAnsi" w:cstheme="minorHAnsi"/>
          <w:sz w:val="22"/>
          <w:szCs w:val="22"/>
        </w:rPr>
      </w:pPr>
    </w:p>
    <w:p w14:paraId="229C7214" w14:textId="7A6EFC42" w:rsidR="00E130A0" w:rsidRPr="00C277FC" w:rsidRDefault="007E6CE6" w:rsidP="00331FDA">
      <w:pPr>
        <w:pStyle w:val="BodyText2"/>
        <w:tabs>
          <w:tab w:val="right" w:pos="360"/>
          <w:tab w:val="left" w:pos="720"/>
        </w:tabs>
        <w:spacing w:after="120"/>
        <w:jc w:val="both"/>
        <w:rPr>
          <w:rFonts w:asciiTheme="minorHAnsi" w:hAnsiTheme="minorHAnsi" w:cstheme="minorHAnsi"/>
          <w:sz w:val="22"/>
          <w:szCs w:val="22"/>
        </w:rPr>
      </w:pPr>
      <w:r w:rsidRPr="00C277FC">
        <w:rPr>
          <w:rFonts w:asciiTheme="minorHAnsi" w:hAnsiTheme="minorHAnsi" w:cstheme="minorHAnsi"/>
          <w:sz w:val="22"/>
          <w:szCs w:val="22"/>
        </w:rPr>
        <w:t xml:space="preserve">The Statutory Accounting Principles (E) Working Group appreciates </w:t>
      </w:r>
      <w:r w:rsidR="00D117B3" w:rsidRPr="00C277FC">
        <w:rPr>
          <w:rFonts w:asciiTheme="minorHAnsi" w:hAnsiTheme="minorHAnsi" w:cstheme="minorHAnsi"/>
          <w:sz w:val="22"/>
          <w:szCs w:val="22"/>
        </w:rPr>
        <w:t xml:space="preserve">your </w:t>
      </w:r>
      <w:r w:rsidR="00E130A0" w:rsidRPr="00C277FC">
        <w:rPr>
          <w:rFonts w:asciiTheme="minorHAnsi" w:hAnsiTheme="minorHAnsi" w:cstheme="minorHAnsi"/>
          <w:sz w:val="22"/>
          <w:szCs w:val="22"/>
        </w:rPr>
        <w:t xml:space="preserve">attention to this </w:t>
      </w:r>
      <w:r w:rsidR="00901F49" w:rsidRPr="00C277FC">
        <w:rPr>
          <w:rFonts w:asciiTheme="minorHAnsi" w:hAnsiTheme="minorHAnsi" w:cstheme="minorHAnsi"/>
          <w:sz w:val="22"/>
          <w:szCs w:val="22"/>
        </w:rPr>
        <w:t>referral and</w:t>
      </w:r>
      <w:r w:rsidR="00E130A0" w:rsidRPr="00C277FC">
        <w:rPr>
          <w:rFonts w:asciiTheme="minorHAnsi" w:hAnsiTheme="minorHAnsi" w:cstheme="minorHAnsi"/>
          <w:sz w:val="22"/>
          <w:szCs w:val="22"/>
        </w:rPr>
        <w:t xml:space="preserve"> welcomes comments on the </w:t>
      </w:r>
      <w:r w:rsidR="00C277FC" w:rsidRPr="00C277FC">
        <w:rPr>
          <w:rFonts w:asciiTheme="minorHAnsi" w:hAnsiTheme="minorHAnsi" w:cstheme="minorHAnsi"/>
          <w:sz w:val="22"/>
          <w:szCs w:val="22"/>
        </w:rPr>
        <w:t xml:space="preserve">SSAP No. 109 proposed </w:t>
      </w:r>
      <w:r w:rsidR="00E130A0" w:rsidRPr="00C277FC">
        <w:rPr>
          <w:rFonts w:asciiTheme="minorHAnsi" w:hAnsiTheme="minorHAnsi" w:cstheme="minorHAnsi"/>
          <w:sz w:val="22"/>
          <w:szCs w:val="22"/>
        </w:rPr>
        <w:t xml:space="preserve">hedge-effectiveness tests, </w:t>
      </w:r>
      <w:r w:rsidR="00901F49" w:rsidRPr="00C277FC">
        <w:rPr>
          <w:rFonts w:asciiTheme="minorHAnsi" w:hAnsiTheme="minorHAnsi" w:cstheme="minorHAnsi"/>
          <w:sz w:val="22"/>
          <w:szCs w:val="22"/>
        </w:rPr>
        <w:t xml:space="preserve">as well as on </w:t>
      </w:r>
      <w:r w:rsidR="00E130A0" w:rsidRPr="00C277FC">
        <w:rPr>
          <w:rFonts w:asciiTheme="minorHAnsi" w:hAnsiTheme="minorHAnsi" w:cstheme="minorHAnsi"/>
          <w:sz w:val="22"/>
          <w:szCs w:val="22"/>
        </w:rPr>
        <w:t xml:space="preserve">any aspects of the </w:t>
      </w:r>
      <w:r w:rsidR="00901F49" w:rsidRPr="00C277FC">
        <w:rPr>
          <w:rFonts w:asciiTheme="minorHAnsi" w:hAnsiTheme="minorHAnsi" w:cstheme="minorHAnsi"/>
          <w:sz w:val="22"/>
          <w:szCs w:val="22"/>
        </w:rPr>
        <w:t>draft</w:t>
      </w:r>
      <w:r w:rsidR="00E130A0" w:rsidRPr="00C277FC">
        <w:rPr>
          <w:rFonts w:asciiTheme="minorHAnsi" w:hAnsiTheme="minorHAnsi" w:cstheme="minorHAnsi"/>
          <w:sz w:val="22"/>
          <w:szCs w:val="22"/>
        </w:rPr>
        <w:t xml:space="preserve"> guidance. This new standard is expected to have a meaningful impact on life insurance </w:t>
      </w:r>
      <w:r w:rsidR="00901F49" w:rsidRPr="00C277FC">
        <w:rPr>
          <w:rFonts w:asciiTheme="minorHAnsi" w:hAnsiTheme="minorHAnsi" w:cstheme="minorHAnsi"/>
          <w:sz w:val="22"/>
          <w:szCs w:val="22"/>
        </w:rPr>
        <w:t>companies’</w:t>
      </w:r>
      <w:r w:rsidR="00E130A0" w:rsidRPr="00C277FC">
        <w:rPr>
          <w:rFonts w:asciiTheme="minorHAnsi" w:hAnsiTheme="minorHAnsi" w:cstheme="minorHAnsi"/>
          <w:sz w:val="22"/>
          <w:szCs w:val="22"/>
        </w:rPr>
        <w:t xml:space="preserve"> financial statements and operations, so therefore full consideration by regulators and actuaries is desired prior to adoption and implementation. </w:t>
      </w:r>
    </w:p>
    <w:p w14:paraId="056788F6" w14:textId="4DB6816C" w:rsidR="005963CB" w:rsidRPr="00C277FC" w:rsidRDefault="005963CB" w:rsidP="00331FDA">
      <w:pPr>
        <w:pStyle w:val="BodyText2"/>
        <w:tabs>
          <w:tab w:val="right" w:pos="360"/>
          <w:tab w:val="left" w:pos="720"/>
        </w:tabs>
        <w:spacing w:after="120"/>
        <w:jc w:val="both"/>
        <w:rPr>
          <w:rFonts w:asciiTheme="minorHAnsi" w:hAnsiTheme="minorHAnsi" w:cstheme="minorHAnsi"/>
          <w:sz w:val="22"/>
          <w:szCs w:val="22"/>
        </w:rPr>
      </w:pPr>
      <w:r w:rsidRPr="00C277FC">
        <w:rPr>
          <w:rFonts w:asciiTheme="minorHAnsi" w:hAnsiTheme="minorHAnsi" w:cstheme="minorHAnsi"/>
          <w:sz w:val="22"/>
          <w:szCs w:val="22"/>
        </w:rPr>
        <w:t>Please contact NAIC staff Julie Gann (</w:t>
      </w:r>
      <w:hyperlink r:id="rId11" w:history="1">
        <w:r w:rsidRPr="00C277FC">
          <w:rPr>
            <w:rStyle w:val="Hyperlink"/>
            <w:rFonts w:asciiTheme="minorHAnsi" w:hAnsiTheme="minorHAnsi" w:cstheme="minorHAnsi"/>
            <w:sz w:val="22"/>
            <w:szCs w:val="22"/>
          </w:rPr>
          <w:t>jgann@naic.org</w:t>
        </w:r>
      </w:hyperlink>
      <w:r w:rsidRPr="00C277FC">
        <w:rPr>
          <w:rFonts w:asciiTheme="minorHAnsi" w:hAnsiTheme="minorHAnsi" w:cstheme="minorHAnsi"/>
          <w:sz w:val="22"/>
          <w:szCs w:val="22"/>
        </w:rPr>
        <w:t>)</w:t>
      </w:r>
      <w:r w:rsidR="002956F8" w:rsidRPr="00C277FC">
        <w:rPr>
          <w:rFonts w:asciiTheme="minorHAnsi" w:hAnsiTheme="minorHAnsi" w:cstheme="minorHAnsi"/>
          <w:sz w:val="22"/>
          <w:szCs w:val="22"/>
        </w:rPr>
        <w:t xml:space="preserve"> </w:t>
      </w:r>
      <w:r w:rsidRPr="00C277FC">
        <w:rPr>
          <w:rFonts w:asciiTheme="minorHAnsi" w:hAnsiTheme="minorHAnsi" w:cstheme="minorHAnsi"/>
          <w:sz w:val="22"/>
          <w:szCs w:val="22"/>
        </w:rPr>
        <w:t xml:space="preserve">if you have any questions. </w:t>
      </w:r>
    </w:p>
    <w:p w14:paraId="7F962D3D" w14:textId="58A81EC6" w:rsidR="005963CB" w:rsidRPr="00C277FC" w:rsidRDefault="005963CB" w:rsidP="005963CB">
      <w:pPr>
        <w:spacing w:after="120"/>
        <w:rPr>
          <w:rFonts w:asciiTheme="minorHAnsi" w:hAnsiTheme="minorHAnsi" w:cstheme="minorHAnsi"/>
          <w:sz w:val="22"/>
          <w:szCs w:val="22"/>
        </w:rPr>
      </w:pPr>
      <w:r w:rsidRPr="00C277FC">
        <w:rPr>
          <w:rFonts w:asciiTheme="minorHAnsi" w:hAnsiTheme="minorHAnsi" w:cstheme="minorHAnsi"/>
          <w:sz w:val="22"/>
          <w:szCs w:val="22"/>
        </w:rPr>
        <w:t>Cc: Julie Gann, Robin Marcotte, Jake Stultz, Wil Oden, Jason Farr</w:t>
      </w:r>
      <w:r w:rsidR="007E5978" w:rsidRPr="00C277FC">
        <w:rPr>
          <w:rFonts w:asciiTheme="minorHAnsi" w:hAnsiTheme="minorHAnsi" w:cstheme="minorHAnsi"/>
          <w:sz w:val="22"/>
          <w:szCs w:val="22"/>
        </w:rPr>
        <w:t xml:space="preserve">, </w:t>
      </w:r>
      <w:r w:rsidR="00901F49" w:rsidRPr="00C277FC">
        <w:rPr>
          <w:rFonts w:asciiTheme="minorHAnsi" w:hAnsiTheme="minorHAnsi" w:cstheme="minorHAnsi"/>
          <w:sz w:val="22"/>
          <w:szCs w:val="22"/>
        </w:rPr>
        <w:t xml:space="preserve">Scott O’Neal, Amy Fitzpatrick </w:t>
      </w:r>
    </w:p>
    <w:p w14:paraId="6F2C3E7B" w14:textId="77777777" w:rsidR="00901F49" w:rsidRPr="00C277FC" w:rsidRDefault="005D163B" w:rsidP="005963CB">
      <w:pPr>
        <w:spacing w:after="120"/>
        <w:rPr>
          <w:rFonts w:asciiTheme="minorHAnsi" w:hAnsiTheme="minorHAnsi" w:cstheme="minorHAnsi"/>
          <w:sz w:val="22"/>
          <w:szCs w:val="22"/>
        </w:rPr>
      </w:pPr>
      <w:r w:rsidRPr="00C277FC">
        <w:rPr>
          <w:rFonts w:asciiTheme="minorHAnsi" w:hAnsiTheme="minorHAnsi" w:cstheme="minorHAnsi"/>
          <w:sz w:val="22"/>
          <w:szCs w:val="22"/>
        </w:rPr>
        <w:t>Attachment</w:t>
      </w:r>
      <w:r w:rsidR="00901F49" w:rsidRPr="00C277FC">
        <w:rPr>
          <w:rFonts w:asciiTheme="minorHAnsi" w:hAnsiTheme="minorHAnsi" w:cstheme="minorHAnsi"/>
          <w:sz w:val="22"/>
          <w:szCs w:val="22"/>
        </w:rPr>
        <w:t>s</w:t>
      </w:r>
      <w:r w:rsidRPr="00C277FC">
        <w:rPr>
          <w:rFonts w:asciiTheme="minorHAnsi" w:hAnsiTheme="minorHAnsi" w:cstheme="minorHAnsi"/>
          <w:sz w:val="22"/>
          <w:szCs w:val="22"/>
        </w:rPr>
        <w:t xml:space="preserve">: </w:t>
      </w:r>
    </w:p>
    <w:p w14:paraId="78EEDE74" w14:textId="72BD9E9A" w:rsidR="005D163B" w:rsidRPr="00C277FC" w:rsidRDefault="005D163B" w:rsidP="00901F49">
      <w:pPr>
        <w:pStyle w:val="ListParagraph"/>
        <w:numPr>
          <w:ilvl w:val="0"/>
          <w:numId w:val="26"/>
        </w:numPr>
        <w:spacing w:after="120"/>
        <w:rPr>
          <w:rFonts w:asciiTheme="minorHAnsi" w:hAnsiTheme="minorHAnsi" w:cstheme="minorHAnsi"/>
          <w:sz w:val="22"/>
          <w:szCs w:val="22"/>
        </w:rPr>
      </w:pPr>
      <w:r w:rsidRPr="00C277FC">
        <w:rPr>
          <w:rFonts w:asciiTheme="minorHAnsi" w:hAnsiTheme="minorHAnsi" w:cstheme="minorHAnsi"/>
          <w:sz w:val="22"/>
          <w:szCs w:val="22"/>
        </w:rPr>
        <w:t>SAPWG Ref</w:t>
      </w:r>
      <w:r w:rsidR="00BC2B3A" w:rsidRPr="00C277FC">
        <w:rPr>
          <w:rFonts w:asciiTheme="minorHAnsi" w:hAnsiTheme="minorHAnsi" w:cstheme="minorHAnsi"/>
          <w:sz w:val="22"/>
          <w:szCs w:val="22"/>
        </w:rPr>
        <w:t># 2024-</w:t>
      </w:r>
      <w:r w:rsidR="00D13CCF" w:rsidRPr="00C277FC">
        <w:rPr>
          <w:rFonts w:asciiTheme="minorHAnsi" w:hAnsiTheme="minorHAnsi" w:cstheme="minorHAnsi"/>
          <w:sz w:val="22"/>
          <w:szCs w:val="22"/>
        </w:rPr>
        <w:t>15</w:t>
      </w:r>
    </w:p>
    <w:p w14:paraId="58482EA9" w14:textId="59951B23" w:rsidR="0082301B" w:rsidRPr="00C277FC" w:rsidRDefault="0082301B" w:rsidP="00901F49">
      <w:pPr>
        <w:pStyle w:val="ListParagraph"/>
        <w:numPr>
          <w:ilvl w:val="0"/>
          <w:numId w:val="26"/>
        </w:numPr>
        <w:spacing w:after="120"/>
        <w:rPr>
          <w:rFonts w:asciiTheme="minorHAnsi" w:hAnsiTheme="minorHAnsi" w:cstheme="minorHAnsi"/>
          <w:sz w:val="22"/>
          <w:szCs w:val="22"/>
        </w:rPr>
      </w:pPr>
      <w:r w:rsidRPr="00C277FC">
        <w:rPr>
          <w:rFonts w:asciiTheme="minorHAnsi" w:hAnsiTheme="minorHAnsi" w:cstheme="minorHAnsi"/>
          <w:i/>
          <w:iCs/>
          <w:sz w:val="22"/>
          <w:szCs w:val="22"/>
        </w:rPr>
        <w:t>SSAP No. 109—Asset Liability Management Derivatives</w:t>
      </w:r>
      <w:r w:rsidRPr="00C277FC">
        <w:rPr>
          <w:rFonts w:asciiTheme="minorHAnsi" w:hAnsiTheme="minorHAnsi" w:cstheme="minorHAnsi"/>
          <w:sz w:val="22"/>
          <w:szCs w:val="22"/>
        </w:rPr>
        <w:t xml:space="preserve"> (Summer NM Exposure Draft)</w:t>
      </w:r>
    </w:p>
    <w:p w14:paraId="2F5D2EBC" w14:textId="70662C3C" w:rsidR="0082301B" w:rsidRPr="00C277FC" w:rsidRDefault="0082301B" w:rsidP="00901F49">
      <w:pPr>
        <w:pStyle w:val="ListParagraph"/>
        <w:numPr>
          <w:ilvl w:val="0"/>
          <w:numId w:val="26"/>
        </w:numPr>
        <w:spacing w:after="120"/>
        <w:rPr>
          <w:rFonts w:asciiTheme="minorHAnsi" w:hAnsiTheme="minorHAnsi" w:cstheme="minorHAnsi"/>
          <w:sz w:val="22"/>
          <w:szCs w:val="22"/>
        </w:rPr>
      </w:pPr>
      <w:r w:rsidRPr="00C277FC">
        <w:rPr>
          <w:rFonts w:asciiTheme="minorHAnsi" w:hAnsiTheme="minorHAnsi" w:cstheme="minorHAnsi"/>
          <w:i/>
          <w:iCs/>
          <w:sz w:val="22"/>
          <w:szCs w:val="22"/>
        </w:rPr>
        <w:t>Issue Paper</w:t>
      </w:r>
      <w:r w:rsidR="00583755" w:rsidRPr="00C277FC">
        <w:rPr>
          <w:rFonts w:asciiTheme="minorHAnsi" w:hAnsiTheme="minorHAnsi" w:cstheme="minorHAnsi"/>
          <w:i/>
          <w:iCs/>
          <w:sz w:val="22"/>
          <w:szCs w:val="22"/>
        </w:rPr>
        <w:t xml:space="preserve"> – Asset Liability Management Derivatives</w:t>
      </w:r>
      <w:r w:rsidR="00583755" w:rsidRPr="00C277FC">
        <w:rPr>
          <w:rFonts w:asciiTheme="minorHAnsi" w:hAnsiTheme="minorHAnsi" w:cstheme="minorHAnsi"/>
          <w:sz w:val="22"/>
          <w:szCs w:val="22"/>
        </w:rPr>
        <w:t xml:space="preserve"> (Summer NM Exposure Draft) </w:t>
      </w:r>
    </w:p>
    <w:sectPr w:rsidR="0082301B" w:rsidRPr="00C277FC" w:rsidSect="00F52F5F">
      <w:footerReference w:type="even" r:id="rId12"/>
      <w:footerReference w:type="default" r:id="rId13"/>
      <w:headerReference w:type="first" r:id="rId14"/>
      <w:footerReference w:type="first" r:id="rId15"/>
      <w:pgSz w:w="12240" w:h="15840" w:code="1"/>
      <w:pgMar w:top="1080" w:right="1080" w:bottom="1080" w:left="1080" w:header="720" w:footer="84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EB008" w14:textId="77777777" w:rsidR="00D75720" w:rsidRDefault="00D75720">
      <w:r>
        <w:separator/>
      </w:r>
    </w:p>
  </w:endnote>
  <w:endnote w:type="continuationSeparator" w:id="0">
    <w:p w14:paraId="148BBA9F" w14:textId="77777777" w:rsidR="00D75720" w:rsidRDefault="00D75720">
      <w:r>
        <w:continuationSeparator/>
      </w:r>
    </w:p>
  </w:endnote>
  <w:endnote w:type="continuationNotice" w:id="1">
    <w:p w14:paraId="741E42D0" w14:textId="77777777" w:rsidR="00D75720" w:rsidRDefault="00D757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EB90" w14:textId="77777777" w:rsidR="00A47964" w:rsidRDefault="00A47964" w:rsidP="00717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7BB314" w14:textId="77777777" w:rsidR="00A47964" w:rsidRDefault="00A47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798B" w14:textId="77777777" w:rsidR="00A47964" w:rsidRDefault="00A47964">
    <w:pPr>
      <w:pStyle w:val="Footer"/>
    </w:pPr>
  </w:p>
  <w:p w14:paraId="2546AECD" w14:textId="5E0A40A3" w:rsidR="00A47964" w:rsidRDefault="00A47964" w:rsidP="00F52F5F">
    <w:pPr>
      <w:pStyle w:val="Footer"/>
      <w:framePr w:wrap="around" w:vAnchor="text" w:hAnchor="page" w:x="6076" w:y="21"/>
      <w:rPr>
        <w:rStyle w:val="PageNumber"/>
      </w:rPr>
    </w:pPr>
    <w:r>
      <w:rPr>
        <w:rStyle w:val="PageNumber"/>
      </w:rPr>
      <w:fldChar w:fldCharType="begin"/>
    </w:r>
    <w:r>
      <w:rPr>
        <w:rStyle w:val="PageNumber"/>
      </w:rPr>
      <w:instrText xml:space="preserve">PAGE  </w:instrText>
    </w:r>
    <w:r>
      <w:rPr>
        <w:rStyle w:val="PageNumber"/>
      </w:rPr>
      <w:fldChar w:fldCharType="separate"/>
    </w:r>
    <w:r w:rsidR="00DB520D">
      <w:rPr>
        <w:rStyle w:val="PageNumber"/>
        <w:noProof/>
      </w:rPr>
      <w:t>3</w:t>
    </w:r>
    <w:r>
      <w:rPr>
        <w:rStyle w:val="PageNumber"/>
      </w:rPr>
      <w:fldChar w:fldCharType="end"/>
    </w:r>
  </w:p>
  <w:p w14:paraId="23ACB821" w14:textId="10C2BE33" w:rsidR="00A47964" w:rsidRDefault="2E867C7D">
    <w:pPr>
      <w:pStyle w:val="Footer"/>
    </w:pPr>
    <w:r>
      <w:t>© 2025 National Association of Insurance Commissioners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4989" w14:textId="36420126" w:rsidR="004865E8" w:rsidRPr="005506B9" w:rsidRDefault="004865E8" w:rsidP="004865E8">
    <w:pPr>
      <w:pStyle w:val="Footer"/>
      <w:jc w:val="center"/>
      <w:rPr>
        <w:rFonts w:ascii="Calibri" w:hAnsi="Calibri" w:cs="Calibri"/>
        <w:noProof/>
      </w:rPr>
    </w:pPr>
  </w:p>
  <w:p w14:paraId="75BDE58E" w14:textId="0F503254" w:rsidR="004865E8" w:rsidRPr="005506B9" w:rsidRDefault="004865E8" w:rsidP="004865E8">
    <w:pPr>
      <w:pStyle w:val="Footer"/>
      <w:tabs>
        <w:tab w:val="clear" w:pos="4320"/>
        <w:tab w:val="center" w:pos="5040"/>
      </w:tabs>
      <w:rPr>
        <w:rFonts w:ascii="Calibri" w:hAnsi="Calibri" w:cs="Calibri"/>
        <w:lang w:eastAsia="zh-CN"/>
      </w:rPr>
    </w:pPr>
    <w:r w:rsidRPr="005506B9">
      <w:rPr>
        <w:rFonts w:ascii="Calibri" w:hAnsi="Calibri" w:cs="Calibri"/>
        <w:noProof/>
      </w:rPr>
      <w:t xml:space="preserve">© </w:t>
    </w:r>
    <w:r w:rsidR="005C38ED" w:rsidRPr="005506B9">
      <w:rPr>
        <w:rFonts w:ascii="Calibri" w:hAnsi="Calibri" w:cs="Calibri"/>
        <w:noProof/>
      </w:rPr>
      <w:t>202</w:t>
    </w:r>
    <w:r w:rsidR="009F3DDC">
      <w:rPr>
        <w:rFonts w:ascii="Calibri" w:hAnsi="Calibri" w:cs="Calibri"/>
        <w:noProof/>
      </w:rPr>
      <w:t>6</w:t>
    </w:r>
    <w:r w:rsidR="005C38ED" w:rsidRPr="005506B9">
      <w:rPr>
        <w:rFonts w:ascii="Calibri" w:hAnsi="Calibri" w:cs="Calibri"/>
        <w:noProof/>
      </w:rPr>
      <w:t xml:space="preserve"> </w:t>
    </w:r>
    <w:r w:rsidRPr="005506B9">
      <w:rPr>
        <w:rFonts w:ascii="Calibri" w:hAnsi="Calibri" w:cs="Calibri"/>
        <w:noProof/>
      </w:rPr>
      <w:t>National Association of Insurance Commissioners</w:t>
    </w:r>
    <w:r w:rsidRPr="005506B9">
      <w:rPr>
        <w:rFonts w:ascii="Calibri" w:hAnsi="Calibri" w:cs="Calibri"/>
        <w:noProof/>
      </w:rPr>
      <w:tab/>
    </w:r>
    <w:r w:rsidRPr="005506B9">
      <w:rPr>
        <w:rStyle w:val="PageNumber"/>
        <w:rFonts w:ascii="Calibri" w:hAnsi="Calibri" w:cs="Calibri"/>
      </w:rPr>
      <w:fldChar w:fldCharType="begin"/>
    </w:r>
    <w:r w:rsidRPr="005506B9">
      <w:rPr>
        <w:rStyle w:val="PageNumber"/>
        <w:rFonts w:ascii="Calibri" w:hAnsi="Calibri" w:cs="Calibri"/>
      </w:rPr>
      <w:instrText xml:space="preserve"> PAGE </w:instrText>
    </w:r>
    <w:r w:rsidRPr="005506B9">
      <w:rPr>
        <w:rStyle w:val="PageNumber"/>
        <w:rFonts w:ascii="Calibri" w:hAnsi="Calibri" w:cs="Calibri"/>
      </w:rPr>
      <w:fldChar w:fldCharType="separate"/>
    </w:r>
    <w:r w:rsidR="00DB520D" w:rsidRPr="005506B9">
      <w:rPr>
        <w:rStyle w:val="PageNumber"/>
        <w:rFonts w:ascii="Calibri" w:hAnsi="Calibri" w:cs="Calibri"/>
        <w:noProof/>
      </w:rPr>
      <w:t>1</w:t>
    </w:r>
    <w:r w:rsidRPr="005506B9">
      <w:rPr>
        <w:rStyle w:val="PageNumber"/>
        <w:rFonts w:ascii="Calibri" w:hAnsi="Calibri" w:cs="Calibri"/>
      </w:rPr>
      <w:fldChar w:fldCharType="end"/>
    </w:r>
  </w:p>
  <w:p w14:paraId="2783B347" w14:textId="1EA69B35" w:rsidR="00A47964" w:rsidRDefault="00A47964" w:rsidP="002305A6">
    <w:pPr>
      <w:pStyle w:val="Footer"/>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7A766" w14:textId="77777777" w:rsidR="00D75720" w:rsidRDefault="00D75720">
      <w:r>
        <w:separator/>
      </w:r>
    </w:p>
  </w:footnote>
  <w:footnote w:type="continuationSeparator" w:id="0">
    <w:p w14:paraId="06C423A0" w14:textId="77777777" w:rsidR="00D75720" w:rsidRDefault="00D75720">
      <w:r>
        <w:continuationSeparator/>
      </w:r>
    </w:p>
  </w:footnote>
  <w:footnote w:type="continuationNotice" w:id="1">
    <w:p w14:paraId="267F1CA6" w14:textId="77777777" w:rsidR="00D75720" w:rsidRDefault="00D757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4497" w14:textId="77777777" w:rsidR="00D07E21" w:rsidRDefault="00224D53" w:rsidP="00224D53">
    <w:pPr>
      <w:pStyle w:val="Header"/>
      <w:pBdr>
        <w:bottom w:val="single" w:sz="12" w:space="31" w:color="auto"/>
      </w:pBdr>
    </w:pPr>
    <w:r>
      <w:rPr>
        <w:noProof/>
      </w:rPr>
      <w:drawing>
        <wp:anchor distT="0" distB="0" distL="114300" distR="114300" simplePos="0" relativeHeight="251658240" behindDoc="1" locked="1" layoutInCell="1" allowOverlap="1" wp14:anchorId="4D69B572" wp14:editId="6B62B007">
          <wp:simplePos x="0" y="0"/>
          <wp:positionH relativeFrom="page">
            <wp:posOffset>689212</wp:posOffset>
          </wp:positionH>
          <wp:positionV relativeFrom="page">
            <wp:posOffset>457200</wp:posOffset>
          </wp:positionV>
          <wp:extent cx="3108960" cy="37367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ICLogo"/>
                  <pic:cNvPicPr/>
                </pic:nvPicPr>
                <pic:blipFill>
                  <a:blip r:embed="rId1"/>
                  <a:stretch>
                    <a:fillRect/>
                  </a:stretch>
                </pic:blipFill>
                <pic:spPr>
                  <a:xfrm>
                    <a:off x="0" y="0"/>
                    <a:ext cx="3108960" cy="373677"/>
                  </a:xfrm>
                  <a:prstGeom prst="rect">
                    <a:avLst/>
                  </a:prstGeom>
                </pic:spPr>
              </pic:pic>
            </a:graphicData>
          </a:graphic>
          <wp14:sizeRelH relativeFrom="margin">
            <wp14:pctWidth>0</wp14:pctWidth>
          </wp14:sizeRelH>
          <wp14:sizeRelV relativeFrom="margin">
            <wp14:pctHeight>0</wp14:pctHeight>
          </wp14:sizeRelV>
        </wp:anchor>
      </w:drawing>
    </w:r>
    <w:r w:rsidR="00A47964">
      <w:tab/>
    </w:r>
  </w:p>
  <w:p w14:paraId="60A78B4D" w14:textId="6EA18F59" w:rsidR="00A47964" w:rsidRPr="00D31C6E" w:rsidRDefault="00A47964" w:rsidP="00224D53">
    <w:pPr>
      <w:pStyle w:val="Header"/>
      <w:pBdr>
        <w:bottom w:val="single" w:sz="12" w:space="31" w:color="auto"/>
      </w:pBdr>
      <w:rPr>
        <w:sz w:val="4"/>
        <w:szCs w:val="4"/>
      </w:rPr>
    </w:pPr>
    <w:r>
      <w:tab/>
    </w:r>
  </w:p>
  <w:p w14:paraId="1697F95E" w14:textId="77777777" w:rsidR="00A47964" w:rsidRPr="00D31C6E" w:rsidRDefault="00A47964" w:rsidP="00D31C6E">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DC8FD70"/>
    <w:lvl w:ilvl="0">
      <w:start w:val="1"/>
      <w:numFmt w:val="lowerLetter"/>
      <w:pStyle w:val="ListNumber2"/>
      <w:lvlText w:val="%1."/>
      <w:lvlJc w:val="left"/>
      <w:pPr>
        <w:tabs>
          <w:tab w:val="num" w:pos="0"/>
        </w:tabs>
        <w:ind w:left="1440" w:hanging="720"/>
      </w:pPr>
    </w:lvl>
  </w:abstractNum>
  <w:abstractNum w:abstractNumId="1" w15:restartNumberingAfterBreak="0">
    <w:nsid w:val="00000402"/>
    <w:multiLevelType w:val="multilevel"/>
    <w:tmpl w:val="FD204BFE"/>
    <w:lvl w:ilvl="0">
      <w:start w:val="13"/>
      <w:numFmt w:val="decimal"/>
      <w:lvlText w:val="%1."/>
      <w:lvlJc w:val="left"/>
      <w:pPr>
        <w:ind w:left="120" w:hanging="720"/>
      </w:pPr>
      <w:rPr>
        <w:rFonts w:ascii="Times New Roman" w:hAnsi="Times New Roman" w:cs="Times New Roman" w:hint="default"/>
        <w:b w:val="0"/>
        <w:bCs w:val="0"/>
        <w:i w:val="0"/>
        <w:iCs w:val="0"/>
        <w:spacing w:val="0"/>
        <w:w w:val="99"/>
        <w:sz w:val="22"/>
        <w:szCs w:val="22"/>
      </w:rPr>
    </w:lvl>
    <w:lvl w:ilvl="1">
      <w:start w:val="1"/>
      <w:numFmt w:val="lowerLetter"/>
      <w:lvlText w:val="%2."/>
      <w:lvlJc w:val="left"/>
      <w:pPr>
        <w:ind w:left="1559" w:hanging="720"/>
      </w:pPr>
      <w:rPr>
        <w:rFonts w:ascii="Times New Roman" w:hAnsi="Times New Roman" w:cs="Times New Roman" w:hint="default"/>
        <w:b w:val="0"/>
        <w:bCs w:val="0"/>
        <w:i w:val="0"/>
        <w:iCs w:val="0"/>
        <w:spacing w:val="-1"/>
        <w:w w:val="99"/>
        <w:sz w:val="22"/>
        <w:szCs w:val="22"/>
      </w:rPr>
    </w:lvl>
    <w:lvl w:ilvl="2">
      <w:start w:val="1"/>
      <w:numFmt w:val="lowerRoman"/>
      <w:lvlText w:val="%3."/>
      <w:lvlJc w:val="left"/>
      <w:pPr>
        <w:ind w:left="2279" w:hanging="720"/>
      </w:pPr>
      <w:rPr>
        <w:rFonts w:ascii="Times New Roman" w:hAnsi="Times New Roman" w:cs="Times New Roman" w:hint="default"/>
        <w:b w:val="0"/>
        <w:bCs w:val="0"/>
        <w:i w:val="0"/>
        <w:iCs w:val="0"/>
        <w:spacing w:val="0"/>
        <w:w w:val="99"/>
        <w:sz w:val="22"/>
        <w:szCs w:val="22"/>
      </w:rPr>
    </w:lvl>
    <w:lvl w:ilvl="3">
      <w:numFmt w:val="bullet"/>
      <w:lvlText w:val="•"/>
      <w:lvlJc w:val="left"/>
      <w:pPr>
        <w:ind w:left="3195" w:hanging="720"/>
      </w:pPr>
      <w:rPr>
        <w:rFonts w:hint="default"/>
      </w:rPr>
    </w:lvl>
    <w:lvl w:ilvl="4">
      <w:numFmt w:val="bullet"/>
      <w:lvlText w:val="•"/>
      <w:lvlJc w:val="left"/>
      <w:pPr>
        <w:ind w:left="4110" w:hanging="720"/>
      </w:pPr>
      <w:rPr>
        <w:rFonts w:hint="default"/>
      </w:rPr>
    </w:lvl>
    <w:lvl w:ilvl="5">
      <w:numFmt w:val="bullet"/>
      <w:lvlText w:val="•"/>
      <w:lvlJc w:val="left"/>
      <w:pPr>
        <w:ind w:left="5025" w:hanging="720"/>
      </w:pPr>
      <w:rPr>
        <w:rFonts w:hint="default"/>
      </w:rPr>
    </w:lvl>
    <w:lvl w:ilvl="6">
      <w:numFmt w:val="bullet"/>
      <w:lvlText w:val="•"/>
      <w:lvlJc w:val="left"/>
      <w:pPr>
        <w:ind w:left="5940" w:hanging="720"/>
      </w:pPr>
      <w:rPr>
        <w:rFonts w:hint="default"/>
      </w:rPr>
    </w:lvl>
    <w:lvl w:ilvl="7">
      <w:numFmt w:val="bullet"/>
      <w:lvlText w:val="•"/>
      <w:lvlJc w:val="left"/>
      <w:pPr>
        <w:ind w:left="6855" w:hanging="720"/>
      </w:pPr>
      <w:rPr>
        <w:rFonts w:hint="default"/>
      </w:rPr>
    </w:lvl>
    <w:lvl w:ilvl="8">
      <w:numFmt w:val="bullet"/>
      <w:lvlText w:val="•"/>
      <w:lvlJc w:val="left"/>
      <w:pPr>
        <w:ind w:left="7770" w:hanging="720"/>
      </w:pPr>
      <w:rPr>
        <w:rFonts w:hint="default"/>
      </w:rPr>
    </w:lvl>
  </w:abstractNum>
  <w:abstractNum w:abstractNumId="2" w15:restartNumberingAfterBreak="0">
    <w:nsid w:val="02762482"/>
    <w:multiLevelType w:val="hybridMultilevel"/>
    <w:tmpl w:val="A3F45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01922"/>
    <w:multiLevelType w:val="multilevel"/>
    <w:tmpl w:val="FD204BFE"/>
    <w:lvl w:ilvl="0">
      <w:start w:val="13"/>
      <w:numFmt w:val="decimal"/>
      <w:lvlText w:val="%1."/>
      <w:lvlJc w:val="left"/>
      <w:pPr>
        <w:ind w:left="120" w:hanging="720"/>
      </w:pPr>
      <w:rPr>
        <w:rFonts w:ascii="Times New Roman" w:hAnsi="Times New Roman" w:cs="Times New Roman" w:hint="default"/>
        <w:b w:val="0"/>
        <w:bCs w:val="0"/>
        <w:i w:val="0"/>
        <w:iCs w:val="0"/>
        <w:spacing w:val="0"/>
        <w:w w:val="99"/>
        <w:sz w:val="22"/>
        <w:szCs w:val="22"/>
      </w:rPr>
    </w:lvl>
    <w:lvl w:ilvl="1">
      <w:start w:val="1"/>
      <w:numFmt w:val="lowerLetter"/>
      <w:lvlText w:val="%2."/>
      <w:lvlJc w:val="left"/>
      <w:pPr>
        <w:ind w:left="1559" w:hanging="720"/>
      </w:pPr>
      <w:rPr>
        <w:rFonts w:ascii="Times New Roman" w:hAnsi="Times New Roman" w:cs="Times New Roman" w:hint="default"/>
        <w:b w:val="0"/>
        <w:bCs w:val="0"/>
        <w:i w:val="0"/>
        <w:iCs w:val="0"/>
        <w:spacing w:val="-1"/>
        <w:w w:val="99"/>
        <w:sz w:val="22"/>
        <w:szCs w:val="22"/>
      </w:rPr>
    </w:lvl>
    <w:lvl w:ilvl="2">
      <w:start w:val="1"/>
      <w:numFmt w:val="lowerRoman"/>
      <w:lvlText w:val="%3."/>
      <w:lvlJc w:val="left"/>
      <w:pPr>
        <w:ind w:left="2279" w:hanging="720"/>
      </w:pPr>
      <w:rPr>
        <w:rFonts w:ascii="Times New Roman" w:hAnsi="Times New Roman" w:cs="Times New Roman" w:hint="default"/>
        <w:b w:val="0"/>
        <w:bCs w:val="0"/>
        <w:i w:val="0"/>
        <w:iCs w:val="0"/>
        <w:spacing w:val="0"/>
        <w:w w:val="99"/>
        <w:sz w:val="22"/>
        <w:szCs w:val="22"/>
      </w:rPr>
    </w:lvl>
    <w:lvl w:ilvl="3">
      <w:numFmt w:val="bullet"/>
      <w:lvlText w:val="•"/>
      <w:lvlJc w:val="left"/>
      <w:pPr>
        <w:ind w:left="3195" w:hanging="720"/>
      </w:pPr>
      <w:rPr>
        <w:rFonts w:hint="default"/>
      </w:rPr>
    </w:lvl>
    <w:lvl w:ilvl="4">
      <w:numFmt w:val="bullet"/>
      <w:lvlText w:val="•"/>
      <w:lvlJc w:val="left"/>
      <w:pPr>
        <w:ind w:left="4110" w:hanging="720"/>
      </w:pPr>
      <w:rPr>
        <w:rFonts w:hint="default"/>
      </w:rPr>
    </w:lvl>
    <w:lvl w:ilvl="5">
      <w:numFmt w:val="bullet"/>
      <w:lvlText w:val="•"/>
      <w:lvlJc w:val="left"/>
      <w:pPr>
        <w:ind w:left="5025" w:hanging="720"/>
      </w:pPr>
      <w:rPr>
        <w:rFonts w:hint="default"/>
      </w:rPr>
    </w:lvl>
    <w:lvl w:ilvl="6">
      <w:numFmt w:val="bullet"/>
      <w:lvlText w:val="•"/>
      <w:lvlJc w:val="left"/>
      <w:pPr>
        <w:ind w:left="5940" w:hanging="720"/>
      </w:pPr>
      <w:rPr>
        <w:rFonts w:hint="default"/>
      </w:rPr>
    </w:lvl>
    <w:lvl w:ilvl="7">
      <w:numFmt w:val="bullet"/>
      <w:lvlText w:val="•"/>
      <w:lvlJc w:val="left"/>
      <w:pPr>
        <w:ind w:left="6855" w:hanging="720"/>
      </w:pPr>
      <w:rPr>
        <w:rFonts w:hint="default"/>
      </w:rPr>
    </w:lvl>
    <w:lvl w:ilvl="8">
      <w:numFmt w:val="bullet"/>
      <w:lvlText w:val="•"/>
      <w:lvlJc w:val="left"/>
      <w:pPr>
        <w:ind w:left="7770" w:hanging="720"/>
      </w:pPr>
      <w:rPr>
        <w:rFonts w:hint="default"/>
      </w:rPr>
    </w:lvl>
  </w:abstractNum>
  <w:abstractNum w:abstractNumId="4" w15:restartNumberingAfterBreak="0">
    <w:nsid w:val="092210F7"/>
    <w:multiLevelType w:val="hybridMultilevel"/>
    <w:tmpl w:val="081C61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6B7E6D"/>
    <w:multiLevelType w:val="multilevel"/>
    <w:tmpl w:val="8830262E"/>
    <w:lvl w:ilvl="0">
      <w:start w:val="39"/>
      <w:numFmt w:val="decimal"/>
      <w:lvlText w:val="%1."/>
      <w:lvlJc w:val="left"/>
      <w:pPr>
        <w:ind w:left="760" w:hanging="720"/>
      </w:pPr>
      <w:rPr>
        <w:rFonts w:ascii="Times New Roman" w:hAnsi="Times New Roman" w:cs="Times New Roman" w:hint="default"/>
        <w:b w:val="0"/>
        <w:bCs w:val="0"/>
        <w:i w:val="0"/>
        <w:iCs w:val="0"/>
        <w:spacing w:val="0"/>
        <w:w w:val="99"/>
        <w:sz w:val="22"/>
        <w:szCs w:val="22"/>
      </w:rPr>
    </w:lvl>
    <w:lvl w:ilvl="1">
      <w:start w:val="1"/>
      <w:numFmt w:val="lowerLetter"/>
      <w:lvlText w:val="%2."/>
      <w:lvlJc w:val="left"/>
      <w:pPr>
        <w:ind w:left="2199" w:hanging="720"/>
      </w:pPr>
      <w:rPr>
        <w:rFonts w:ascii="Times New Roman" w:hAnsi="Times New Roman" w:cs="Times New Roman" w:hint="default"/>
        <w:b w:val="0"/>
        <w:bCs w:val="0"/>
        <w:i w:val="0"/>
        <w:iCs w:val="0"/>
        <w:spacing w:val="-1"/>
        <w:w w:val="99"/>
        <w:sz w:val="22"/>
        <w:szCs w:val="22"/>
      </w:rPr>
    </w:lvl>
    <w:lvl w:ilvl="2">
      <w:start w:val="1"/>
      <w:numFmt w:val="lowerRoman"/>
      <w:lvlText w:val="%3."/>
      <w:lvlJc w:val="left"/>
      <w:pPr>
        <w:ind w:left="2919" w:hanging="720"/>
      </w:pPr>
      <w:rPr>
        <w:rFonts w:ascii="Times New Roman" w:hAnsi="Times New Roman" w:cs="Times New Roman" w:hint="default"/>
        <w:b w:val="0"/>
        <w:bCs w:val="0"/>
        <w:i w:val="0"/>
        <w:iCs w:val="0"/>
        <w:spacing w:val="0"/>
        <w:w w:val="99"/>
        <w:sz w:val="22"/>
        <w:szCs w:val="22"/>
      </w:rPr>
    </w:lvl>
    <w:lvl w:ilvl="3">
      <w:numFmt w:val="bullet"/>
      <w:lvlText w:val="•"/>
      <w:lvlJc w:val="left"/>
      <w:pPr>
        <w:ind w:left="3835" w:hanging="720"/>
      </w:pPr>
      <w:rPr>
        <w:rFonts w:hint="default"/>
      </w:rPr>
    </w:lvl>
    <w:lvl w:ilvl="4">
      <w:numFmt w:val="bullet"/>
      <w:lvlText w:val="•"/>
      <w:lvlJc w:val="left"/>
      <w:pPr>
        <w:ind w:left="4750" w:hanging="720"/>
      </w:pPr>
      <w:rPr>
        <w:rFonts w:hint="default"/>
      </w:rPr>
    </w:lvl>
    <w:lvl w:ilvl="5">
      <w:numFmt w:val="bullet"/>
      <w:lvlText w:val="•"/>
      <w:lvlJc w:val="left"/>
      <w:pPr>
        <w:ind w:left="5665" w:hanging="720"/>
      </w:pPr>
      <w:rPr>
        <w:rFonts w:hint="default"/>
      </w:rPr>
    </w:lvl>
    <w:lvl w:ilvl="6">
      <w:numFmt w:val="bullet"/>
      <w:lvlText w:val="•"/>
      <w:lvlJc w:val="left"/>
      <w:pPr>
        <w:ind w:left="6580" w:hanging="720"/>
      </w:pPr>
      <w:rPr>
        <w:rFonts w:hint="default"/>
      </w:rPr>
    </w:lvl>
    <w:lvl w:ilvl="7">
      <w:numFmt w:val="bullet"/>
      <w:lvlText w:val="•"/>
      <w:lvlJc w:val="left"/>
      <w:pPr>
        <w:ind w:left="7495" w:hanging="720"/>
      </w:pPr>
      <w:rPr>
        <w:rFonts w:hint="default"/>
      </w:rPr>
    </w:lvl>
    <w:lvl w:ilvl="8">
      <w:numFmt w:val="bullet"/>
      <w:lvlText w:val="•"/>
      <w:lvlJc w:val="left"/>
      <w:pPr>
        <w:ind w:left="8410" w:hanging="720"/>
      </w:pPr>
      <w:rPr>
        <w:rFonts w:hint="default"/>
      </w:rPr>
    </w:lvl>
  </w:abstractNum>
  <w:abstractNum w:abstractNumId="6" w15:restartNumberingAfterBreak="0">
    <w:nsid w:val="0A0E6517"/>
    <w:multiLevelType w:val="hybridMultilevel"/>
    <w:tmpl w:val="EEA01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B4838"/>
    <w:multiLevelType w:val="hybridMultilevel"/>
    <w:tmpl w:val="40F0878C"/>
    <w:lvl w:ilvl="0" w:tplc="A762F1E0">
      <w:start w:val="1"/>
      <w:numFmt w:val="decimal"/>
      <w:lvlText w:val="%1."/>
      <w:lvlJc w:val="left"/>
      <w:pPr>
        <w:ind w:left="476" w:hanging="718"/>
      </w:pPr>
      <w:rPr>
        <w:rFonts w:asciiTheme="minorHAnsi" w:eastAsia="Times New Roman" w:hAnsiTheme="minorHAnsi" w:cstheme="minorHAnsi" w:hint="default"/>
        <w:b w:val="0"/>
        <w:bCs w:val="0"/>
        <w:i w:val="0"/>
        <w:iCs w:val="0"/>
        <w:color w:val="010202"/>
        <w:spacing w:val="0"/>
        <w:w w:val="100"/>
        <w:sz w:val="22"/>
        <w:szCs w:val="22"/>
        <w:lang w:val="en-US" w:eastAsia="en-US" w:bidi="ar-SA"/>
      </w:rPr>
    </w:lvl>
    <w:lvl w:ilvl="1" w:tplc="9E9A1596">
      <w:start w:val="1"/>
      <w:numFmt w:val="lowerLetter"/>
      <w:lvlText w:val="%2."/>
      <w:lvlJc w:val="left"/>
      <w:pPr>
        <w:ind w:left="1919" w:hanging="716"/>
      </w:pPr>
      <w:rPr>
        <w:rFonts w:hint="default"/>
        <w:color w:val="auto"/>
        <w:spacing w:val="0"/>
        <w:w w:val="100"/>
        <w:lang w:val="en-US" w:eastAsia="en-US" w:bidi="ar-SA"/>
      </w:rPr>
    </w:lvl>
    <w:lvl w:ilvl="2" w:tplc="9800D92A">
      <w:start w:val="1"/>
      <w:numFmt w:val="lowerRoman"/>
      <w:lvlText w:val="%3."/>
      <w:lvlJc w:val="left"/>
      <w:pPr>
        <w:ind w:left="2639" w:hanging="716"/>
      </w:pPr>
      <w:rPr>
        <w:rFonts w:asciiTheme="minorHAnsi" w:eastAsia="Times New Roman" w:hAnsiTheme="minorHAnsi" w:cstheme="minorHAnsi" w:hint="default"/>
        <w:b w:val="0"/>
        <w:bCs w:val="0"/>
        <w:i w:val="0"/>
        <w:iCs w:val="0"/>
        <w:color w:val="010202"/>
        <w:spacing w:val="0"/>
        <w:w w:val="100"/>
        <w:sz w:val="22"/>
        <w:szCs w:val="22"/>
        <w:lang w:val="en-US" w:eastAsia="en-US" w:bidi="ar-SA"/>
      </w:rPr>
    </w:lvl>
    <w:lvl w:ilvl="3" w:tplc="252685FA">
      <w:numFmt w:val="bullet"/>
      <w:lvlText w:val="•"/>
      <w:lvlJc w:val="left"/>
      <w:pPr>
        <w:ind w:left="2640" w:hanging="716"/>
      </w:pPr>
      <w:rPr>
        <w:rFonts w:hint="default"/>
        <w:lang w:val="en-US" w:eastAsia="en-US" w:bidi="ar-SA"/>
      </w:rPr>
    </w:lvl>
    <w:lvl w:ilvl="4" w:tplc="6D943344">
      <w:numFmt w:val="bullet"/>
      <w:lvlText w:val="•"/>
      <w:lvlJc w:val="left"/>
      <w:pPr>
        <w:ind w:left="3720" w:hanging="716"/>
      </w:pPr>
      <w:rPr>
        <w:rFonts w:hint="default"/>
        <w:lang w:val="en-US" w:eastAsia="en-US" w:bidi="ar-SA"/>
      </w:rPr>
    </w:lvl>
    <w:lvl w:ilvl="5" w:tplc="11681252">
      <w:numFmt w:val="bullet"/>
      <w:lvlText w:val="•"/>
      <w:lvlJc w:val="left"/>
      <w:pPr>
        <w:ind w:left="4800" w:hanging="716"/>
      </w:pPr>
      <w:rPr>
        <w:rFonts w:hint="default"/>
        <w:lang w:val="en-US" w:eastAsia="en-US" w:bidi="ar-SA"/>
      </w:rPr>
    </w:lvl>
    <w:lvl w:ilvl="6" w:tplc="2AE0288E">
      <w:numFmt w:val="bullet"/>
      <w:lvlText w:val="•"/>
      <w:lvlJc w:val="left"/>
      <w:pPr>
        <w:ind w:left="5880" w:hanging="716"/>
      </w:pPr>
      <w:rPr>
        <w:rFonts w:hint="default"/>
        <w:lang w:val="en-US" w:eastAsia="en-US" w:bidi="ar-SA"/>
      </w:rPr>
    </w:lvl>
    <w:lvl w:ilvl="7" w:tplc="19C0261C">
      <w:numFmt w:val="bullet"/>
      <w:lvlText w:val="•"/>
      <w:lvlJc w:val="left"/>
      <w:pPr>
        <w:ind w:left="6960" w:hanging="716"/>
      </w:pPr>
      <w:rPr>
        <w:rFonts w:hint="default"/>
        <w:lang w:val="en-US" w:eastAsia="en-US" w:bidi="ar-SA"/>
      </w:rPr>
    </w:lvl>
    <w:lvl w:ilvl="8" w:tplc="852ECDF8">
      <w:numFmt w:val="bullet"/>
      <w:lvlText w:val="•"/>
      <w:lvlJc w:val="left"/>
      <w:pPr>
        <w:ind w:left="8040" w:hanging="716"/>
      </w:pPr>
      <w:rPr>
        <w:rFonts w:hint="default"/>
        <w:lang w:val="en-US" w:eastAsia="en-US" w:bidi="ar-SA"/>
      </w:rPr>
    </w:lvl>
  </w:abstractNum>
  <w:abstractNum w:abstractNumId="8" w15:restartNumberingAfterBreak="0">
    <w:nsid w:val="1B8900E6"/>
    <w:multiLevelType w:val="hybridMultilevel"/>
    <w:tmpl w:val="5448ADE2"/>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CE542F4"/>
    <w:multiLevelType w:val="hybridMultilevel"/>
    <w:tmpl w:val="8182D07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248E1046"/>
    <w:multiLevelType w:val="hybridMultilevel"/>
    <w:tmpl w:val="09568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356EB3"/>
    <w:multiLevelType w:val="hybridMultilevel"/>
    <w:tmpl w:val="C3BE056A"/>
    <w:lvl w:ilvl="0" w:tplc="FFFFFFFF">
      <w:start w:val="1"/>
      <w:numFmt w:val="decimal"/>
      <w:lvlText w:val="%1."/>
      <w:lvlJc w:val="left"/>
      <w:pPr>
        <w:ind w:left="360" w:hanging="360"/>
      </w:pPr>
      <w:rPr>
        <w:rFonts w:hint="default"/>
        <w:i w:val="0"/>
        <w:iCs w:val="0"/>
      </w:rPr>
    </w:lvl>
    <w:lvl w:ilvl="1" w:tplc="FFFFFFFF">
      <w:start w:val="1"/>
      <w:numFmt w:val="decimal"/>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2E2F0F88"/>
    <w:multiLevelType w:val="hybridMultilevel"/>
    <w:tmpl w:val="8BFE2C4C"/>
    <w:lvl w:ilvl="0" w:tplc="FFFFFFFF">
      <w:start w:val="32"/>
      <w:numFmt w:val="decimal"/>
      <w:lvlText w:val="%1."/>
      <w:lvlJc w:val="left"/>
      <w:pPr>
        <w:ind w:left="360" w:hanging="360"/>
      </w:pPr>
      <w:rPr>
        <w:rFonts w:hint="default"/>
      </w:rPr>
    </w:lvl>
    <w:lvl w:ilvl="1" w:tplc="FFFFFFFF">
      <w:start w:val="1"/>
      <w:numFmt w:val="lowerLetter"/>
      <w:lvlText w:val="%2."/>
      <w:lvlJc w:val="left"/>
      <w:pPr>
        <w:ind w:left="-810" w:hanging="360"/>
      </w:pPr>
    </w:lvl>
    <w:lvl w:ilvl="2" w:tplc="FFFFFFFF" w:tentative="1">
      <w:start w:val="1"/>
      <w:numFmt w:val="lowerRoman"/>
      <w:lvlText w:val="%3."/>
      <w:lvlJc w:val="right"/>
      <w:pPr>
        <w:ind w:left="-90" w:hanging="180"/>
      </w:pPr>
    </w:lvl>
    <w:lvl w:ilvl="3" w:tplc="FFFFFFFF" w:tentative="1">
      <w:start w:val="1"/>
      <w:numFmt w:val="decimal"/>
      <w:lvlText w:val="%4."/>
      <w:lvlJc w:val="left"/>
      <w:pPr>
        <w:ind w:left="630" w:hanging="360"/>
      </w:pPr>
    </w:lvl>
    <w:lvl w:ilvl="4" w:tplc="FFFFFFFF" w:tentative="1">
      <w:start w:val="1"/>
      <w:numFmt w:val="lowerLetter"/>
      <w:lvlText w:val="%5."/>
      <w:lvlJc w:val="left"/>
      <w:pPr>
        <w:ind w:left="1350" w:hanging="360"/>
      </w:pPr>
    </w:lvl>
    <w:lvl w:ilvl="5" w:tplc="FFFFFFFF" w:tentative="1">
      <w:start w:val="1"/>
      <w:numFmt w:val="lowerRoman"/>
      <w:lvlText w:val="%6."/>
      <w:lvlJc w:val="right"/>
      <w:pPr>
        <w:ind w:left="2070" w:hanging="180"/>
      </w:pPr>
    </w:lvl>
    <w:lvl w:ilvl="6" w:tplc="FFFFFFFF" w:tentative="1">
      <w:start w:val="1"/>
      <w:numFmt w:val="decimal"/>
      <w:lvlText w:val="%7."/>
      <w:lvlJc w:val="left"/>
      <w:pPr>
        <w:ind w:left="2790" w:hanging="360"/>
      </w:pPr>
    </w:lvl>
    <w:lvl w:ilvl="7" w:tplc="FFFFFFFF" w:tentative="1">
      <w:start w:val="1"/>
      <w:numFmt w:val="lowerLetter"/>
      <w:lvlText w:val="%8."/>
      <w:lvlJc w:val="left"/>
      <w:pPr>
        <w:ind w:left="3510" w:hanging="360"/>
      </w:pPr>
    </w:lvl>
    <w:lvl w:ilvl="8" w:tplc="FFFFFFFF" w:tentative="1">
      <w:start w:val="1"/>
      <w:numFmt w:val="lowerRoman"/>
      <w:lvlText w:val="%9."/>
      <w:lvlJc w:val="right"/>
      <w:pPr>
        <w:ind w:left="4230" w:hanging="180"/>
      </w:pPr>
    </w:lvl>
  </w:abstractNum>
  <w:abstractNum w:abstractNumId="13" w15:restartNumberingAfterBreak="0">
    <w:nsid w:val="34CD524B"/>
    <w:multiLevelType w:val="singleLevel"/>
    <w:tmpl w:val="A5588AAC"/>
    <w:lvl w:ilvl="0">
      <w:start w:val="63"/>
      <w:numFmt w:val="decimal"/>
      <w:lvlText w:val="%1."/>
      <w:lvlJc w:val="left"/>
      <w:pPr>
        <w:tabs>
          <w:tab w:val="num" w:pos="720"/>
        </w:tabs>
        <w:ind w:left="720" w:hanging="720"/>
      </w:pPr>
      <w:rPr>
        <w:rFonts w:hint="default"/>
      </w:rPr>
    </w:lvl>
  </w:abstractNum>
  <w:abstractNum w:abstractNumId="14" w15:restartNumberingAfterBreak="0">
    <w:nsid w:val="388D41C2"/>
    <w:multiLevelType w:val="hybridMultilevel"/>
    <w:tmpl w:val="D12410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E550DF1"/>
    <w:multiLevelType w:val="hybridMultilevel"/>
    <w:tmpl w:val="4F0A94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FD3CBF"/>
    <w:multiLevelType w:val="hybridMultilevel"/>
    <w:tmpl w:val="C3BE056A"/>
    <w:lvl w:ilvl="0" w:tplc="40240BB0">
      <w:start w:val="1"/>
      <w:numFmt w:val="decimal"/>
      <w:lvlText w:val="%1."/>
      <w:lvlJc w:val="left"/>
      <w:pPr>
        <w:ind w:left="-4320" w:hanging="360"/>
      </w:pPr>
      <w:rPr>
        <w:rFonts w:hint="default"/>
        <w:i w:val="0"/>
        <w:iCs w:val="0"/>
      </w:rPr>
    </w:lvl>
    <w:lvl w:ilvl="1" w:tplc="0409000F">
      <w:start w:val="1"/>
      <w:numFmt w:val="decimal"/>
      <w:lvlText w:val="%2."/>
      <w:lvlJc w:val="left"/>
      <w:pPr>
        <w:ind w:left="-3600" w:hanging="360"/>
      </w:p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1440" w:hanging="360"/>
      </w:pPr>
      <w:rPr>
        <w:rFonts w:ascii="Courier New" w:hAnsi="Courier New" w:cs="Courier New" w:hint="default"/>
      </w:rPr>
    </w:lvl>
    <w:lvl w:ilvl="5" w:tplc="04090005">
      <w:start w:val="1"/>
      <w:numFmt w:val="bullet"/>
      <w:lvlText w:val=""/>
      <w:lvlJc w:val="left"/>
      <w:pPr>
        <w:ind w:left="-720" w:hanging="360"/>
      </w:pPr>
      <w:rPr>
        <w:rFonts w:ascii="Wingdings" w:hAnsi="Wingdings" w:hint="default"/>
      </w:rPr>
    </w:lvl>
    <w:lvl w:ilvl="6" w:tplc="04090001">
      <w:start w:val="1"/>
      <w:numFmt w:val="bullet"/>
      <w:lvlText w:val=""/>
      <w:lvlJc w:val="left"/>
      <w:pPr>
        <w:ind w:left="0" w:hanging="360"/>
      </w:pPr>
      <w:rPr>
        <w:rFonts w:ascii="Symbol" w:hAnsi="Symbol" w:hint="default"/>
      </w:rPr>
    </w:lvl>
    <w:lvl w:ilvl="7" w:tplc="04090003">
      <w:start w:val="1"/>
      <w:numFmt w:val="bullet"/>
      <w:lvlText w:val="o"/>
      <w:lvlJc w:val="left"/>
      <w:pPr>
        <w:ind w:left="720" w:hanging="360"/>
      </w:pPr>
      <w:rPr>
        <w:rFonts w:ascii="Courier New" w:hAnsi="Courier New" w:cs="Courier New" w:hint="default"/>
      </w:rPr>
    </w:lvl>
    <w:lvl w:ilvl="8" w:tplc="04090005">
      <w:start w:val="1"/>
      <w:numFmt w:val="bullet"/>
      <w:lvlText w:val=""/>
      <w:lvlJc w:val="left"/>
      <w:pPr>
        <w:ind w:left="1440" w:hanging="360"/>
      </w:pPr>
      <w:rPr>
        <w:rFonts w:ascii="Wingdings" w:hAnsi="Wingdings" w:hint="default"/>
      </w:rPr>
    </w:lvl>
  </w:abstractNum>
  <w:abstractNum w:abstractNumId="17" w15:restartNumberingAfterBreak="0">
    <w:nsid w:val="453D6992"/>
    <w:multiLevelType w:val="singleLevel"/>
    <w:tmpl w:val="B6C656D6"/>
    <w:lvl w:ilvl="0">
      <w:start w:val="1"/>
      <w:numFmt w:val="lowerLetter"/>
      <w:lvlText w:val="%1."/>
      <w:legacy w:legacy="1" w:legacySpace="0" w:legacyIndent="720"/>
      <w:lvlJc w:val="left"/>
      <w:pPr>
        <w:ind w:left="1440" w:hanging="720"/>
      </w:pPr>
    </w:lvl>
  </w:abstractNum>
  <w:abstractNum w:abstractNumId="18" w15:restartNumberingAfterBreak="0">
    <w:nsid w:val="4C0A5200"/>
    <w:multiLevelType w:val="hybridMultilevel"/>
    <w:tmpl w:val="C89C7E2C"/>
    <w:lvl w:ilvl="0" w:tplc="035EA9F6">
      <w:start w:val="13"/>
      <w:numFmt w:val="decimal"/>
      <w:lvlText w:val="%1."/>
      <w:lvlJc w:val="left"/>
      <w:pPr>
        <w:ind w:left="720" w:hanging="360"/>
      </w:pPr>
      <w:rPr>
        <w:rFonts w:hint="default"/>
        <w:color w:val="01020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B6402"/>
    <w:multiLevelType w:val="hybridMultilevel"/>
    <w:tmpl w:val="AF70EDE0"/>
    <w:lvl w:ilvl="0" w:tplc="FFFFFFFF">
      <w:start w:val="22"/>
      <w:numFmt w:val="decimal"/>
      <w:lvlText w:val="%1."/>
      <w:lvlJc w:val="left"/>
      <w:pPr>
        <w:ind w:left="360" w:hanging="360"/>
      </w:pPr>
      <w:rPr>
        <w:rFonts w:hint="default"/>
      </w:rPr>
    </w:lvl>
    <w:lvl w:ilvl="1" w:tplc="FFFFFFFF">
      <w:start w:val="1"/>
      <w:numFmt w:val="lowerLetter"/>
      <w:lvlText w:val="%2."/>
      <w:lvlJc w:val="left"/>
      <w:pPr>
        <w:ind w:left="-810" w:hanging="360"/>
      </w:pPr>
    </w:lvl>
    <w:lvl w:ilvl="2" w:tplc="FFFFFFFF" w:tentative="1">
      <w:start w:val="1"/>
      <w:numFmt w:val="lowerRoman"/>
      <w:lvlText w:val="%3."/>
      <w:lvlJc w:val="right"/>
      <w:pPr>
        <w:ind w:left="-90" w:hanging="180"/>
      </w:pPr>
    </w:lvl>
    <w:lvl w:ilvl="3" w:tplc="FFFFFFFF" w:tentative="1">
      <w:start w:val="1"/>
      <w:numFmt w:val="decimal"/>
      <w:lvlText w:val="%4."/>
      <w:lvlJc w:val="left"/>
      <w:pPr>
        <w:ind w:left="630" w:hanging="360"/>
      </w:pPr>
    </w:lvl>
    <w:lvl w:ilvl="4" w:tplc="FFFFFFFF" w:tentative="1">
      <w:start w:val="1"/>
      <w:numFmt w:val="lowerLetter"/>
      <w:lvlText w:val="%5."/>
      <w:lvlJc w:val="left"/>
      <w:pPr>
        <w:ind w:left="1350" w:hanging="360"/>
      </w:pPr>
    </w:lvl>
    <w:lvl w:ilvl="5" w:tplc="FFFFFFFF" w:tentative="1">
      <w:start w:val="1"/>
      <w:numFmt w:val="lowerRoman"/>
      <w:lvlText w:val="%6."/>
      <w:lvlJc w:val="right"/>
      <w:pPr>
        <w:ind w:left="2070" w:hanging="180"/>
      </w:pPr>
    </w:lvl>
    <w:lvl w:ilvl="6" w:tplc="FFFFFFFF" w:tentative="1">
      <w:start w:val="1"/>
      <w:numFmt w:val="decimal"/>
      <w:lvlText w:val="%7."/>
      <w:lvlJc w:val="left"/>
      <w:pPr>
        <w:ind w:left="2790" w:hanging="360"/>
      </w:pPr>
    </w:lvl>
    <w:lvl w:ilvl="7" w:tplc="FFFFFFFF" w:tentative="1">
      <w:start w:val="1"/>
      <w:numFmt w:val="lowerLetter"/>
      <w:lvlText w:val="%8."/>
      <w:lvlJc w:val="left"/>
      <w:pPr>
        <w:ind w:left="3510" w:hanging="360"/>
      </w:pPr>
    </w:lvl>
    <w:lvl w:ilvl="8" w:tplc="FFFFFFFF" w:tentative="1">
      <w:start w:val="1"/>
      <w:numFmt w:val="lowerRoman"/>
      <w:lvlText w:val="%9."/>
      <w:lvlJc w:val="right"/>
      <w:pPr>
        <w:ind w:left="4230" w:hanging="180"/>
      </w:pPr>
    </w:lvl>
  </w:abstractNum>
  <w:abstractNum w:abstractNumId="20" w15:restartNumberingAfterBreak="0">
    <w:nsid w:val="726B448E"/>
    <w:multiLevelType w:val="hybridMultilevel"/>
    <w:tmpl w:val="7482F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CB3A87"/>
    <w:multiLevelType w:val="hybridMultilevel"/>
    <w:tmpl w:val="50A05C52"/>
    <w:lvl w:ilvl="0" w:tplc="FFFFFFFF">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7B49015E"/>
    <w:multiLevelType w:val="multilevel"/>
    <w:tmpl w:val="FFFFFFFF"/>
    <w:lvl w:ilvl="0">
      <w:start w:val="13"/>
      <w:numFmt w:val="decimal"/>
      <w:lvlText w:val="%1."/>
      <w:lvlJc w:val="left"/>
      <w:pPr>
        <w:ind w:left="120" w:hanging="720"/>
      </w:pPr>
      <w:rPr>
        <w:rFonts w:ascii="Times New Roman" w:hAnsi="Times New Roman" w:cs="Times New Roman"/>
        <w:b w:val="0"/>
        <w:bCs w:val="0"/>
        <w:i w:val="0"/>
        <w:iCs w:val="0"/>
        <w:spacing w:val="0"/>
        <w:w w:val="99"/>
        <w:sz w:val="22"/>
        <w:szCs w:val="22"/>
      </w:rPr>
    </w:lvl>
    <w:lvl w:ilvl="1">
      <w:start w:val="1"/>
      <w:numFmt w:val="lowerLetter"/>
      <w:lvlText w:val="%2."/>
      <w:lvlJc w:val="left"/>
      <w:pPr>
        <w:ind w:left="1559" w:hanging="720"/>
      </w:pPr>
      <w:rPr>
        <w:rFonts w:ascii="Times New Roman" w:hAnsi="Times New Roman" w:cs="Times New Roman"/>
        <w:b w:val="0"/>
        <w:bCs w:val="0"/>
        <w:i w:val="0"/>
        <w:iCs w:val="0"/>
        <w:spacing w:val="-1"/>
        <w:w w:val="99"/>
        <w:sz w:val="22"/>
        <w:szCs w:val="22"/>
      </w:rPr>
    </w:lvl>
    <w:lvl w:ilvl="2">
      <w:start w:val="1"/>
      <w:numFmt w:val="lowerRoman"/>
      <w:lvlText w:val="%3."/>
      <w:lvlJc w:val="left"/>
      <w:pPr>
        <w:ind w:left="2279" w:hanging="720"/>
      </w:pPr>
      <w:rPr>
        <w:rFonts w:ascii="Times New Roman" w:hAnsi="Times New Roman" w:cs="Times New Roman"/>
        <w:b w:val="0"/>
        <w:bCs w:val="0"/>
        <w:i w:val="0"/>
        <w:iCs w:val="0"/>
        <w:spacing w:val="0"/>
        <w:w w:val="99"/>
        <w:sz w:val="22"/>
        <w:szCs w:val="22"/>
      </w:rPr>
    </w:lvl>
    <w:lvl w:ilvl="3">
      <w:numFmt w:val="bullet"/>
      <w:lvlText w:val="•"/>
      <w:lvlJc w:val="left"/>
      <w:pPr>
        <w:ind w:left="3195" w:hanging="720"/>
      </w:pPr>
    </w:lvl>
    <w:lvl w:ilvl="4">
      <w:numFmt w:val="bullet"/>
      <w:lvlText w:val="•"/>
      <w:lvlJc w:val="left"/>
      <w:pPr>
        <w:ind w:left="4110" w:hanging="720"/>
      </w:pPr>
    </w:lvl>
    <w:lvl w:ilvl="5">
      <w:numFmt w:val="bullet"/>
      <w:lvlText w:val="•"/>
      <w:lvlJc w:val="left"/>
      <w:pPr>
        <w:ind w:left="5025" w:hanging="720"/>
      </w:pPr>
    </w:lvl>
    <w:lvl w:ilvl="6">
      <w:numFmt w:val="bullet"/>
      <w:lvlText w:val="•"/>
      <w:lvlJc w:val="left"/>
      <w:pPr>
        <w:ind w:left="5940" w:hanging="720"/>
      </w:pPr>
    </w:lvl>
    <w:lvl w:ilvl="7">
      <w:numFmt w:val="bullet"/>
      <w:lvlText w:val="•"/>
      <w:lvlJc w:val="left"/>
      <w:pPr>
        <w:ind w:left="6855" w:hanging="720"/>
      </w:pPr>
    </w:lvl>
    <w:lvl w:ilvl="8">
      <w:numFmt w:val="bullet"/>
      <w:lvlText w:val="•"/>
      <w:lvlJc w:val="left"/>
      <w:pPr>
        <w:ind w:left="7770" w:hanging="720"/>
      </w:pPr>
    </w:lvl>
  </w:abstractNum>
  <w:abstractNum w:abstractNumId="23" w15:restartNumberingAfterBreak="0">
    <w:nsid w:val="7DBC5D86"/>
    <w:multiLevelType w:val="hybridMultilevel"/>
    <w:tmpl w:val="4888FACC"/>
    <w:lvl w:ilvl="0" w:tplc="E2427CB0">
      <w:start w:val="21"/>
      <w:numFmt w:val="decimal"/>
      <w:pStyle w:val="ListContinued"/>
      <w:lvlText w:val="%1."/>
      <w:lvlJc w:val="left"/>
      <w:pPr>
        <w:ind w:left="360" w:hanging="360"/>
      </w:pPr>
      <w:rPr>
        <w:rFonts w:hint="default"/>
        <w:b w:val="0"/>
        <w:bCs w:val="0"/>
      </w:rPr>
    </w:lvl>
    <w:lvl w:ilvl="1" w:tplc="950C863A">
      <w:start w:val="1"/>
      <w:numFmt w:val="lowerLetter"/>
      <w:lvlText w:val="%2."/>
      <w:lvlJc w:val="left"/>
      <w:pPr>
        <w:ind w:left="1080" w:hanging="360"/>
      </w:pPr>
      <w:rPr>
        <w:b w:val="0"/>
        <w:bCs w:val="0"/>
      </w:rPr>
    </w:lvl>
    <w:lvl w:ilvl="2" w:tplc="9D347190">
      <w:start w:val="1"/>
      <w:numFmt w:val="lowerRoman"/>
      <w:lvlText w:val="%3."/>
      <w:lvlJc w:val="lef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09506108">
    <w:abstractNumId w:val="0"/>
  </w:num>
  <w:num w:numId="2" w16cid:durableId="783041060">
    <w:abstractNumId w:val="16"/>
  </w:num>
  <w:num w:numId="3" w16cid:durableId="979765454">
    <w:abstractNumId w:val="16"/>
  </w:num>
  <w:num w:numId="4" w16cid:durableId="321588090">
    <w:abstractNumId w:val="8"/>
  </w:num>
  <w:num w:numId="5" w16cid:durableId="1953242180">
    <w:abstractNumId w:val="4"/>
  </w:num>
  <w:num w:numId="6" w16cid:durableId="1952514640">
    <w:abstractNumId w:val="1"/>
  </w:num>
  <w:num w:numId="7" w16cid:durableId="534730648">
    <w:abstractNumId w:val="22"/>
  </w:num>
  <w:num w:numId="8" w16cid:durableId="1573738759">
    <w:abstractNumId w:val="3"/>
  </w:num>
  <w:num w:numId="9" w16cid:durableId="69353235">
    <w:abstractNumId w:val="5"/>
  </w:num>
  <w:num w:numId="10" w16cid:durableId="1152067053">
    <w:abstractNumId w:val="10"/>
  </w:num>
  <w:num w:numId="11" w16cid:durableId="250893931">
    <w:abstractNumId w:val="14"/>
  </w:num>
  <w:num w:numId="12" w16cid:durableId="1975208660">
    <w:abstractNumId w:val="19"/>
  </w:num>
  <w:num w:numId="13" w16cid:durableId="234316292">
    <w:abstractNumId w:val="12"/>
  </w:num>
  <w:num w:numId="14" w16cid:durableId="378434724">
    <w:abstractNumId w:val="21"/>
  </w:num>
  <w:num w:numId="15" w16cid:durableId="999310326">
    <w:abstractNumId w:val="13"/>
  </w:num>
  <w:num w:numId="16" w16cid:durableId="229509128">
    <w:abstractNumId w:val="23"/>
  </w:num>
  <w:num w:numId="17" w16cid:durableId="1405489337">
    <w:abstractNumId w:val="23"/>
    <w:lvlOverride w:ilvl="0">
      <w:startOverride w:val="23"/>
    </w:lvlOverride>
  </w:num>
  <w:num w:numId="18" w16cid:durableId="1653949157">
    <w:abstractNumId w:val="17"/>
  </w:num>
  <w:num w:numId="19" w16cid:durableId="146822490">
    <w:abstractNumId w:val="9"/>
  </w:num>
  <w:num w:numId="20" w16cid:durableId="138572557">
    <w:abstractNumId w:val="11"/>
  </w:num>
  <w:num w:numId="21" w16cid:durableId="827401731">
    <w:abstractNumId w:val="20"/>
  </w:num>
  <w:num w:numId="22" w16cid:durableId="372466404">
    <w:abstractNumId w:val="2"/>
  </w:num>
  <w:num w:numId="23" w16cid:durableId="556285148">
    <w:abstractNumId w:val="7"/>
  </w:num>
  <w:num w:numId="24" w16cid:durableId="1155148855">
    <w:abstractNumId w:val="18"/>
  </w:num>
  <w:num w:numId="25" w16cid:durableId="1458836272">
    <w:abstractNumId w:val="15"/>
  </w:num>
  <w:num w:numId="26" w16cid:durableId="523832013">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3B5"/>
    <w:rsid w:val="00005407"/>
    <w:rsid w:val="00005622"/>
    <w:rsid w:val="00005B13"/>
    <w:rsid w:val="00006124"/>
    <w:rsid w:val="00006DB8"/>
    <w:rsid w:val="00013078"/>
    <w:rsid w:val="00014402"/>
    <w:rsid w:val="0001656B"/>
    <w:rsid w:val="00020177"/>
    <w:rsid w:val="00021D71"/>
    <w:rsid w:val="00022E62"/>
    <w:rsid w:val="00025857"/>
    <w:rsid w:val="00026228"/>
    <w:rsid w:val="000312B2"/>
    <w:rsid w:val="00031FDF"/>
    <w:rsid w:val="00035DF7"/>
    <w:rsid w:val="000421D8"/>
    <w:rsid w:val="00043190"/>
    <w:rsid w:val="00047E92"/>
    <w:rsid w:val="0005529F"/>
    <w:rsid w:val="000561B6"/>
    <w:rsid w:val="0005687B"/>
    <w:rsid w:val="00056BC4"/>
    <w:rsid w:val="00057281"/>
    <w:rsid w:val="00062C96"/>
    <w:rsid w:val="000631C1"/>
    <w:rsid w:val="000639D6"/>
    <w:rsid w:val="000643B6"/>
    <w:rsid w:val="00065159"/>
    <w:rsid w:val="00067D4D"/>
    <w:rsid w:val="0008018D"/>
    <w:rsid w:val="000801DC"/>
    <w:rsid w:val="00080545"/>
    <w:rsid w:val="00083A54"/>
    <w:rsid w:val="0008527E"/>
    <w:rsid w:val="00085800"/>
    <w:rsid w:val="00087432"/>
    <w:rsid w:val="000878AD"/>
    <w:rsid w:val="000902EE"/>
    <w:rsid w:val="00090C9D"/>
    <w:rsid w:val="000910FB"/>
    <w:rsid w:val="000912F9"/>
    <w:rsid w:val="00095EE7"/>
    <w:rsid w:val="00096E7E"/>
    <w:rsid w:val="0009794D"/>
    <w:rsid w:val="000A1ACE"/>
    <w:rsid w:val="000A2587"/>
    <w:rsid w:val="000A636E"/>
    <w:rsid w:val="000B2C66"/>
    <w:rsid w:val="000B2EA9"/>
    <w:rsid w:val="000B335F"/>
    <w:rsid w:val="000B4C84"/>
    <w:rsid w:val="000B6BCE"/>
    <w:rsid w:val="000B6C12"/>
    <w:rsid w:val="000C096B"/>
    <w:rsid w:val="000C15F4"/>
    <w:rsid w:val="000C4347"/>
    <w:rsid w:val="000D4DE5"/>
    <w:rsid w:val="000D5667"/>
    <w:rsid w:val="000D636C"/>
    <w:rsid w:val="000E22F2"/>
    <w:rsid w:val="000E2D44"/>
    <w:rsid w:val="000E36F9"/>
    <w:rsid w:val="000F0C80"/>
    <w:rsid w:val="000F21E8"/>
    <w:rsid w:val="000F3C56"/>
    <w:rsid w:val="000F6343"/>
    <w:rsid w:val="000F7234"/>
    <w:rsid w:val="000F7C3F"/>
    <w:rsid w:val="000F7C62"/>
    <w:rsid w:val="00102D60"/>
    <w:rsid w:val="00104419"/>
    <w:rsid w:val="00105481"/>
    <w:rsid w:val="00106002"/>
    <w:rsid w:val="001067FB"/>
    <w:rsid w:val="001105AD"/>
    <w:rsid w:val="00114E74"/>
    <w:rsid w:val="00115CE1"/>
    <w:rsid w:val="00117A91"/>
    <w:rsid w:val="001211D7"/>
    <w:rsid w:val="00121216"/>
    <w:rsid w:val="00123670"/>
    <w:rsid w:val="001308E6"/>
    <w:rsid w:val="001321B5"/>
    <w:rsid w:val="0013272C"/>
    <w:rsid w:val="00133440"/>
    <w:rsid w:val="0013602B"/>
    <w:rsid w:val="00136A41"/>
    <w:rsid w:val="001403F1"/>
    <w:rsid w:val="00141182"/>
    <w:rsid w:val="0014587E"/>
    <w:rsid w:val="00145ADA"/>
    <w:rsid w:val="00147967"/>
    <w:rsid w:val="00147B72"/>
    <w:rsid w:val="0015240C"/>
    <w:rsid w:val="00154018"/>
    <w:rsid w:val="00154899"/>
    <w:rsid w:val="00154EB4"/>
    <w:rsid w:val="00155B4F"/>
    <w:rsid w:val="001571DF"/>
    <w:rsid w:val="0016048D"/>
    <w:rsid w:val="00160658"/>
    <w:rsid w:val="00163814"/>
    <w:rsid w:val="00164775"/>
    <w:rsid w:val="00166662"/>
    <w:rsid w:val="00167C99"/>
    <w:rsid w:val="001710F7"/>
    <w:rsid w:val="001713B5"/>
    <w:rsid w:val="00171A35"/>
    <w:rsid w:val="00171BD1"/>
    <w:rsid w:val="0017378B"/>
    <w:rsid w:val="0017491B"/>
    <w:rsid w:val="001773F0"/>
    <w:rsid w:val="0018255F"/>
    <w:rsid w:val="0018466E"/>
    <w:rsid w:val="00190462"/>
    <w:rsid w:val="0019065E"/>
    <w:rsid w:val="0019258F"/>
    <w:rsid w:val="00192BAD"/>
    <w:rsid w:val="00194916"/>
    <w:rsid w:val="00195185"/>
    <w:rsid w:val="001A14FA"/>
    <w:rsid w:val="001A1BB7"/>
    <w:rsid w:val="001A4D41"/>
    <w:rsid w:val="001A53B6"/>
    <w:rsid w:val="001A568A"/>
    <w:rsid w:val="001A5817"/>
    <w:rsid w:val="001B3334"/>
    <w:rsid w:val="001B3375"/>
    <w:rsid w:val="001B52B6"/>
    <w:rsid w:val="001B54AC"/>
    <w:rsid w:val="001C3FF3"/>
    <w:rsid w:val="001C4AA3"/>
    <w:rsid w:val="001C7362"/>
    <w:rsid w:val="001D3C80"/>
    <w:rsid w:val="001D4460"/>
    <w:rsid w:val="001D580C"/>
    <w:rsid w:val="001E14D0"/>
    <w:rsid w:val="001E1C94"/>
    <w:rsid w:val="001E4A7F"/>
    <w:rsid w:val="001E7A39"/>
    <w:rsid w:val="001F4A0F"/>
    <w:rsid w:val="001F5698"/>
    <w:rsid w:val="001F6315"/>
    <w:rsid w:val="001F65E3"/>
    <w:rsid w:val="00201172"/>
    <w:rsid w:val="00201ED4"/>
    <w:rsid w:val="00207FF4"/>
    <w:rsid w:val="00210494"/>
    <w:rsid w:val="002105BF"/>
    <w:rsid w:val="00213719"/>
    <w:rsid w:val="00215605"/>
    <w:rsid w:val="00216D6C"/>
    <w:rsid w:val="00217E9B"/>
    <w:rsid w:val="00222253"/>
    <w:rsid w:val="00224D53"/>
    <w:rsid w:val="002305A6"/>
    <w:rsid w:val="00230F54"/>
    <w:rsid w:val="002324DC"/>
    <w:rsid w:val="00232E1B"/>
    <w:rsid w:val="00232F87"/>
    <w:rsid w:val="00233D49"/>
    <w:rsid w:val="00234E77"/>
    <w:rsid w:val="002350FC"/>
    <w:rsid w:val="00235A0E"/>
    <w:rsid w:val="0023665C"/>
    <w:rsid w:val="0024135B"/>
    <w:rsid w:val="0024138D"/>
    <w:rsid w:val="002413EF"/>
    <w:rsid w:val="00242C48"/>
    <w:rsid w:val="00244C13"/>
    <w:rsid w:val="00246C58"/>
    <w:rsid w:val="002479CB"/>
    <w:rsid w:val="00253404"/>
    <w:rsid w:val="00254C3D"/>
    <w:rsid w:val="00254FCA"/>
    <w:rsid w:val="00264AD1"/>
    <w:rsid w:val="00267645"/>
    <w:rsid w:val="00267B77"/>
    <w:rsid w:val="002711EA"/>
    <w:rsid w:val="00272B6B"/>
    <w:rsid w:val="00274131"/>
    <w:rsid w:val="00275C15"/>
    <w:rsid w:val="00276FAA"/>
    <w:rsid w:val="00277021"/>
    <w:rsid w:val="00280468"/>
    <w:rsid w:val="00285820"/>
    <w:rsid w:val="00286DC6"/>
    <w:rsid w:val="0028706E"/>
    <w:rsid w:val="0028725E"/>
    <w:rsid w:val="00292C82"/>
    <w:rsid w:val="00292F6C"/>
    <w:rsid w:val="00292F8B"/>
    <w:rsid w:val="002935B6"/>
    <w:rsid w:val="002956F8"/>
    <w:rsid w:val="00296D3F"/>
    <w:rsid w:val="002979B2"/>
    <w:rsid w:val="00297C6B"/>
    <w:rsid w:val="002A1E07"/>
    <w:rsid w:val="002A2AB0"/>
    <w:rsid w:val="002A2DB9"/>
    <w:rsid w:val="002A318F"/>
    <w:rsid w:val="002A3A83"/>
    <w:rsid w:val="002A57AC"/>
    <w:rsid w:val="002A7663"/>
    <w:rsid w:val="002A7CEE"/>
    <w:rsid w:val="002B0712"/>
    <w:rsid w:val="002B1835"/>
    <w:rsid w:val="002B43D1"/>
    <w:rsid w:val="002C09D2"/>
    <w:rsid w:val="002C0B7E"/>
    <w:rsid w:val="002C3BF3"/>
    <w:rsid w:val="002C47C8"/>
    <w:rsid w:val="002C6D31"/>
    <w:rsid w:val="002C720A"/>
    <w:rsid w:val="002D1DFB"/>
    <w:rsid w:val="002D2213"/>
    <w:rsid w:val="002D61DE"/>
    <w:rsid w:val="002D62A8"/>
    <w:rsid w:val="002D667E"/>
    <w:rsid w:val="002D71D1"/>
    <w:rsid w:val="002E2ACE"/>
    <w:rsid w:val="002E321C"/>
    <w:rsid w:val="002E5E0F"/>
    <w:rsid w:val="002E67F1"/>
    <w:rsid w:val="002E7093"/>
    <w:rsid w:val="002F09A5"/>
    <w:rsid w:val="002F0CB1"/>
    <w:rsid w:val="002F0FCC"/>
    <w:rsid w:val="002F6787"/>
    <w:rsid w:val="00301BA9"/>
    <w:rsid w:val="003035E0"/>
    <w:rsid w:val="0030385D"/>
    <w:rsid w:val="00311B5D"/>
    <w:rsid w:val="003159AA"/>
    <w:rsid w:val="00323B35"/>
    <w:rsid w:val="0032400F"/>
    <w:rsid w:val="003248C8"/>
    <w:rsid w:val="0032682B"/>
    <w:rsid w:val="0033072C"/>
    <w:rsid w:val="00330ED4"/>
    <w:rsid w:val="00330FB4"/>
    <w:rsid w:val="00331FDA"/>
    <w:rsid w:val="00336BB6"/>
    <w:rsid w:val="00336C8C"/>
    <w:rsid w:val="00341032"/>
    <w:rsid w:val="0034270F"/>
    <w:rsid w:val="0034284A"/>
    <w:rsid w:val="003447DC"/>
    <w:rsid w:val="00344820"/>
    <w:rsid w:val="00346143"/>
    <w:rsid w:val="00346264"/>
    <w:rsid w:val="003463B5"/>
    <w:rsid w:val="00346729"/>
    <w:rsid w:val="00346AC1"/>
    <w:rsid w:val="003535A8"/>
    <w:rsid w:val="003536A9"/>
    <w:rsid w:val="00357513"/>
    <w:rsid w:val="0035EFC9"/>
    <w:rsid w:val="00360DB7"/>
    <w:rsid w:val="003613D1"/>
    <w:rsid w:val="00363842"/>
    <w:rsid w:val="00363B56"/>
    <w:rsid w:val="00365E61"/>
    <w:rsid w:val="0037143A"/>
    <w:rsid w:val="00373A44"/>
    <w:rsid w:val="00375FC0"/>
    <w:rsid w:val="003808C0"/>
    <w:rsid w:val="003810CE"/>
    <w:rsid w:val="00382026"/>
    <w:rsid w:val="003821E4"/>
    <w:rsid w:val="0038331C"/>
    <w:rsid w:val="0038450B"/>
    <w:rsid w:val="00386B3E"/>
    <w:rsid w:val="00393B7C"/>
    <w:rsid w:val="003940DD"/>
    <w:rsid w:val="0039525F"/>
    <w:rsid w:val="0039796F"/>
    <w:rsid w:val="003A0CB1"/>
    <w:rsid w:val="003A14CC"/>
    <w:rsid w:val="003A240D"/>
    <w:rsid w:val="003B190B"/>
    <w:rsid w:val="003B2638"/>
    <w:rsid w:val="003B6D86"/>
    <w:rsid w:val="003C2F0E"/>
    <w:rsid w:val="003C3099"/>
    <w:rsid w:val="003C6095"/>
    <w:rsid w:val="003C60F3"/>
    <w:rsid w:val="003C682D"/>
    <w:rsid w:val="003D0EF5"/>
    <w:rsid w:val="003D3FE9"/>
    <w:rsid w:val="003D5212"/>
    <w:rsid w:val="003D57E1"/>
    <w:rsid w:val="003E1CD0"/>
    <w:rsid w:val="003E4428"/>
    <w:rsid w:val="003E64F9"/>
    <w:rsid w:val="003E7CA6"/>
    <w:rsid w:val="003F0070"/>
    <w:rsid w:val="003F61EA"/>
    <w:rsid w:val="003F7FD5"/>
    <w:rsid w:val="0040315F"/>
    <w:rsid w:val="00403EEF"/>
    <w:rsid w:val="0040430F"/>
    <w:rsid w:val="0040469E"/>
    <w:rsid w:val="00405625"/>
    <w:rsid w:val="00405A99"/>
    <w:rsid w:val="0041414A"/>
    <w:rsid w:val="00422007"/>
    <w:rsid w:val="00422F54"/>
    <w:rsid w:val="0042373F"/>
    <w:rsid w:val="00424637"/>
    <w:rsid w:val="00424E40"/>
    <w:rsid w:val="00426060"/>
    <w:rsid w:val="004300D1"/>
    <w:rsid w:val="0043105B"/>
    <w:rsid w:val="0043173E"/>
    <w:rsid w:val="00432747"/>
    <w:rsid w:val="004328C3"/>
    <w:rsid w:val="00432EB7"/>
    <w:rsid w:val="00434874"/>
    <w:rsid w:val="004367A3"/>
    <w:rsid w:val="00441A43"/>
    <w:rsid w:val="00442CE0"/>
    <w:rsid w:val="00447A2D"/>
    <w:rsid w:val="00450718"/>
    <w:rsid w:val="00452BF0"/>
    <w:rsid w:val="00454614"/>
    <w:rsid w:val="00455089"/>
    <w:rsid w:val="00455585"/>
    <w:rsid w:val="00456234"/>
    <w:rsid w:val="004566F6"/>
    <w:rsid w:val="00461125"/>
    <w:rsid w:val="00466753"/>
    <w:rsid w:val="00471E97"/>
    <w:rsid w:val="00473CC6"/>
    <w:rsid w:val="00476E2C"/>
    <w:rsid w:val="00476E32"/>
    <w:rsid w:val="0048378C"/>
    <w:rsid w:val="004865E8"/>
    <w:rsid w:val="0048727C"/>
    <w:rsid w:val="004903F0"/>
    <w:rsid w:val="0049181B"/>
    <w:rsid w:val="00491B73"/>
    <w:rsid w:val="00491E18"/>
    <w:rsid w:val="004922F0"/>
    <w:rsid w:val="00492F6C"/>
    <w:rsid w:val="00493743"/>
    <w:rsid w:val="00497929"/>
    <w:rsid w:val="004A0050"/>
    <w:rsid w:val="004A04D7"/>
    <w:rsid w:val="004A058D"/>
    <w:rsid w:val="004A0DC2"/>
    <w:rsid w:val="004A2B75"/>
    <w:rsid w:val="004A3841"/>
    <w:rsid w:val="004A3CBB"/>
    <w:rsid w:val="004A43D8"/>
    <w:rsid w:val="004A4EC9"/>
    <w:rsid w:val="004A542F"/>
    <w:rsid w:val="004A6E9E"/>
    <w:rsid w:val="004A76D7"/>
    <w:rsid w:val="004B39FD"/>
    <w:rsid w:val="004B4839"/>
    <w:rsid w:val="004B5008"/>
    <w:rsid w:val="004C2241"/>
    <w:rsid w:val="004C2AAE"/>
    <w:rsid w:val="004C2B95"/>
    <w:rsid w:val="004C761C"/>
    <w:rsid w:val="004D2C16"/>
    <w:rsid w:val="004D3DA8"/>
    <w:rsid w:val="004D3DE1"/>
    <w:rsid w:val="004D7351"/>
    <w:rsid w:val="004D79A3"/>
    <w:rsid w:val="004E1F05"/>
    <w:rsid w:val="004E23A4"/>
    <w:rsid w:val="004E3DF4"/>
    <w:rsid w:val="004E4F4E"/>
    <w:rsid w:val="004E52BA"/>
    <w:rsid w:val="004E66CE"/>
    <w:rsid w:val="004E7322"/>
    <w:rsid w:val="004F0256"/>
    <w:rsid w:val="004F095D"/>
    <w:rsid w:val="004F1823"/>
    <w:rsid w:val="004F3314"/>
    <w:rsid w:val="004F38BD"/>
    <w:rsid w:val="004F3C2C"/>
    <w:rsid w:val="004F40DC"/>
    <w:rsid w:val="004F6AB3"/>
    <w:rsid w:val="004F7316"/>
    <w:rsid w:val="00500EB7"/>
    <w:rsid w:val="005042CB"/>
    <w:rsid w:val="005076AB"/>
    <w:rsid w:val="00507904"/>
    <w:rsid w:val="00507D64"/>
    <w:rsid w:val="00511549"/>
    <w:rsid w:val="00513922"/>
    <w:rsid w:val="005146B5"/>
    <w:rsid w:val="0051673E"/>
    <w:rsid w:val="00516795"/>
    <w:rsid w:val="005207F6"/>
    <w:rsid w:val="005255D7"/>
    <w:rsid w:val="00525E59"/>
    <w:rsid w:val="00526A00"/>
    <w:rsid w:val="00530EAF"/>
    <w:rsid w:val="00530F84"/>
    <w:rsid w:val="00535C18"/>
    <w:rsid w:val="0054607A"/>
    <w:rsid w:val="00547852"/>
    <w:rsid w:val="00547E38"/>
    <w:rsid w:val="005506B9"/>
    <w:rsid w:val="00552505"/>
    <w:rsid w:val="0056035D"/>
    <w:rsid w:val="0056113A"/>
    <w:rsid w:val="00565D5F"/>
    <w:rsid w:val="00566117"/>
    <w:rsid w:val="005719B9"/>
    <w:rsid w:val="005737CC"/>
    <w:rsid w:val="0057786D"/>
    <w:rsid w:val="00581A97"/>
    <w:rsid w:val="005828DC"/>
    <w:rsid w:val="00582FD0"/>
    <w:rsid w:val="00583347"/>
    <w:rsid w:val="00583755"/>
    <w:rsid w:val="00583F0A"/>
    <w:rsid w:val="005904A8"/>
    <w:rsid w:val="00590B05"/>
    <w:rsid w:val="0059119E"/>
    <w:rsid w:val="00591741"/>
    <w:rsid w:val="00591939"/>
    <w:rsid w:val="005920DE"/>
    <w:rsid w:val="00592544"/>
    <w:rsid w:val="0059277C"/>
    <w:rsid w:val="005963CB"/>
    <w:rsid w:val="005A29F3"/>
    <w:rsid w:val="005A3582"/>
    <w:rsid w:val="005A6C2B"/>
    <w:rsid w:val="005B1413"/>
    <w:rsid w:val="005B18CE"/>
    <w:rsid w:val="005B4B1F"/>
    <w:rsid w:val="005B6A44"/>
    <w:rsid w:val="005C02DA"/>
    <w:rsid w:val="005C277F"/>
    <w:rsid w:val="005C38ED"/>
    <w:rsid w:val="005C4086"/>
    <w:rsid w:val="005C45D2"/>
    <w:rsid w:val="005C54C1"/>
    <w:rsid w:val="005D0637"/>
    <w:rsid w:val="005D163B"/>
    <w:rsid w:val="005D4947"/>
    <w:rsid w:val="005D49E5"/>
    <w:rsid w:val="005E02BF"/>
    <w:rsid w:val="005E0787"/>
    <w:rsid w:val="005E4C83"/>
    <w:rsid w:val="005E78DC"/>
    <w:rsid w:val="005F3643"/>
    <w:rsid w:val="005F543A"/>
    <w:rsid w:val="005F71C3"/>
    <w:rsid w:val="005F7E8C"/>
    <w:rsid w:val="00601201"/>
    <w:rsid w:val="006018DC"/>
    <w:rsid w:val="00606495"/>
    <w:rsid w:val="006066B1"/>
    <w:rsid w:val="00607A0C"/>
    <w:rsid w:val="006106D1"/>
    <w:rsid w:val="0061601F"/>
    <w:rsid w:val="00616E03"/>
    <w:rsid w:val="00620A84"/>
    <w:rsid w:val="00621347"/>
    <w:rsid w:val="00622316"/>
    <w:rsid w:val="00622347"/>
    <w:rsid w:val="00624023"/>
    <w:rsid w:val="006240EF"/>
    <w:rsid w:val="00627C02"/>
    <w:rsid w:val="00630EF7"/>
    <w:rsid w:val="00631E9E"/>
    <w:rsid w:val="00633979"/>
    <w:rsid w:val="00633E68"/>
    <w:rsid w:val="006365BD"/>
    <w:rsid w:val="00636830"/>
    <w:rsid w:val="006426D9"/>
    <w:rsid w:val="00643291"/>
    <w:rsid w:val="00643ACA"/>
    <w:rsid w:val="006515D0"/>
    <w:rsid w:val="00652AFA"/>
    <w:rsid w:val="00653002"/>
    <w:rsid w:val="0066121C"/>
    <w:rsid w:val="00661960"/>
    <w:rsid w:val="00661E26"/>
    <w:rsid w:val="006622DB"/>
    <w:rsid w:val="006623E0"/>
    <w:rsid w:val="00662EE6"/>
    <w:rsid w:val="00671FA8"/>
    <w:rsid w:val="00673C52"/>
    <w:rsid w:val="00673F61"/>
    <w:rsid w:val="006802DE"/>
    <w:rsid w:val="00681053"/>
    <w:rsid w:val="00681CAD"/>
    <w:rsid w:val="006826DF"/>
    <w:rsid w:val="00683ECE"/>
    <w:rsid w:val="00684202"/>
    <w:rsid w:val="00687BA8"/>
    <w:rsid w:val="00690126"/>
    <w:rsid w:val="006902D4"/>
    <w:rsid w:val="00690310"/>
    <w:rsid w:val="00692717"/>
    <w:rsid w:val="00693271"/>
    <w:rsid w:val="0069357E"/>
    <w:rsid w:val="00695E35"/>
    <w:rsid w:val="006A314F"/>
    <w:rsid w:val="006A3C49"/>
    <w:rsid w:val="006A45B1"/>
    <w:rsid w:val="006A6CB1"/>
    <w:rsid w:val="006A78F7"/>
    <w:rsid w:val="006B0C3A"/>
    <w:rsid w:val="006B134B"/>
    <w:rsid w:val="006B3AE6"/>
    <w:rsid w:val="006B431C"/>
    <w:rsid w:val="006B4954"/>
    <w:rsid w:val="006B7320"/>
    <w:rsid w:val="006B74F3"/>
    <w:rsid w:val="006B7867"/>
    <w:rsid w:val="006B7B56"/>
    <w:rsid w:val="006C26DF"/>
    <w:rsid w:val="006C4812"/>
    <w:rsid w:val="006C76E8"/>
    <w:rsid w:val="006D68C1"/>
    <w:rsid w:val="006E1D7A"/>
    <w:rsid w:val="006E27ED"/>
    <w:rsid w:val="006E28A1"/>
    <w:rsid w:val="006E2FAC"/>
    <w:rsid w:val="006E5CA4"/>
    <w:rsid w:val="006E60EE"/>
    <w:rsid w:val="006E7659"/>
    <w:rsid w:val="006F13B4"/>
    <w:rsid w:val="006F13DF"/>
    <w:rsid w:val="006F1DA2"/>
    <w:rsid w:val="006F2919"/>
    <w:rsid w:val="006F2B63"/>
    <w:rsid w:val="006F4815"/>
    <w:rsid w:val="006F4D27"/>
    <w:rsid w:val="006F5561"/>
    <w:rsid w:val="00702BF0"/>
    <w:rsid w:val="0070397B"/>
    <w:rsid w:val="007040BF"/>
    <w:rsid w:val="00704ED8"/>
    <w:rsid w:val="00706D33"/>
    <w:rsid w:val="0070782A"/>
    <w:rsid w:val="00707A6B"/>
    <w:rsid w:val="00711374"/>
    <w:rsid w:val="007124D8"/>
    <w:rsid w:val="00714301"/>
    <w:rsid w:val="007162A3"/>
    <w:rsid w:val="00716EEE"/>
    <w:rsid w:val="00717DA4"/>
    <w:rsid w:val="00720647"/>
    <w:rsid w:val="00722F8B"/>
    <w:rsid w:val="00725444"/>
    <w:rsid w:val="00725F63"/>
    <w:rsid w:val="00730F14"/>
    <w:rsid w:val="007319C4"/>
    <w:rsid w:val="00732050"/>
    <w:rsid w:val="00733B7C"/>
    <w:rsid w:val="007355CF"/>
    <w:rsid w:val="00740106"/>
    <w:rsid w:val="0074097A"/>
    <w:rsid w:val="00740B52"/>
    <w:rsid w:val="00743B3E"/>
    <w:rsid w:val="00745D9C"/>
    <w:rsid w:val="00750172"/>
    <w:rsid w:val="00755680"/>
    <w:rsid w:val="007567C9"/>
    <w:rsid w:val="00757BFA"/>
    <w:rsid w:val="007604A2"/>
    <w:rsid w:val="007612B8"/>
    <w:rsid w:val="007616F2"/>
    <w:rsid w:val="00763658"/>
    <w:rsid w:val="00766798"/>
    <w:rsid w:val="00767C60"/>
    <w:rsid w:val="00771C4B"/>
    <w:rsid w:val="00772083"/>
    <w:rsid w:val="007739CA"/>
    <w:rsid w:val="007743D5"/>
    <w:rsid w:val="007758DA"/>
    <w:rsid w:val="00776AD8"/>
    <w:rsid w:val="0078000B"/>
    <w:rsid w:val="00782142"/>
    <w:rsid w:val="007849E0"/>
    <w:rsid w:val="00784CEB"/>
    <w:rsid w:val="007850C3"/>
    <w:rsid w:val="00792854"/>
    <w:rsid w:val="007953B8"/>
    <w:rsid w:val="007962BB"/>
    <w:rsid w:val="00796A61"/>
    <w:rsid w:val="007B32B9"/>
    <w:rsid w:val="007B6771"/>
    <w:rsid w:val="007B7822"/>
    <w:rsid w:val="007C1A11"/>
    <w:rsid w:val="007C2172"/>
    <w:rsid w:val="007C7451"/>
    <w:rsid w:val="007D01A3"/>
    <w:rsid w:val="007D1B2C"/>
    <w:rsid w:val="007D1DB4"/>
    <w:rsid w:val="007D2579"/>
    <w:rsid w:val="007D39B0"/>
    <w:rsid w:val="007D4F62"/>
    <w:rsid w:val="007D7E07"/>
    <w:rsid w:val="007E0461"/>
    <w:rsid w:val="007E5978"/>
    <w:rsid w:val="007E6864"/>
    <w:rsid w:val="007E6CE6"/>
    <w:rsid w:val="007E7B31"/>
    <w:rsid w:val="007E7CB3"/>
    <w:rsid w:val="007F05EF"/>
    <w:rsid w:val="007F0738"/>
    <w:rsid w:val="007F0AA0"/>
    <w:rsid w:val="007F0FED"/>
    <w:rsid w:val="007F23EB"/>
    <w:rsid w:val="007F658B"/>
    <w:rsid w:val="007F6869"/>
    <w:rsid w:val="007F6BDE"/>
    <w:rsid w:val="00801155"/>
    <w:rsid w:val="008017AB"/>
    <w:rsid w:val="00801AC0"/>
    <w:rsid w:val="00802327"/>
    <w:rsid w:val="008024FD"/>
    <w:rsid w:val="008031D0"/>
    <w:rsid w:val="00803633"/>
    <w:rsid w:val="00810A4A"/>
    <w:rsid w:val="008146E0"/>
    <w:rsid w:val="008151EE"/>
    <w:rsid w:val="008158FA"/>
    <w:rsid w:val="00820B05"/>
    <w:rsid w:val="0082301B"/>
    <w:rsid w:val="00830302"/>
    <w:rsid w:val="0083208E"/>
    <w:rsid w:val="0083649D"/>
    <w:rsid w:val="0083696C"/>
    <w:rsid w:val="008422FE"/>
    <w:rsid w:val="00843097"/>
    <w:rsid w:val="0084457C"/>
    <w:rsid w:val="00844BAB"/>
    <w:rsid w:val="00844CDE"/>
    <w:rsid w:val="00845B82"/>
    <w:rsid w:val="00846FD5"/>
    <w:rsid w:val="00853199"/>
    <w:rsid w:val="00853239"/>
    <w:rsid w:val="00855043"/>
    <w:rsid w:val="00855BBC"/>
    <w:rsid w:val="00856A42"/>
    <w:rsid w:val="00857610"/>
    <w:rsid w:val="00862337"/>
    <w:rsid w:val="008662A1"/>
    <w:rsid w:val="0086646F"/>
    <w:rsid w:val="00866922"/>
    <w:rsid w:val="00867A41"/>
    <w:rsid w:val="00875092"/>
    <w:rsid w:val="008751BA"/>
    <w:rsid w:val="00876AFE"/>
    <w:rsid w:val="008778AE"/>
    <w:rsid w:val="008800F0"/>
    <w:rsid w:val="00880EB2"/>
    <w:rsid w:val="00881F40"/>
    <w:rsid w:val="00895F07"/>
    <w:rsid w:val="00897AD6"/>
    <w:rsid w:val="008A0578"/>
    <w:rsid w:val="008A0B72"/>
    <w:rsid w:val="008A3017"/>
    <w:rsid w:val="008A3EB5"/>
    <w:rsid w:val="008B41F5"/>
    <w:rsid w:val="008C0C7A"/>
    <w:rsid w:val="008C306F"/>
    <w:rsid w:val="008C3E02"/>
    <w:rsid w:val="008C47F8"/>
    <w:rsid w:val="008D2601"/>
    <w:rsid w:val="008D38E9"/>
    <w:rsid w:val="008D425D"/>
    <w:rsid w:val="008D45D1"/>
    <w:rsid w:val="008D50F8"/>
    <w:rsid w:val="008E0B1D"/>
    <w:rsid w:val="008E16F2"/>
    <w:rsid w:val="008E232A"/>
    <w:rsid w:val="008E3B26"/>
    <w:rsid w:val="008E471A"/>
    <w:rsid w:val="008E5260"/>
    <w:rsid w:val="008E5630"/>
    <w:rsid w:val="008E6F05"/>
    <w:rsid w:val="008F0C92"/>
    <w:rsid w:val="008F0D87"/>
    <w:rsid w:val="008F1B29"/>
    <w:rsid w:val="008F57F5"/>
    <w:rsid w:val="009006D1"/>
    <w:rsid w:val="009015A0"/>
    <w:rsid w:val="00901F49"/>
    <w:rsid w:val="00907F14"/>
    <w:rsid w:val="00911048"/>
    <w:rsid w:val="009112F3"/>
    <w:rsid w:val="00911DAF"/>
    <w:rsid w:val="00912D06"/>
    <w:rsid w:val="00914176"/>
    <w:rsid w:val="00914B17"/>
    <w:rsid w:val="00920AFB"/>
    <w:rsid w:val="00920ECD"/>
    <w:rsid w:val="009213F8"/>
    <w:rsid w:val="00924A38"/>
    <w:rsid w:val="009260CD"/>
    <w:rsid w:val="00927E39"/>
    <w:rsid w:val="00930DE2"/>
    <w:rsid w:val="009325C3"/>
    <w:rsid w:val="00932CD6"/>
    <w:rsid w:val="0093572B"/>
    <w:rsid w:val="00936032"/>
    <w:rsid w:val="009440AB"/>
    <w:rsid w:val="009449EB"/>
    <w:rsid w:val="0094513C"/>
    <w:rsid w:val="009469FD"/>
    <w:rsid w:val="00947B12"/>
    <w:rsid w:val="00950BEB"/>
    <w:rsid w:val="00955294"/>
    <w:rsid w:val="009569F5"/>
    <w:rsid w:val="00961187"/>
    <w:rsid w:val="009635FC"/>
    <w:rsid w:val="009654F8"/>
    <w:rsid w:val="00967744"/>
    <w:rsid w:val="0097064B"/>
    <w:rsid w:val="00971A2D"/>
    <w:rsid w:val="00973527"/>
    <w:rsid w:val="009745DD"/>
    <w:rsid w:val="0097583D"/>
    <w:rsid w:val="00982B01"/>
    <w:rsid w:val="0098797D"/>
    <w:rsid w:val="00991348"/>
    <w:rsid w:val="00991F03"/>
    <w:rsid w:val="00993E6E"/>
    <w:rsid w:val="009941E3"/>
    <w:rsid w:val="009A14BF"/>
    <w:rsid w:val="009A1745"/>
    <w:rsid w:val="009A37C9"/>
    <w:rsid w:val="009A5ADC"/>
    <w:rsid w:val="009A66D8"/>
    <w:rsid w:val="009A7722"/>
    <w:rsid w:val="009B52DA"/>
    <w:rsid w:val="009B5BC2"/>
    <w:rsid w:val="009B6F56"/>
    <w:rsid w:val="009C20D3"/>
    <w:rsid w:val="009C390E"/>
    <w:rsid w:val="009C4E23"/>
    <w:rsid w:val="009C7CF7"/>
    <w:rsid w:val="009D5DAD"/>
    <w:rsid w:val="009D7319"/>
    <w:rsid w:val="009E1060"/>
    <w:rsid w:val="009E16EF"/>
    <w:rsid w:val="009E4DC4"/>
    <w:rsid w:val="009E5B1B"/>
    <w:rsid w:val="009F0964"/>
    <w:rsid w:val="009F1AAD"/>
    <w:rsid w:val="009F3DDC"/>
    <w:rsid w:val="009F7376"/>
    <w:rsid w:val="00A007F9"/>
    <w:rsid w:val="00A00BF8"/>
    <w:rsid w:val="00A01BE9"/>
    <w:rsid w:val="00A042C4"/>
    <w:rsid w:val="00A0579C"/>
    <w:rsid w:val="00A060AB"/>
    <w:rsid w:val="00A078CD"/>
    <w:rsid w:val="00A137B6"/>
    <w:rsid w:val="00A14326"/>
    <w:rsid w:val="00A16589"/>
    <w:rsid w:val="00A17E95"/>
    <w:rsid w:val="00A21308"/>
    <w:rsid w:val="00A219BB"/>
    <w:rsid w:val="00A21DA4"/>
    <w:rsid w:val="00A23109"/>
    <w:rsid w:val="00A24AA3"/>
    <w:rsid w:val="00A2551E"/>
    <w:rsid w:val="00A2613E"/>
    <w:rsid w:val="00A307DA"/>
    <w:rsid w:val="00A32BB4"/>
    <w:rsid w:val="00A33D5E"/>
    <w:rsid w:val="00A370EA"/>
    <w:rsid w:val="00A4476A"/>
    <w:rsid w:val="00A467F2"/>
    <w:rsid w:val="00A46F86"/>
    <w:rsid w:val="00A47964"/>
    <w:rsid w:val="00A551DF"/>
    <w:rsid w:val="00A558F0"/>
    <w:rsid w:val="00A5624F"/>
    <w:rsid w:val="00A576F3"/>
    <w:rsid w:val="00A57C3A"/>
    <w:rsid w:val="00A61241"/>
    <w:rsid w:val="00A61E7B"/>
    <w:rsid w:val="00A64A45"/>
    <w:rsid w:val="00A65A33"/>
    <w:rsid w:val="00A736C0"/>
    <w:rsid w:val="00A77820"/>
    <w:rsid w:val="00A77E63"/>
    <w:rsid w:val="00A83C42"/>
    <w:rsid w:val="00A9064F"/>
    <w:rsid w:val="00A91738"/>
    <w:rsid w:val="00A932DB"/>
    <w:rsid w:val="00A93C83"/>
    <w:rsid w:val="00A93D2B"/>
    <w:rsid w:val="00A967AC"/>
    <w:rsid w:val="00A9740D"/>
    <w:rsid w:val="00AA2280"/>
    <w:rsid w:val="00AA4200"/>
    <w:rsid w:val="00AA55D8"/>
    <w:rsid w:val="00AA7DEA"/>
    <w:rsid w:val="00AB0809"/>
    <w:rsid w:val="00AB1CCF"/>
    <w:rsid w:val="00AB68DF"/>
    <w:rsid w:val="00AC2C8E"/>
    <w:rsid w:val="00AC7288"/>
    <w:rsid w:val="00AD3C23"/>
    <w:rsid w:val="00AD4D17"/>
    <w:rsid w:val="00AD57FF"/>
    <w:rsid w:val="00AD6596"/>
    <w:rsid w:val="00AE0019"/>
    <w:rsid w:val="00AE03D1"/>
    <w:rsid w:val="00AE2D92"/>
    <w:rsid w:val="00AE40EF"/>
    <w:rsid w:val="00B03E47"/>
    <w:rsid w:val="00B04D61"/>
    <w:rsid w:val="00B0621A"/>
    <w:rsid w:val="00B11EB8"/>
    <w:rsid w:val="00B130F1"/>
    <w:rsid w:val="00B13A70"/>
    <w:rsid w:val="00B14558"/>
    <w:rsid w:val="00B150A9"/>
    <w:rsid w:val="00B15988"/>
    <w:rsid w:val="00B25CCF"/>
    <w:rsid w:val="00B34060"/>
    <w:rsid w:val="00B36BCF"/>
    <w:rsid w:val="00B43527"/>
    <w:rsid w:val="00B4506C"/>
    <w:rsid w:val="00B4570F"/>
    <w:rsid w:val="00B46364"/>
    <w:rsid w:val="00B47FCB"/>
    <w:rsid w:val="00B518D6"/>
    <w:rsid w:val="00B52946"/>
    <w:rsid w:val="00B57069"/>
    <w:rsid w:val="00B60AE2"/>
    <w:rsid w:val="00B628A3"/>
    <w:rsid w:val="00B66561"/>
    <w:rsid w:val="00B73523"/>
    <w:rsid w:val="00B75F4C"/>
    <w:rsid w:val="00B774BE"/>
    <w:rsid w:val="00B805E2"/>
    <w:rsid w:val="00B8072E"/>
    <w:rsid w:val="00B83081"/>
    <w:rsid w:val="00B832CD"/>
    <w:rsid w:val="00B85E7F"/>
    <w:rsid w:val="00B86584"/>
    <w:rsid w:val="00B87BBA"/>
    <w:rsid w:val="00B9232A"/>
    <w:rsid w:val="00B924E0"/>
    <w:rsid w:val="00B94157"/>
    <w:rsid w:val="00B94E1D"/>
    <w:rsid w:val="00B950B3"/>
    <w:rsid w:val="00B95ADA"/>
    <w:rsid w:val="00BA0B2C"/>
    <w:rsid w:val="00BA2D86"/>
    <w:rsid w:val="00BA61FE"/>
    <w:rsid w:val="00BB07F8"/>
    <w:rsid w:val="00BB16A2"/>
    <w:rsid w:val="00BB5DB3"/>
    <w:rsid w:val="00BB6DE0"/>
    <w:rsid w:val="00BB729C"/>
    <w:rsid w:val="00BB75F7"/>
    <w:rsid w:val="00BC1EA5"/>
    <w:rsid w:val="00BC2B3A"/>
    <w:rsid w:val="00BC3221"/>
    <w:rsid w:val="00BC7E41"/>
    <w:rsid w:val="00BD576D"/>
    <w:rsid w:val="00BF2F95"/>
    <w:rsid w:val="00BF4278"/>
    <w:rsid w:val="00BF5688"/>
    <w:rsid w:val="00BF6A35"/>
    <w:rsid w:val="00C02DA0"/>
    <w:rsid w:val="00C04C79"/>
    <w:rsid w:val="00C04DB9"/>
    <w:rsid w:val="00C066CF"/>
    <w:rsid w:val="00C068F9"/>
    <w:rsid w:val="00C1062D"/>
    <w:rsid w:val="00C138E5"/>
    <w:rsid w:val="00C158D6"/>
    <w:rsid w:val="00C1699A"/>
    <w:rsid w:val="00C16ADA"/>
    <w:rsid w:val="00C1722B"/>
    <w:rsid w:val="00C2228F"/>
    <w:rsid w:val="00C22D25"/>
    <w:rsid w:val="00C23434"/>
    <w:rsid w:val="00C2713F"/>
    <w:rsid w:val="00C277FC"/>
    <w:rsid w:val="00C32A69"/>
    <w:rsid w:val="00C37E99"/>
    <w:rsid w:val="00C42946"/>
    <w:rsid w:val="00C42F55"/>
    <w:rsid w:val="00C47F13"/>
    <w:rsid w:val="00C52A5B"/>
    <w:rsid w:val="00C545CE"/>
    <w:rsid w:val="00C551B4"/>
    <w:rsid w:val="00C5648C"/>
    <w:rsid w:val="00C576A7"/>
    <w:rsid w:val="00C660D5"/>
    <w:rsid w:val="00C67D29"/>
    <w:rsid w:val="00C7123B"/>
    <w:rsid w:val="00C75A8F"/>
    <w:rsid w:val="00C810DA"/>
    <w:rsid w:val="00C82337"/>
    <w:rsid w:val="00C83268"/>
    <w:rsid w:val="00C8503F"/>
    <w:rsid w:val="00C874ED"/>
    <w:rsid w:val="00C9255B"/>
    <w:rsid w:val="00C934E4"/>
    <w:rsid w:val="00C95553"/>
    <w:rsid w:val="00CA117B"/>
    <w:rsid w:val="00CA1230"/>
    <w:rsid w:val="00CA1E16"/>
    <w:rsid w:val="00CA5CE0"/>
    <w:rsid w:val="00CB1436"/>
    <w:rsid w:val="00CB6230"/>
    <w:rsid w:val="00CC4827"/>
    <w:rsid w:val="00CC7DE3"/>
    <w:rsid w:val="00CD3A66"/>
    <w:rsid w:val="00CD58AF"/>
    <w:rsid w:val="00CD5960"/>
    <w:rsid w:val="00CD689E"/>
    <w:rsid w:val="00CD784C"/>
    <w:rsid w:val="00CE1DE9"/>
    <w:rsid w:val="00CE38AF"/>
    <w:rsid w:val="00CE421E"/>
    <w:rsid w:val="00CE5BE6"/>
    <w:rsid w:val="00CE6397"/>
    <w:rsid w:val="00CE695B"/>
    <w:rsid w:val="00CF00FC"/>
    <w:rsid w:val="00CF0D90"/>
    <w:rsid w:val="00CF142C"/>
    <w:rsid w:val="00CF3D7D"/>
    <w:rsid w:val="00CF50A6"/>
    <w:rsid w:val="00D005BB"/>
    <w:rsid w:val="00D02D72"/>
    <w:rsid w:val="00D04788"/>
    <w:rsid w:val="00D050BF"/>
    <w:rsid w:val="00D0529A"/>
    <w:rsid w:val="00D07756"/>
    <w:rsid w:val="00D07E21"/>
    <w:rsid w:val="00D1067C"/>
    <w:rsid w:val="00D117B3"/>
    <w:rsid w:val="00D12EFD"/>
    <w:rsid w:val="00D1313B"/>
    <w:rsid w:val="00D13CCF"/>
    <w:rsid w:val="00D14266"/>
    <w:rsid w:val="00D159E5"/>
    <w:rsid w:val="00D15EE2"/>
    <w:rsid w:val="00D16495"/>
    <w:rsid w:val="00D16860"/>
    <w:rsid w:val="00D174E8"/>
    <w:rsid w:val="00D1769C"/>
    <w:rsid w:val="00D25272"/>
    <w:rsid w:val="00D26CA2"/>
    <w:rsid w:val="00D278B8"/>
    <w:rsid w:val="00D30A2A"/>
    <w:rsid w:val="00D31C6E"/>
    <w:rsid w:val="00D33101"/>
    <w:rsid w:val="00D3519A"/>
    <w:rsid w:val="00D371C6"/>
    <w:rsid w:val="00D37796"/>
    <w:rsid w:val="00D37996"/>
    <w:rsid w:val="00D40139"/>
    <w:rsid w:val="00D4175D"/>
    <w:rsid w:val="00D452F9"/>
    <w:rsid w:val="00D47C1A"/>
    <w:rsid w:val="00D50BB6"/>
    <w:rsid w:val="00D50DCF"/>
    <w:rsid w:val="00D54C2A"/>
    <w:rsid w:val="00D55A8A"/>
    <w:rsid w:val="00D61CA8"/>
    <w:rsid w:val="00D71F10"/>
    <w:rsid w:val="00D736FF"/>
    <w:rsid w:val="00D75422"/>
    <w:rsid w:val="00D75720"/>
    <w:rsid w:val="00D75838"/>
    <w:rsid w:val="00D77267"/>
    <w:rsid w:val="00D77A99"/>
    <w:rsid w:val="00D81FB6"/>
    <w:rsid w:val="00D823CF"/>
    <w:rsid w:val="00D82A99"/>
    <w:rsid w:val="00D83E86"/>
    <w:rsid w:val="00D84F16"/>
    <w:rsid w:val="00D85001"/>
    <w:rsid w:val="00D86BBB"/>
    <w:rsid w:val="00D87841"/>
    <w:rsid w:val="00D92639"/>
    <w:rsid w:val="00D926F4"/>
    <w:rsid w:val="00D936CA"/>
    <w:rsid w:val="00D943DD"/>
    <w:rsid w:val="00D948D6"/>
    <w:rsid w:val="00DA1E09"/>
    <w:rsid w:val="00DA3F4D"/>
    <w:rsid w:val="00DA7AA8"/>
    <w:rsid w:val="00DA7DCE"/>
    <w:rsid w:val="00DB1CAE"/>
    <w:rsid w:val="00DB25CD"/>
    <w:rsid w:val="00DB520D"/>
    <w:rsid w:val="00DC1137"/>
    <w:rsid w:val="00DC1142"/>
    <w:rsid w:val="00DC192D"/>
    <w:rsid w:val="00DC2BF4"/>
    <w:rsid w:val="00DD36DC"/>
    <w:rsid w:val="00DD46A7"/>
    <w:rsid w:val="00DD5E59"/>
    <w:rsid w:val="00DE4194"/>
    <w:rsid w:val="00DE4491"/>
    <w:rsid w:val="00DE689C"/>
    <w:rsid w:val="00DE790C"/>
    <w:rsid w:val="00DE79F1"/>
    <w:rsid w:val="00DF2136"/>
    <w:rsid w:val="00DF5C8C"/>
    <w:rsid w:val="00E039D2"/>
    <w:rsid w:val="00E05232"/>
    <w:rsid w:val="00E0685E"/>
    <w:rsid w:val="00E071E2"/>
    <w:rsid w:val="00E0738B"/>
    <w:rsid w:val="00E111AF"/>
    <w:rsid w:val="00E111DE"/>
    <w:rsid w:val="00E130A0"/>
    <w:rsid w:val="00E172FB"/>
    <w:rsid w:val="00E203CC"/>
    <w:rsid w:val="00E20DB7"/>
    <w:rsid w:val="00E2336D"/>
    <w:rsid w:val="00E26339"/>
    <w:rsid w:val="00E268BF"/>
    <w:rsid w:val="00E26C65"/>
    <w:rsid w:val="00E27623"/>
    <w:rsid w:val="00E30519"/>
    <w:rsid w:val="00E3131A"/>
    <w:rsid w:val="00E320A6"/>
    <w:rsid w:val="00E35A86"/>
    <w:rsid w:val="00E43525"/>
    <w:rsid w:val="00E50063"/>
    <w:rsid w:val="00E51DD0"/>
    <w:rsid w:val="00E555A9"/>
    <w:rsid w:val="00E567FB"/>
    <w:rsid w:val="00E5765A"/>
    <w:rsid w:val="00E57709"/>
    <w:rsid w:val="00E578E1"/>
    <w:rsid w:val="00E67126"/>
    <w:rsid w:val="00E7234C"/>
    <w:rsid w:val="00E73FEE"/>
    <w:rsid w:val="00E814B5"/>
    <w:rsid w:val="00E85221"/>
    <w:rsid w:val="00E8655D"/>
    <w:rsid w:val="00E90A2E"/>
    <w:rsid w:val="00E92CD1"/>
    <w:rsid w:val="00E966A7"/>
    <w:rsid w:val="00E97476"/>
    <w:rsid w:val="00EA07F5"/>
    <w:rsid w:val="00EA39A9"/>
    <w:rsid w:val="00EA63EC"/>
    <w:rsid w:val="00EB3291"/>
    <w:rsid w:val="00EC0428"/>
    <w:rsid w:val="00EC097F"/>
    <w:rsid w:val="00EC0EDB"/>
    <w:rsid w:val="00EC101B"/>
    <w:rsid w:val="00EC1E98"/>
    <w:rsid w:val="00EC2290"/>
    <w:rsid w:val="00EC2881"/>
    <w:rsid w:val="00EC2B09"/>
    <w:rsid w:val="00EC38F0"/>
    <w:rsid w:val="00EC5DE4"/>
    <w:rsid w:val="00ED1A13"/>
    <w:rsid w:val="00ED1AF1"/>
    <w:rsid w:val="00ED1D61"/>
    <w:rsid w:val="00ED2586"/>
    <w:rsid w:val="00ED3BAF"/>
    <w:rsid w:val="00ED5D5B"/>
    <w:rsid w:val="00ED7B62"/>
    <w:rsid w:val="00EE3BCF"/>
    <w:rsid w:val="00EE6FB6"/>
    <w:rsid w:val="00EF5A31"/>
    <w:rsid w:val="00EF61B5"/>
    <w:rsid w:val="00EF7B9D"/>
    <w:rsid w:val="00F0049A"/>
    <w:rsid w:val="00F00514"/>
    <w:rsid w:val="00F0192F"/>
    <w:rsid w:val="00F019A2"/>
    <w:rsid w:val="00F02F33"/>
    <w:rsid w:val="00F02FA6"/>
    <w:rsid w:val="00F03BC8"/>
    <w:rsid w:val="00F07B0F"/>
    <w:rsid w:val="00F11412"/>
    <w:rsid w:val="00F126D9"/>
    <w:rsid w:val="00F12B84"/>
    <w:rsid w:val="00F21429"/>
    <w:rsid w:val="00F21D8E"/>
    <w:rsid w:val="00F31338"/>
    <w:rsid w:val="00F31A1D"/>
    <w:rsid w:val="00F35DEF"/>
    <w:rsid w:val="00F35FCB"/>
    <w:rsid w:val="00F369CC"/>
    <w:rsid w:val="00F37398"/>
    <w:rsid w:val="00F458D2"/>
    <w:rsid w:val="00F46636"/>
    <w:rsid w:val="00F5217C"/>
    <w:rsid w:val="00F527BD"/>
    <w:rsid w:val="00F52E8A"/>
    <w:rsid w:val="00F52F5F"/>
    <w:rsid w:val="00F56BD8"/>
    <w:rsid w:val="00F57E19"/>
    <w:rsid w:val="00F60494"/>
    <w:rsid w:val="00F60644"/>
    <w:rsid w:val="00F609C1"/>
    <w:rsid w:val="00F643BA"/>
    <w:rsid w:val="00F65BAA"/>
    <w:rsid w:val="00F66842"/>
    <w:rsid w:val="00F700BF"/>
    <w:rsid w:val="00F70C52"/>
    <w:rsid w:val="00F7182E"/>
    <w:rsid w:val="00F7350E"/>
    <w:rsid w:val="00F75166"/>
    <w:rsid w:val="00F76C7A"/>
    <w:rsid w:val="00F82078"/>
    <w:rsid w:val="00F82CDA"/>
    <w:rsid w:val="00F83373"/>
    <w:rsid w:val="00F8337B"/>
    <w:rsid w:val="00F9491F"/>
    <w:rsid w:val="00F95A28"/>
    <w:rsid w:val="00F97D0F"/>
    <w:rsid w:val="00FA0270"/>
    <w:rsid w:val="00FA1E48"/>
    <w:rsid w:val="00FA3B56"/>
    <w:rsid w:val="00FA59D2"/>
    <w:rsid w:val="00FA6A22"/>
    <w:rsid w:val="00FA7826"/>
    <w:rsid w:val="00FB008A"/>
    <w:rsid w:val="00FB0F4E"/>
    <w:rsid w:val="00FB145C"/>
    <w:rsid w:val="00FB2C4C"/>
    <w:rsid w:val="00FB2E5F"/>
    <w:rsid w:val="00FB304C"/>
    <w:rsid w:val="00FB347C"/>
    <w:rsid w:val="00FB4221"/>
    <w:rsid w:val="00FB5526"/>
    <w:rsid w:val="00FC1A7F"/>
    <w:rsid w:val="00FC3FC3"/>
    <w:rsid w:val="00FC5184"/>
    <w:rsid w:val="00FC783E"/>
    <w:rsid w:val="00FC7B10"/>
    <w:rsid w:val="00FD09FB"/>
    <w:rsid w:val="00FD0E89"/>
    <w:rsid w:val="00FD1061"/>
    <w:rsid w:val="00FD2675"/>
    <w:rsid w:val="00FD4E7D"/>
    <w:rsid w:val="00FD5DF3"/>
    <w:rsid w:val="00FE124C"/>
    <w:rsid w:val="00FF2637"/>
    <w:rsid w:val="0707D6A2"/>
    <w:rsid w:val="07A01307"/>
    <w:rsid w:val="0DEA11BE"/>
    <w:rsid w:val="11215719"/>
    <w:rsid w:val="1233351A"/>
    <w:rsid w:val="13C80232"/>
    <w:rsid w:val="1409B749"/>
    <w:rsid w:val="16560F13"/>
    <w:rsid w:val="16C99B91"/>
    <w:rsid w:val="189300EC"/>
    <w:rsid w:val="1F92EA6E"/>
    <w:rsid w:val="20AD4205"/>
    <w:rsid w:val="214355C3"/>
    <w:rsid w:val="258712FE"/>
    <w:rsid w:val="28DD4575"/>
    <w:rsid w:val="29671054"/>
    <w:rsid w:val="296EAEB4"/>
    <w:rsid w:val="2CEA5253"/>
    <w:rsid w:val="2E867C7D"/>
    <w:rsid w:val="333BA7AD"/>
    <w:rsid w:val="3540E6EC"/>
    <w:rsid w:val="3C3FD7CA"/>
    <w:rsid w:val="3DBD55CA"/>
    <w:rsid w:val="3E4743A8"/>
    <w:rsid w:val="3E92E603"/>
    <w:rsid w:val="3EBF5E3C"/>
    <w:rsid w:val="3F0DBCCA"/>
    <w:rsid w:val="40475DEE"/>
    <w:rsid w:val="41C1E220"/>
    <w:rsid w:val="45099940"/>
    <w:rsid w:val="45CE63C8"/>
    <w:rsid w:val="47259A15"/>
    <w:rsid w:val="47CC348E"/>
    <w:rsid w:val="4C61F28C"/>
    <w:rsid w:val="50ECCC6B"/>
    <w:rsid w:val="52D53E21"/>
    <w:rsid w:val="542F48E7"/>
    <w:rsid w:val="54C19442"/>
    <w:rsid w:val="57156F43"/>
    <w:rsid w:val="5A267B27"/>
    <w:rsid w:val="5CE2AB07"/>
    <w:rsid w:val="5CE2D9D6"/>
    <w:rsid w:val="5D326EEC"/>
    <w:rsid w:val="5E6F437C"/>
    <w:rsid w:val="5FA2FF3E"/>
    <w:rsid w:val="6318662E"/>
    <w:rsid w:val="6466EB23"/>
    <w:rsid w:val="68EFDC80"/>
    <w:rsid w:val="69B25813"/>
    <w:rsid w:val="69C74ADC"/>
    <w:rsid w:val="6AD4659A"/>
    <w:rsid w:val="712112A7"/>
    <w:rsid w:val="73EF959D"/>
    <w:rsid w:val="75F692EB"/>
    <w:rsid w:val="7712E72C"/>
    <w:rsid w:val="777CE614"/>
    <w:rsid w:val="7A47B9B3"/>
    <w:rsid w:val="7D789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8FF7C"/>
  <w15:docId w15:val="{35222BE7-C0BF-4E60-8489-1673604C0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uiPriority="99"/>
    <w:lsdException w:name="List Continue 3" w:uiPriority="99"/>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03F"/>
  </w:style>
  <w:style w:type="paragraph" w:styleId="Heading1">
    <w:name w:val="heading 1"/>
    <w:basedOn w:val="Normal"/>
    <w:next w:val="Normal"/>
    <w:qFormat/>
    <w:pPr>
      <w:keepNext/>
      <w:spacing w:after="10"/>
      <w:jc w:val="right"/>
      <w:outlineLvl w:val="0"/>
    </w:pPr>
    <w:rPr>
      <w:b/>
      <w:sz w:val="15"/>
    </w:rPr>
  </w:style>
  <w:style w:type="paragraph" w:styleId="Heading2">
    <w:name w:val="heading 2"/>
    <w:basedOn w:val="Normal"/>
    <w:next w:val="Normal"/>
    <w:qFormat/>
    <w:pPr>
      <w:keepNext/>
      <w:spacing w:after="4"/>
      <w:jc w:val="right"/>
      <w:outlineLvl w:val="1"/>
    </w:pPr>
    <w:rPr>
      <w:b/>
      <w:sz w:val="17"/>
    </w:rPr>
  </w:style>
  <w:style w:type="paragraph" w:styleId="Heading3">
    <w:name w:val="heading 3"/>
    <w:basedOn w:val="Normal"/>
    <w:next w:val="Normal"/>
    <w:link w:val="Heading3Char"/>
    <w:qFormat/>
    <w:pPr>
      <w:keepNext/>
      <w:outlineLvl w:val="2"/>
    </w:pPr>
    <w:rPr>
      <w:b/>
      <w:i/>
      <w:sz w:val="72"/>
    </w:rPr>
  </w:style>
  <w:style w:type="paragraph" w:styleId="Heading4">
    <w:name w:val="heading 4"/>
    <w:basedOn w:val="Normal"/>
    <w:next w:val="Normal"/>
    <w:qFormat/>
    <w:pPr>
      <w:keepNext/>
      <w:pBdr>
        <w:left w:val="single" w:sz="4" w:space="4" w:color="auto"/>
        <w:bottom w:val="single" w:sz="4" w:space="1" w:color="auto"/>
        <w:right w:val="single" w:sz="4" w:space="4" w:color="auto"/>
      </w:pBdr>
      <w:outlineLvl w:val="3"/>
    </w:pPr>
    <w:rPr>
      <w:b/>
      <w:spacing w:val="20"/>
      <w:sz w:val="17"/>
    </w:rPr>
  </w:style>
  <w:style w:type="paragraph" w:styleId="Heading5">
    <w:name w:val="heading 5"/>
    <w:basedOn w:val="Normal"/>
    <w:next w:val="Normal"/>
    <w:link w:val="Heading5Char"/>
    <w:semiHidden/>
    <w:unhideWhenUsed/>
    <w:qFormat/>
    <w:rsid w:val="005920D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lockText">
    <w:name w:val="Block Text"/>
    <w:basedOn w:val="Normal"/>
    <w:rsid w:val="00192BAD"/>
    <w:pPr>
      <w:ind w:left="900" w:right="-720"/>
      <w:jc w:val="both"/>
    </w:pPr>
    <w:rPr>
      <w:sz w:val="24"/>
    </w:rPr>
  </w:style>
  <w:style w:type="paragraph" w:styleId="FootnoteText">
    <w:name w:val="footnote text"/>
    <w:basedOn w:val="Normal"/>
    <w:link w:val="FootnoteTextChar"/>
    <w:rsid w:val="00D75422"/>
    <w:rPr>
      <w:rFonts w:eastAsia="Times New Roman"/>
    </w:rPr>
  </w:style>
  <w:style w:type="character" w:styleId="FootnoteReference">
    <w:name w:val="footnote reference"/>
    <w:qFormat/>
    <w:rsid w:val="00D75422"/>
    <w:rPr>
      <w:vertAlign w:val="superscript"/>
    </w:rPr>
  </w:style>
  <w:style w:type="character" w:customStyle="1" w:styleId="xesmall1">
    <w:name w:val="xesmall1"/>
    <w:rsid w:val="00D75422"/>
    <w:rPr>
      <w:color w:val="666666"/>
      <w:sz w:val="23"/>
      <w:szCs w:val="23"/>
    </w:rPr>
  </w:style>
  <w:style w:type="character" w:styleId="PageNumber">
    <w:name w:val="page number"/>
    <w:basedOn w:val="DefaultParagraphFont"/>
    <w:rsid w:val="00D75422"/>
  </w:style>
  <w:style w:type="character" w:styleId="Emphasis">
    <w:name w:val="Emphasis"/>
    <w:uiPriority w:val="20"/>
    <w:qFormat/>
    <w:rsid w:val="009E5B1B"/>
    <w:rPr>
      <w:b/>
      <w:bCs/>
      <w:i w:val="0"/>
      <w:iCs w:val="0"/>
    </w:rPr>
  </w:style>
  <w:style w:type="paragraph" w:styleId="BalloonText">
    <w:name w:val="Balloon Text"/>
    <w:basedOn w:val="Normal"/>
    <w:link w:val="BalloonTextChar"/>
    <w:rsid w:val="00C22D25"/>
    <w:rPr>
      <w:rFonts w:ascii="Tahoma" w:hAnsi="Tahoma" w:cs="Tahoma"/>
      <w:sz w:val="16"/>
      <w:szCs w:val="16"/>
    </w:rPr>
  </w:style>
  <w:style w:type="character" w:customStyle="1" w:styleId="BalloonTextChar">
    <w:name w:val="Balloon Text Char"/>
    <w:link w:val="BalloonText"/>
    <w:rsid w:val="00C22D25"/>
    <w:rPr>
      <w:rFonts w:ascii="Tahoma" w:hAnsi="Tahoma" w:cs="Tahoma"/>
      <w:sz w:val="16"/>
      <w:szCs w:val="16"/>
    </w:rPr>
  </w:style>
  <w:style w:type="paragraph" w:styleId="ListParagraph">
    <w:name w:val="List Paragraph"/>
    <w:aliases w:val="Bullet Point"/>
    <w:basedOn w:val="Normal"/>
    <w:link w:val="ListParagraphChar"/>
    <w:uiPriority w:val="34"/>
    <w:qFormat/>
    <w:rsid w:val="005904A8"/>
    <w:pPr>
      <w:ind w:left="720"/>
      <w:contextualSpacing/>
    </w:pPr>
  </w:style>
  <w:style w:type="paragraph" w:customStyle="1" w:styleId="BasicParagraph">
    <w:name w:val="[Basic Paragraph]"/>
    <w:basedOn w:val="Normal"/>
    <w:rsid w:val="00A078CD"/>
    <w:pPr>
      <w:autoSpaceDE w:val="0"/>
      <w:autoSpaceDN w:val="0"/>
      <w:adjustRightInd w:val="0"/>
      <w:spacing w:line="288" w:lineRule="auto"/>
      <w:textAlignment w:val="center"/>
    </w:pPr>
    <w:rPr>
      <w:rFonts w:eastAsia="Times New Roman"/>
      <w:color w:val="000000"/>
      <w:sz w:val="24"/>
      <w:szCs w:val="24"/>
    </w:rPr>
  </w:style>
  <w:style w:type="character" w:customStyle="1" w:styleId="FootnoteTextChar">
    <w:name w:val="Footnote Text Char"/>
    <w:basedOn w:val="DefaultParagraphFont"/>
    <w:link w:val="FootnoteText"/>
    <w:rsid w:val="00A078CD"/>
    <w:rPr>
      <w:rFonts w:eastAsia="Times New Roman"/>
    </w:rPr>
  </w:style>
  <w:style w:type="character" w:customStyle="1" w:styleId="HeaderChar">
    <w:name w:val="Header Char"/>
    <w:basedOn w:val="DefaultParagraphFont"/>
    <w:link w:val="Header"/>
    <w:uiPriority w:val="99"/>
    <w:rsid w:val="00A078CD"/>
  </w:style>
  <w:style w:type="character" w:customStyle="1" w:styleId="FooterChar">
    <w:name w:val="Footer Char"/>
    <w:basedOn w:val="DefaultParagraphFont"/>
    <w:link w:val="Footer"/>
    <w:rsid w:val="00A078CD"/>
  </w:style>
  <w:style w:type="character" w:customStyle="1" w:styleId="Heading5Char">
    <w:name w:val="Heading 5 Char"/>
    <w:basedOn w:val="DefaultParagraphFont"/>
    <w:link w:val="Heading5"/>
    <w:semiHidden/>
    <w:rsid w:val="005920DE"/>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rsid w:val="005920DE"/>
    <w:rPr>
      <w:b/>
      <w:i/>
      <w:sz w:val="72"/>
    </w:rPr>
  </w:style>
  <w:style w:type="table" w:styleId="TableGrid">
    <w:name w:val="Table Grid"/>
    <w:basedOn w:val="TableNormal"/>
    <w:rsid w:val="005920D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06495"/>
    <w:rPr>
      <w:rFonts w:eastAsia="Times New Roman"/>
      <w:sz w:val="24"/>
    </w:rPr>
  </w:style>
  <w:style w:type="character" w:customStyle="1" w:styleId="BodyText2Char">
    <w:name w:val="Body Text 2 Char"/>
    <w:basedOn w:val="DefaultParagraphFont"/>
    <w:link w:val="BodyText2"/>
    <w:rsid w:val="00606495"/>
    <w:rPr>
      <w:rFonts w:eastAsia="Times New Roman"/>
      <w:sz w:val="24"/>
    </w:rPr>
  </w:style>
  <w:style w:type="paragraph" w:styleId="ListContinue">
    <w:name w:val="List Continue"/>
    <w:basedOn w:val="Normal"/>
    <w:link w:val="ListContinueChar"/>
    <w:qFormat/>
    <w:rsid w:val="00473CC6"/>
    <w:pPr>
      <w:spacing w:after="220"/>
      <w:jc w:val="both"/>
    </w:pPr>
    <w:rPr>
      <w:rFonts w:eastAsia="Times New Roman"/>
      <w:sz w:val="22"/>
    </w:rPr>
  </w:style>
  <w:style w:type="paragraph" w:customStyle="1" w:styleId="Default">
    <w:name w:val="Default"/>
    <w:rsid w:val="00E7234C"/>
    <w:pPr>
      <w:autoSpaceDE w:val="0"/>
      <w:autoSpaceDN w:val="0"/>
      <w:adjustRightInd w:val="0"/>
    </w:pPr>
    <w:rPr>
      <w:rFonts w:eastAsia="Times New Roman"/>
      <w:color w:val="000000"/>
      <w:sz w:val="24"/>
      <w:szCs w:val="24"/>
    </w:rPr>
  </w:style>
  <w:style w:type="paragraph" w:customStyle="1" w:styleId="ArialIndent1">
    <w:name w:val="Arial Indent 1&quot;"/>
    <w:basedOn w:val="Normal"/>
    <w:rsid w:val="00D50BB6"/>
    <w:pPr>
      <w:spacing w:after="220"/>
      <w:ind w:left="1440"/>
      <w:jc w:val="both"/>
      <w:outlineLvl w:val="0"/>
    </w:pPr>
    <w:rPr>
      <w:rFonts w:ascii="Arial" w:eastAsia="Times New Roman" w:hAnsi="Arial"/>
    </w:rPr>
  </w:style>
  <w:style w:type="paragraph" w:styleId="ListNumber">
    <w:name w:val="List Number"/>
    <w:basedOn w:val="Normal"/>
    <w:rsid w:val="00D50BB6"/>
    <w:pPr>
      <w:contextualSpacing/>
    </w:pPr>
  </w:style>
  <w:style w:type="character" w:styleId="CommentReference">
    <w:name w:val="annotation reference"/>
    <w:basedOn w:val="DefaultParagraphFont"/>
    <w:rsid w:val="00ED1A13"/>
    <w:rPr>
      <w:sz w:val="16"/>
      <w:szCs w:val="16"/>
    </w:rPr>
  </w:style>
  <w:style w:type="paragraph" w:styleId="CommentText">
    <w:name w:val="annotation text"/>
    <w:basedOn w:val="Normal"/>
    <w:link w:val="CommentTextChar"/>
    <w:rsid w:val="00ED1A13"/>
  </w:style>
  <w:style w:type="character" w:customStyle="1" w:styleId="CommentTextChar">
    <w:name w:val="Comment Text Char"/>
    <w:basedOn w:val="DefaultParagraphFont"/>
    <w:link w:val="CommentText"/>
    <w:rsid w:val="00ED1A13"/>
  </w:style>
  <w:style w:type="paragraph" w:styleId="CommentSubject">
    <w:name w:val="annotation subject"/>
    <w:basedOn w:val="CommentText"/>
    <w:next w:val="CommentText"/>
    <w:link w:val="CommentSubjectChar"/>
    <w:rsid w:val="00ED1A13"/>
    <w:rPr>
      <w:b/>
      <w:bCs/>
    </w:rPr>
  </w:style>
  <w:style w:type="character" w:customStyle="1" w:styleId="CommentSubjectChar">
    <w:name w:val="Comment Subject Char"/>
    <w:basedOn w:val="CommentTextChar"/>
    <w:link w:val="CommentSubject"/>
    <w:rsid w:val="00ED1A13"/>
    <w:rPr>
      <w:b/>
      <w:bCs/>
    </w:rPr>
  </w:style>
  <w:style w:type="paragraph" w:styleId="Revision">
    <w:name w:val="Revision"/>
    <w:hidden/>
    <w:uiPriority w:val="99"/>
    <w:semiHidden/>
    <w:rsid w:val="00FA1E48"/>
  </w:style>
  <w:style w:type="paragraph" w:styleId="BodyText">
    <w:name w:val="Body Text"/>
    <w:basedOn w:val="Normal"/>
    <w:link w:val="BodyTextChar"/>
    <w:rsid w:val="00CF142C"/>
    <w:pPr>
      <w:spacing w:after="120"/>
    </w:pPr>
  </w:style>
  <w:style w:type="character" w:customStyle="1" w:styleId="BodyTextChar">
    <w:name w:val="Body Text Char"/>
    <w:basedOn w:val="DefaultParagraphFont"/>
    <w:link w:val="BodyText"/>
    <w:rsid w:val="00CF142C"/>
  </w:style>
  <w:style w:type="paragraph" w:styleId="ListNumber2">
    <w:name w:val="List Number 2"/>
    <w:basedOn w:val="Normal"/>
    <w:rsid w:val="0093572B"/>
    <w:pPr>
      <w:numPr>
        <w:numId w:val="1"/>
      </w:numPr>
      <w:contextualSpacing/>
    </w:pPr>
  </w:style>
  <w:style w:type="paragraph" w:styleId="BodyText3">
    <w:name w:val="Body Text 3"/>
    <w:basedOn w:val="Normal"/>
    <w:link w:val="BodyText3Char"/>
    <w:rsid w:val="0093572B"/>
    <w:pPr>
      <w:spacing w:after="120"/>
    </w:pPr>
    <w:rPr>
      <w:sz w:val="16"/>
      <w:szCs w:val="16"/>
    </w:rPr>
  </w:style>
  <w:style w:type="character" w:customStyle="1" w:styleId="BodyText3Char">
    <w:name w:val="Body Text 3 Char"/>
    <w:basedOn w:val="DefaultParagraphFont"/>
    <w:link w:val="BodyText3"/>
    <w:rsid w:val="0093572B"/>
    <w:rPr>
      <w:sz w:val="16"/>
      <w:szCs w:val="16"/>
    </w:rPr>
  </w:style>
  <w:style w:type="paragraph" w:styleId="ListContinue2">
    <w:name w:val="List Continue 2"/>
    <w:basedOn w:val="Normal"/>
    <w:uiPriority w:val="99"/>
    <w:unhideWhenUsed/>
    <w:rsid w:val="0093572B"/>
    <w:pPr>
      <w:spacing w:after="120"/>
      <w:ind w:left="720"/>
      <w:contextualSpacing/>
    </w:pPr>
    <w:rPr>
      <w:rFonts w:eastAsia="Times New Roman"/>
    </w:rPr>
  </w:style>
  <w:style w:type="paragraph" w:styleId="ListContinue3">
    <w:name w:val="List Continue 3"/>
    <w:basedOn w:val="Normal"/>
    <w:uiPriority w:val="99"/>
    <w:unhideWhenUsed/>
    <w:rsid w:val="0093572B"/>
    <w:pPr>
      <w:spacing w:after="120"/>
      <w:ind w:left="1080"/>
      <w:contextualSpacing/>
    </w:pPr>
    <w:rPr>
      <w:rFonts w:eastAsia="Times New Roman"/>
    </w:rPr>
  </w:style>
  <w:style w:type="character" w:customStyle="1" w:styleId="UnresolvedMention1">
    <w:name w:val="Unresolved Mention1"/>
    <w:basedOn w:val="DefaultParagraphFont"/>
    <w:uiPriority w:val="99"/>
    <w:semiHidden/>
    <w:unhideWhenUsed/>
    <w:rsid w:val="00A47964"/>
    <w:rPr>
      <w:color w:val="605E5C"/>
      <w:shd w:val="clear" w:color="auto" w:fill="E1DFDD"/>
    </w:rPr>
  </w:style>
  <w:style w:type="character" w:styleId="UnresolvedMention">
    <w:name w:val="Unresolved Mention"/>
    <w:basedOn w:val="DefaultParagraphFont"/>
    <w:uiPriority w:val="99"/>
    <w:semiHidden/>
    <w:unhideWhenUsed/>
    <w:rsid w:val="00B47FCB"/>
    <w:rPr>
      <w:color w:val="605E5C"/>
      <w:shd w:val="clear" w:color="auto" w:fill="E1DFDD"/>
    </w:rPr>
  </w:style>
  <w:style w:type="paragraph" w:customStyle="1" w:styleId="ListContinued">
    <w:name w:val="List Continued"/>
    <w:basedOn w:val="Normal"/>
    <w:qFormat/>
    <w:rsid w:val="00426060"/>
    <w:pPr>
      <w:numPr>
        <w:numId w:val="16"/>
      </w:numPr>
      <w:spacing w:after="220"/>
      <w:jc w:val="both"/>
    </w:pPr>
    <w:rPr>
      <w:rFonts w:ascii="Times" w:eastAsia="Times New Roman" w:hAnsi="Times"/>
      <w:sz w:val="22"/>
    </w:rPr>
  </w:style>
  <w:style w:type="character" w:customStyle="1" w:styleId="ListContinueChar">
    <w:name w:val="List Continue Char"/>
    <w:link w:val="ListContinue"/>
    <w:rsid w:val="00BB16A2"/>
    <w:rPr>
      <w:rFonts w:eastAsia="Times New Roman"/>
      <w:sz w:val="22"/>
    </w:rPr>
  </w:style>
  <w:style w:type="character" w:customStyle="1" w:styleId="ListParagraphChar">
    <w:name w:val="List Paragraph Char"/>
    <w:aliases w:val="Bullet Point Char"/>
    <w:basedOn w:val="DefaultParagraphFont"/>
    <w:link w:val="ListParagraph"/>
    <w:uiPriority w:val="34"/>
    <w:locked/>
    <w:rsid w:val="00BB1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8414">
      <w:bodyDiv w:val="1"/>
      <w:marLeft w:val="0"/>
      <w:marRight w:val="0"/>
      <w:marTop w:val="0"/>
      <w:marBottom w:val="0"/>
      <w:divBdr>
        <w:top w:val="none" w:sz="0" w:space="0" w:color="auto"/>
        <w:left w:val="none" w:sz="0" w:space="0" w:color="auto"/>
        <w:bottom w:val="none" w:sz="0" w:space="0" w:color="auto"/>
        <w:right w:val="none" w:sz="0" w:space="0" w:color="auto"/>
      </w:divBdr>
    </w:div>
    <w:div w:id="261845008">
      <w:bodyDiv w:val="1"/>
      <w:marLeft w:val="0"/>
      <w:marRight w:val="0"/>
      <w:marTop w:val="0"/>
      <w:marBottom w:val="0"/>
      <w:divBdr>
        <w:top w:val="none" w:sz="0" w:space="0" w:color="auto"/>
        <w:left w:val="none" w:sz="0" w:space="0" w:color="auto"/>
        <w:bottom w:val="none" w:sz="0" w:space="0" w:color="auto"/>
        <w:right w:val="none" w:sz="0" w:space="0" w:color="auto"/>
      </w:divBdr>
    </w:div>
    <w:div w:id="294485952">
      <w:bodyDiv w:val="1"/>
      <w:marLeft w:val="0"/>
      <w:marRight w:val="0"/>
      <w:marTop w:val="0"/>
      <w:marBottom w:val="0"/>
      <w:divBdr>
        <w:top w:val="none" w:sz="0" w:space="0" w:color="auto"/>
        <w:left w:val="none" w:sz="0" w:space="0" w:color="auto"/>
        <w:bottom w:val="none" w:sz="0" w:space="0" w:color="auto"/>
        <w:right w:val="none" w:sz="0" w:space="0" w:color="auto"/>
      </w:divBdr>
    </w:div>
    <w:div w:id="339937522">
      <w:bodyDiv w:val="1"/>
      <w:marLeft w:val="0"/>
      <w:marRight w:val="0"/>
      <w:marTop w:val="0"/>
      <w:marBottom w:val="0"/>
      <w:divBdr>
        <w:top w:val="none" w:sz="0" w:space="0" w:color="auto"/>
        <w:left w:val="none" w:sz="0" w:space="0" w:color="auto"/>
        <w:bottom w:val="none" w:sz="0" w:space="0" w:color="auto"/>
        <w:right w:val="none" w:sz="0" w:space="0" w:color="auto"/>
      </w:divBdr>
    </w:div>
    <w:div w:id="533426092">
      <w:bodyDiv w:val="1"/>
      <w:marLeft w:val="0"/>
      <w:marRight w:val="0"/>
      <w:marTop w:val="0"/>
      <w:marBottom w:val="0"/>
      <w:divBdr>
        <w:top w:val="none" w:sz="0" w:space="0" w:color="auto"/>
        <w:left w:val="none" w:sz="0" w:space="0" w:color="auto"/>
        <w:bottom w:val="none" w:sz="0" w:space="0" w:color="auto"/>
        <w:right w:val="none" w:sz="0" w:space="0" w:color="auto"/>
      </w:divBdr>
    </w:div>
    <w:div w:id="979846967">
      <w:bodyDiv w:val="1"/>
      <w:marLeft w:val="0"/>
      <w:marRight w:val="0"/>
      <w:marTop w:val="0"/>
      <w:marBottom w:val="0"/>
      <w:divBdr>
        <w:top w:val="none" w:sz="0" w:space="0" w:color="auto"/>
        <w:left w:val="none" w:sz="0" w:space="0" w:color="auto"/>
        <w:bottom w:val="none" w:sz="0" w:space="0" w:color="auto"/>
        <w:right w:val="none" w:sz="0" w:space="0" w:color="auto"/>
      </w:divBdr>
    </w:div>
    <w:div w:id="1032806538">
      <w:bodyDiv w:val="1"/>
      <w:marLeft w:val="0"/>
      <w:marRight w:val="0"/>
      <w:marTop w:val="0"/>
      <w:marBottom w:val="0"/>
      <w:divBdr>
        <w:top w:val="none" w:sz="0" w:space="0" w:color="auto"/>
        <w:left w:val="none" w:sz="0" w:space="0" w:color="auto"/>
        <w:bottom w:val="none" w:sz="0" w:space="0" w:color="auto"/>
        <w:right w:val="none" w:sz="0" w:space="0" w:color="auto"/>
      </w:divBdr>
    </w:div>
    <w:div w:id="1198741728">
      <w:bodyDiv w:val="1"/>
      <w:marLeft w:val="0"/>
      <w:marRight w:val="0"/>
      <w:marTop w:val="0"/>
      <w:marBottom w:val="0"/>
      <w:divBdr>
        <w:top w:val="none" w:sz="0" w:space="0" w:color="auto"/>
        <w:left w:val="none" w:sz="0" w:space="0" w:color="auto"/>
        <w:bottom w:val="none" w:sz="0" w:space="0" w:color="auto"/>
        <w:right w:val="none" w:sz="0" w:space="0" w:color="auto"/>
      </w:divBdr>
    </w:div>
    <w:div w:id="1311712882">
      <w:bodyDiv w:val="1"/>
      <w:marLeft w:val="0"/>
      <w:marRight w:val="0"/>
      <w:marTop w:val="0"/>
      <w:marBottom w:val="0"/>
      <w:divBdr>
        <w:top w:val="none" w:sz="0" w:space="0" w:color="auto"/>
        <w:left w:val="none" w:sz="0" w:space="0" w:color="auto"/>
        <w:bottom w:val="none" w:sz="0" w:space="0" w:color="auto"/>
        <w:right w:val="none" w:sz="0" w:space="0" w:color="auto"/>
      </w:divBdr>
    </w:div>
    <w:div w:id="1944803622">
      <w:bodyDiv w:val="1"/>
      <w:marLeft w:val="0"/>
      <w:marRight w:val="0"/>
      <w:marTop w:val="0"/>
      <w:marBottom w:val="0"/>
      <w:divBdr>
        <w:top w:val="none" w:sz="0" w:space="0" w:color="auto"/>
        <w:left w:val="none" w:sz="0" w:space="0" w:color="auto"/>
        <w:bottom w:val="none" w:sz="0" w:space="0" w:color="auto"/>
        <w:right w:val="none" w:sz="0" w:space="0" w:color="auto"/>
      </w:divBdr>
    </w:div>
    <w:div w:id="199919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gann@naic.org"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34dc620-9a3c-4363-b6b2-552d0a5c0ad8">
      <UserInfo>
        <DisplayName>Pinegar, Jim</DisplayName>
        <AccountId>46</AccountId>
        <AccountType/>
      </UserInfo>
      <UserInfo>
        <DisplayName>Caswell, Mary K.</DisplayName>
        <AccountId>65</AccountId>
        <AccountType/>
      </UserInfo>
      <UserInfo>
        <DisplayName>Ferguson, Calvin</DisplayName>
        <AccountId>54</AccountId>
        <AccountType/>
      </UserInfo>
      <UserInfo>
        <DisplayName>Gann, Julie</DisplayName>
        <AccountId>42</AccountId>
        <AccountType/>
      </UserInfo>
      <UserInfo>
        <DisplayName>Farr, Jason</DisplayName>
        <AccountId>99</AccountId>
        <AccountType/>
      </UserInfo>
      <UserInfo>
        <DisplayName>Stultz, Jake</DisplayName>
        <AccountId>43</AccountId>
        <AccountType/>
      </UserInfo>
    </SharedWithUsers>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2026-09-28T15:17:09+00:00</_EndDate>
    <StartDate xmlns="http://schemas.microsoft.com/sharepoint/v3">2026-09-28T15:17:09+00:00</StartDate>
    <Date xmlns="55eb7663-75cc-4f64-9609-52561375e7a6" xsi:nil="true"/>
    <Location xmlns="http://schemas.microsoft.com/sharepoint/v3/fields" xsi:nil="true"/>
    <Meeting_x0020_Type xmlns="734dc620-9a3c-4363-b6b2-552d0a5c0a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6C215-ED12-46DE-972E-82A815420A12}"/>
</file>

<file path=customXml/itemProps2.xml><?xml version="1.0" encoding="utf-8"?>
<ds:datastoreItem xmlns:ds="http://schemas.openxmlformats.org/officeDocument/2006/customXml" ds:itemID="{F1779EFA-5251-44A1-9B70-89FBE3D3579C}">
  <ds:schemaRefs>
    <ds:schemaRef ds:uri="http://schemas.microsoft.com/office/2006/metadata/properties"/>
    <ds:schemaRef ds:uri="http://schemas.microsoft.com/office/infopath/2007/PartnerControls"/>
    <ds:schemaRef ds:uri="826143e3-bbcb-45bb-8829-107013e701e5"/>
  </ds:schemaRefs>
</ds:datastoreItem>
</file>

<file path=customXml/itemProps3.xml><?xml version="1.0" encoding="utf-8"?>
<ds:datastoreItem xmlns:ds="http://schemas.openxmlformats.org/officeDocument/2006/customXml" ds:itemID="{8490F35C-AA4E-45CB-A310-3DCCCFE9D980}">
  <ds:schemaRefs>
    <ds:schemaRef ds:uri="http://schemas.microsoft.com/sharepoint/v3/contenttype/forms"/>
  </ds:schemaRefs>
</ds:datastoreItem>
</file>

<file path=customXml/itemProps4.xml><?xml version="1.0" encoding="utf-8"?>
<ds:datastoreItem xmlns:ds="http://schemas.openxmlformats.org/officeDocument/2006/customXml" ds:itemID="{2D15E725-C4BE-47BD-A204-D328579857CD}">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1037</Words>
  <Characters>5751</Characters>
  <Application>Microsoft Office Word</Application>
  <DocSecurity>0</DocSecurity>
  <Lines>83</Lines>
  <Paragraphs>29</Paragraphs>
  <ScaleCrop>false</ScaleCrop>
  <Company>NAIC</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Wilkinson, Jeremy</dc:creator>
  <cp:keywords/>
  <cp:lastModifiedBy>Gann, Julie</cp:lastModifiedBy>
  <cp:revision>3</cp:revision>
  <cp:lastPrinted>2018-11-16T04:15:00Z</cp:lastPrinted>
  <dcterms:created xsi:type="dcterms:W3CDTF">2026-08-19T12:54:00Z</dcterms:created>
  <dcterms:modified xsi:type="dcterms:W3CDTF">2026-08-19T12:54:00Z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0x010100376674D47D81254AAE898D727025BAAD</vt:lpwstr>
  </property>
  <property fmtid="{D5CDD505-2E9C-101B-9397-08002B2CF9AE}" pid="4" name="docLang">
    <vt:lpwstr>en</vt:lpwstr>
  </property>
</Properties>
</file>