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1350"/>
        <w:gridCol w:w="5958"/>
      </w:tblGrid>
      <w:tr w:rsidR="005D6F02" w:rsidTr="005D6F02">
        <w:tc>
          <w:tcPr>
            <w:tcW w:w="2268" w:type="dxa"/>
          </w:tcPr>
          <w:p w:rsidR="005D6F02" w:rsidRDefault="005D6F02" w:rsidP="005D6F02">
            <w:r>
              <w:t>Original Draft  IV Location Before Formatting/Font  Size Change</w:t>
            </w:r>
          </w:p>
        </w:tc>
        <w:tc>
          <w:tcPr>
            <w:tcW w:w="1350" w:type="dxa"/>
          </w:tcPr>
          <w:p w:rsidR="005D6F02" w:rsidRDefault="005D6F02" w:rsidP="002D5744">
            <w:r>
              <w:t>New Location</w:t>
            </w:r>
          </w:p>
        </w:tc>
        <w:tc>
          <w:tcPr>
            <w:tcW w:w="5958" w:type="dxa"/>
          </w:tcPr>
          <w:p w:rsidR="005D6F02" w:rsidRDefault="005D6F02" w:rsidP="002D5744">
            <w:r>
              <w:t>Comment</w:t>
            </w:r>
          </w:p>
        </w:tc>
      </w:tr>
      <w:tr w:rsidR="005D6F02" w:rsidTr="005D6F02">
        <w:tc>
          <w:tcPr>
            <w:tcW w:w="2268" w:type="dxa"/>
          </w:tcPr>
          <w:p w:rsidR="005D6F02" w:rsidRDefault="005D6F02" w:rsidP="002D5744">
            <w:proofErr w:type="spellStart"/>
            <w:r>
              <w:t>Pg</w:t>
            </w:r>
            <w:proofErr w:type="spellEnd"/>
            <w:r>
              <w:t xml:space="preserve"> 1</w:t>
            </w:r>
          </w:p>
        </w:tc>
        <w:tc>
          <w:tcPr>
            <w:tcW w:w="1350" w:type="dxa"/>
          </w:tcPr>
          <w:p w:rsidR="005D6F02" w:rsidRDefault="005D6F02" w:rsidP="002D5744">
            <w:proofErr w:type="spellStart"/>
            <w:r>
              <w:t>Pg</w:t>
            </w:r>
            <w:proofErr w:type="spellEnd"/>
            <w:r>
              <w:t xml:space="preserve"> 1</w:t>
            </w:r>
          </w:p>
        </w:tc>
        <w:tc>
          <w:tcPr>
            <w:tcW w:w="5958" w:type="dxa"/>
          </w:tcPr>
          <w:p w:rsidR="005D6F02" w:rsidRDefault="005D6F02" w:rsidP="005D6F02">
            <w:r>
              <w:t xml:space="preserve">Changed draft date to </w:t>
            </w:r>
            <w:r>
              <w:t>June 17,</w:t>
            </w:r>
            <w:r>
              <w:t>, 2016</w:t>
            </w:r>
          </w:p>
          <w:p w:rsidR="005D6F02" w:rsidRDefault="005D6F02" w:rsidP="002D5744"/>
        </w:tc>
      </w:tr>
      <w:tr w:rsidR="005D6F02" w:rsidTr="005D6F02">
        <w:tc>
          <w:tcPr>
            <w:tcW w:w="2268" w:type="dxa"/>
          </w:tcPr>
          <w:p w:rsidR="005D6F02" w:rsidRDefault="005D6F02" w:rsidP="002D5744">
            <w:proofErr w:type="spellStart"/>
            <w:r>
              <w:t>Pg</w:t>
            </w:r>
            <w:proofErr w:type="spellEnd"/>
            <w:r>
              <w:t xml:space="preserve"> 3</w:t>
            </w:r>
          </w:p>
        </w:tc>
        <w:tc>
          <w:tcPr>
            <w:tcW w:w="1350" w:type="dxa"/>
          </w:tcPr>
          <w:p w:rsidR="005D6F02" w:rsidRDefault="005D6F02" w:rsidP="002D5744">
            <w:r>
              <w:t>Pg. 1</w:t>
            </w:r>
          </w:p>
        </w:tc>
        <w:tc>
          <w:tcPr>
            <w:tcW w:w="5958" w:type="dxa"/>
          </w:tcPr>
          <w:p w:rsidR="005D6F02" w:rsidRDefault="005D6F02" w:rsidP="005D6F02">
            <w:r>
              <w:t xml:space="preserve">Added executive summary and recommendations section </w:t>
            </w:r>
          </w:p>
        </w:tc>
      </w:tr>
      <w:tr w:rsidR="005D6F02" w:rsidTr="005D6F02">
        <w:tc>
          <w:tcPr>
            <w:tcW w:w="2268" w:type="dxa"/>
          </w:tcPr>
          <w:p w:rsidR="005D6F02" w:rsidRDefault="005D6F02" w:rsidP="002D5744">
            <w:r>
              <w:t>Several Locations</w:t>
            </w:r>
          </w:p>
        </w:tc>
        <w:tc>
          <w:tcPr>
            <w:tcW w:w="1350" w:type="dxa"/>
          </w:tcPr>
          <w:p w:rsidR="005D6F02" w:rsidRDefault="005D6F02" w:rsidP="002D5744">
            <w:r>
              <w:t>Same</w:t>
            </w:r>
          </w:p>
        </w:tc>
        <w:tc>
          <w:tcPr>
            <w:tcW w:w="5958" w:type="dxa"/>
          </w:tcPr>
          <w:p w:rsidR="005D6F02" w:rsidRDefault="005D6F02" w:rsidP="002D5744">
            <w:r>
              <w:t xml:space="preserve">Several locations in document. Corrected wording from professional employment concerns to professional employer concerns per Steve </w:t>
            </w:r>
            <w:proofErr w:type="spellStart"/>
            <w:r>
              <w:t>Politis</w:t>
            </w:r>
            <w:proofErr w:type="spellEnd"/>
          </w:p>
        </w:tc>
      </w:tr>
      <w:tr w:rsidR="005D6F02" w:rsidTr="005D6F02">
        <w:tc>
          <w:tcPr>
            <w:tcW w:w="2268" w:type="dxa"/>
          </w:tcPr>
          <w:p w:rsidR="005D6F02" w:rsidRDefault="005D6F02" w:rsidP="002D5744">
            <w:r>
              <w:t>Pg. 3</w:t>
            </w:r>
          </w:p>
        </w:tc>
        <w:tc>
          <w:tcPr>
            <w:tcW w:w="1350" w:type="dxa"/>
          </w:tcPr>
          <w:p w:rsidR="005D6F02" w:rsidRDefault="005D6F02" w:rsidP="002D5744">
            <w:r>
              <w:t>Pg.1</w:t>
            </w:r>
          </w:p>
        </w:tc>
        <w:tc>
          <w:tcPr>
            <w:tcW w:w="5958" w:type="dxa"/>
          </w:tcPr>
          <w:p w:rsidR="005D6F02" w:rsidRDefault="005D6F02" w:rsidP="002D5744">
            <w:r>
              <w:t>Added wording “It is intended to serve as a resource for”</w:t>
            </w:r>
          </w:p>
        </w:tc>
      </w:tr>
      <w:tr w:rsidR="005D6F02" w:rsidTr="005D6F02">
        <w:tc>
          <w:tcPr>
            <w:tcW w:w="2268" w:type="dxa"/>
          </w:tcPr>
          <w:p w:rsidR="005D6F02" w:rsidRDefault="005D6F02" w:rsidP="002D5744">
            <w:r>
              <w:t>Pg.4</w:t>
            </w:r>
          </w:p>
        </w:tc>
        <w:tc>
          <w:tcPr>
            <w:tcW w:w="1350" w:type="dxa"/>
          </w:tcPr>
          <w:p w:rsidR="005D6F02" w:rsidRDefault="005D6F02" w:rsidP="002D5744">
            <w:r>
              <w:t>Appendix I</w:t>
            </w:r>
          </w:p>
        </w:tc>
        <w:tc>
          <w:tcPr>
            <w:tcW w:w="5958" w:type="dxa"/>
          </w:tcPr>
          <w:p w:rsidR="005D6F02" w:rsidRDefault="005D6F02" w:rsidP="002D5744">
            <w:r>
              <w:t xml:space="preserve"> We are considering </w:t>
            </w:r>
            <w:proofErr w:type="gramStart"/>
            <w:r>
              <w:t>adding  a</w:t>
            </w:r>
            <w:proofErr w:type="gramEnd"/>
            <w:r>
              <w:t xml:space="preserve"> copy of the draft wording modifying  IL SB 1805 to the appendices. We are waiting for Deputy </w:t>
            </w:r>
            <w:proofErr w:type="gramStart"/>
            <w:r>
              <w:t>Commissioner ,</w:t>
            </w:r>
            <w:proofErr w:type="gramEnd"/>
            <w:r>
              <w:t xml:space="preserve"> </w:t>
            </w:r>
            <w:r w:rsidRPr="00CF6EB3">
              <w:t>Jim Ste</w:t>
            </w:r>
            <w:r>
              <w:t>ph</w:t>
            </w:r>
            <w:r w:rsidRPr="00CF6EB3">
              <w:t>ens</w:t>
            </w:r>
            <w:r>
              <w:t xml:space="preserve"> to provide his advice on this matter.</w:t>
            </w:r>
          </w:p>
        </w:tc>
      </w:tr>
      <w:tr w:rsidR="005D6F02" w:rsidTr="005D6F02">
        <w:tc>
          <w:tcPr>
            <w:tcW w:w="2268" w:type="dxa"/>
          </w:tcPr>
          <w:p w:rsidR="005D6F02" w:rsidRDefault="009773BB" w:rsidP="002D5744">
            <w:r>
              <w:t>Pg.3-Various</w:t>
            </w:r>
          </w:p>
        </w:tc>
        <w:tc>
          <w:tcPr>
            <w:tcW w:w="1350" w:type="dxa"/>
          </w:tcPr>
          <w:p w:rsidR="005D6F02" w:rsidRDefault="009773BB" w:rsidP="002D5744">
            <w:r>
              <w:t>Various</w:t>
            </w:r>
          </w:p>
        </w:tc>
        <w:tc>
          <w:tcPr>
            <w:tcW w:w="5958" w:type="dxa"/>
          </w:tcPr>
          <w:p w:rsidR="005D6F02" w:rsidRDefault="005D6F02" w:rsidP="009773BB">
            <w:r>
              <w:t xml:space="preserve">Changed all year references to 2016 rather than 2015 </w:t>
            </w:r>
          </w:p>
        </w:tc>
      </w:tr>
      <w:tr w:rsidR="005D6F02" w:rsidTr="005D6F02">
        <w:tc>
          <w:tcPr>
            <w:tcW w:w="2268" w:type="dxa"/>
          </w:tcPr>
          <w:p w:rsidR="005D6F02" w:rsidRDefault="009773BB" w:rsidP="002D5744">
            <w:r>
              <w:t>Pg.4</w:t>
            </w:r>
          </w:p>
        </w:tc>
        <w:tc>
          <w:tcPr>
            <w:tcW w:w="1350" w:type="dxa"/>
          </w:tcPr>
          <w:p w:rsidR="005D6F02" w:rsidRDefault="009773BB" w:rsidP="002D5744">
            <w:r>
              <w:t>Pg.2</w:t>
            </w:r>
          </w:p>
        </w:tc>
        <w:tc>
          <w:tcPr>
            <w:tcW w:w="5958" w:type="dxa"/>
          </w:tcPr>
          <w:p w:rsidR="005D6F02" w:rsidRDefault="009773BB" w:rsidP="002D5744">
            <w:proofErr w:type="gramStart"/>
            <w:r>
              <w:t>Changed  the</w:t>
            </w:r>
            <w:proofErr w:type="gramEnd"/>
            <w:r>
              <w:t xml:space="preserve"> wording of the second recommendation to read “</w:t>
            </w:r>
            <w:r w:rsidRPr="009773BB">
              <w:rPr>
                <w:rFonts w:cs="Arial"/>
                <w:lang w:val="en"/>
              </w:rPr>
              <w:t>Require the insurer’s staff to evaluate the creditworthiness of policyholders. Where indicated, the underwriting department should bring in the other resources such as the finance department” Per Bob Wake and several insurers.”</w:t>
            </w:r>
          </w:p>
        </w:tc>
      </w:tr>
      <w:tr w:rsidR="005D6F02" w:rsidTr="005D6F02">
        <w:tc>
          <w:tcPr>
            <w:tcW w:w="2268" w:type="dxa"/>
          </w:tcPr>
          <w:p w:rsidR="005D6F02" w:rsidRDefault="009773BB" w:rsidP="002D5744">
            <w:r>
              <w:t>Pg.6</w:t>
            </w:r>
          </w:p>
        </w:tc>
        <w:tc>
          <w:tcPr>
            <w:tcW w:w="1350" w:type="dxa"/>
          </w:tcPr>
          <w:p w:rsidR="005D6F02" w:rsidRDefault="009773BB" w:rsidP="002D5744">
            <w:r>
              <w:t>Pg.3</w:t>
            </w:r>
          </w:p>
        </w:tc>
        <w:tc>
          <w:tcPr>
            <w:tcW w:w="5958" w:type="dxa"/>
          </w:tcPr>
          <w:p w:rsidR="005D6F02" w:rsidRDefault="009773BB" w:rsidP="002D5744">
            <w:r>
              <w:t>Corrected wording to ensure, per Robin Coombs , KY</w:t>
            </w:r>
          </w:p>
        </w:tc>
      </w:tr>
      <w:tr w:rsidR="005D6F02" w:rsidTr="005D6F02">
        <w:tc>
          <w:tcPr>
            <w:tcW w:w="2268" w:type="dxa"/>
          </w:tcPr>
          <w:p w:rsidR="005D6F02" w:rsidRDefault="00C321D1" w:rsidP="002D5744">
            <w:r>
              <w:t>Pg. 6</w:t>
            </w:r>
          </w:p>
        </w:tc>
        <w:tc>
          <w:tcPr>
            <w:tcW w:w="1350" w:type="dxa"/>
          </w:tcPr>
          <w:p w:rsidR="005D6F02" w:rsidRDefault="00C321D1" w:rsidP="002D5744">
            <w:r>
              <w:t>Pg.3</w:t>
            </w:r>
          </w:p>
        </w:tc>
        <w:tc>
          <w:tcPr>
            <w:tcW w:w="5958" w:type="dxa"/>
          </w:tcPr>
          <w:p w:rsidR="005D6F02" w:rsidRDefault="00C321D1" w:rsidP="002D5744">
            <w:r>
              <w:t>Clarified that members of the NAIC and IAIABC met to begin planning the study</w:t>
            </w:r>
          </w:p>
        </w:tc>
      </w:tr>
      <w:tr w:rsidR="005D6F02" w:rsidTr="005D6F02">
        <w:tc>
          <w:tcPr>
            <w:tcW w:w="2268" w:type="dxa"/>
          </w:tcPr>
          <w:p w:rsidR="005D6F02" w:rsidRDefault="0045244C" w:rsidP="002D5744">
            <w:r>
              <w:t>Pg. 6</w:t>
            </w:r>
          </w:p>
        </w:tc>
        <w:tc>
          <w:tcPr>
            <w:tcW w:w="1350" w:type="dxa"/>
          </w:tcPr>
          <w:p w:rsidR="005D6F02" w:rsidRDefault="0045244C" w:rsidP="002D5744">
            <w:r>
              <w:t>Pg.3</w:t>
            </w:r>
          </w:p>
        </w:tc>
        <w:tc>
          <w:tcPr>
            <w:tcW w:w="5958" w:type="dxa"/>
          </w:tcPr>
          <w:p w:rsidR="005D6F02" w:rsidRDefault="0045244C" w:rsidP="002D5744">
            <w:r>
              <w:t>Added wording landscape and its impact on</w:t>
            </w:r>
          </w:p>
        </w:tc>
      </w:tr>
      <w:tr w:rsidR="005D6F02" w:rsidTr="005D6F02">
        <w:tc>
          <w:tcPr>
            <w:tcW w:w="2268" w:type="dxa"/>
          </w:tcPr>
          <w:p w:rsidR="005D6F02" w:rsidRDefault="0045244C" w:rsidP="002D5744">
            <w:r>
              <w:t>Pg.6</w:t>
            </w:r>
          </w:p>
        </w:tc>
        <w:tc>
          <w:tcPr>
            <w:tcW w:w="1350" w:type="dxa"/>
          </w:tcPr>
          <w:p w:rsidR="005D6F02" w:rsidRDefault="0045244C" w:rsidP="002D5744">
            <w:r>
              <w:t>Pg.3</w:t>
            </w:r>
          </w:p>
        </w:tc>
        <w:tc>
          <w:tcPr>
            <w:tcW w:w="5958" w:type="dxa"/>
          </w:tcPr>
          <w:p w:rsidR="005D6F02" w:rsidRDefault="0045244C" w:rsidP="002D5744">
            <w:r>
              <w:t xml:space="preserve"> Corrected wording and removed run on sentence per Robin Coombs, KY</w:t>
            </w:r>
          </w:p>
        </w:tc>
      </w:tr>
      <w:tr w:rsidR="005D6F02" w:rsidTr="005D6F02">
        <w:tc>
          <w:tcPr>
            <w:tcW w:w="2268" w:type="dxa"/>
          </w:tcPr>
          <w:p w:rsidR="005D6F02" w:rsidRDefault="0045244C" w:rsidP="002D5744">
            <w:r>
              <w:t>Pg.7</w:t>
            </w:r>
          </w:p>
        </w:tc>
        <w:tc>
          <w:tcPr>
            <w:tcW w:w="1350" w:type="dxa"/>
          </w:tcPr>
          <w:p w:rsidR="005D6F02" w:rsidRDefault="0045244C" w:rsidP="002D5744">
            <w:r>
              <w:t>Pg. 4</w:t>
            </w:r>
          </w:p>
        </w:tc>
        <w:tc>
          <w:tcPr>
            <w:tcW w:w="5958" w:type="dxa"/>
          </w:tcPr>
          <w:p w:rsidR="005D6F02" w:rsidRDefault="0045244C" w:rsidP="002D5744">
            <w:r>
              <w:t>Corrected wording to read for each claim. Per John Zillmer, Zurich</w:t>
            </w:r>
          </w:p>
        </w:tc>
      </w:tr>
      <w:tr w:rsidR="005D6F02" w:rsidTr="005D6F02">
        <w:tc>
          <w:tcPr>
            <w:tcW w:w="2268" w:type="dxa"/>
          </w:tcPr>
          <w:p w:rsidR="005D6F02" w:rsidRDefault="0045244C" w:rsidP="002D5744">
            <w:r>
              <w:t>Pg.8</w:t>
            </w:r>
          </w:p>
        </w:tc>
        <w:tc>
          <w:tcPr>
            <w:tcW w:w="1350" w:type="dxa"/>
          </w:tcPr>
          <w:p w:rsidR="005D6F02" w:rsidRDefault="0045244C" w:rsidP="002D5744">
            <w:r>
              <w:t>Various</w:t>
            </w:r>
          </w:p>
        </w:tc>
        <w:tc>
          <w:tcPr>
            <w:tcW w:w="5958" w:type="dxa"/>
          </w:tcPr>
          <w:p w:rsidR="005D6F02" w:rsidRDefault="0045244C" w:rsidP="002D5744">
            <w:r>
              <w:t>Changed wording to read “large deductible” –Per Bob Wake and Mike Riley</w:t>
            </w:r>
          </w:p>
        </w:tc>
      </w:tr>
      <w:tr w:rsidR="005D6F02" w:rsidTr="005D6F02">
        <w:tc>
          <w:tcPr>
            <w:tcW w:w="2268" w:type="dxa"/>
          </w:tcPr>
          <w:p w:rsidR="005D6F02" w:rsidRDefault="00126B73" w:rsidP="00126B73">
            <w:r>
              <w:t>Pg. 9</w:t>
            </w:r>
          </w:p>
        </w:tc>
        <w:tc>
          <w:tcPr>
            <w:tcW w:w="1350" w:type="dxa"/>
          </w:tcPr>
          <w:p w:rsidR="005D6F02" w:rsidRDefault="005D6F02" w:rsidP="002D5744"/>
        </w:tc>
        <w:tc>
          <w:tcPr>
            <w:tcW w:w="5958" w:type="dxa"/>
          </w:tcPr>
          <w:p w:rsidR="005D6F02" w:rsidRDefault="00126B73" w:rsidP="002D5744">
            <w:r>
              <w:t>A</w:t>
            </w:r>
            <w:r>
              <w:t>dded “or more” per Bob Wake</w:t>
            </w:r>
          </w:p>
        </w:tc>
      </w:tr>
      <w:tr w:rsidR="005D6F02" w:rsidTr="005D6F02">
        <w:tc>
          <w:tcPr>
            <w:tcW w:w="2268" w:type="dxa"/>
          </w:tcPr>
          <w:p w:rsidR="005D6F02" w:rsidRDefault="00126B73" w:rsidP="00126B73">
            <w:r>
              <w:t>Pg. 10</w:t>
            </w:r>
          </w:p>
        </w:tc>
        <w:tc>
          <w:tcPr>
            <w:tcW w:w="1350" w:type="dxa"/>
          </w:tcPr>
          <w:p w:rsidR="005D6F02" w:rsidRDefault="00126B73" w:rsidP="002D5744">
            <w:r>
              <w:t>Pg.6</w:t>
            </w:r>
          </w:p>
        </w:tc>
        <w:tc>
          <w:tcPr>
            <w:tcW w:w="5958" w:type="dxa"/>
          </w:tcPr>
          <w:p w:rsidR="005D6F02" w:rsidRDefault="00126B73" w:rsidP="002D5744">
            <w:r>
              <w:t>Added California Data to the study</w:t>
            </w:r>
          </w:p>
        </w:tc>
      </w:tr>
      <w:tr w:rsidR="005D6F02" w:rsidTr="005D6F02">
        <w:tc>
          <w:tcPr>
            <w:tcW w:w="2268" w:type="dxa"/>
          </w:tcPr>
          <w:p w:rsidR="005D6F02" w:rsidRDefault="00126B73" w:rsidP="002D5744">
            <w:r>
              <w:t>Pg. 10</w:t>
            </w:r>
          </w:p>
        </w:tc>
        <w:tc>
          <w:tcPr>
            <w:tcW w:w="1350" w:type="dxa"/>
          </w:tcPr>
          <w:p w:rsidR="005D6F02" w:rsidRDefault="00126B73" w:rsidP="002D5744">
            <w:r>
              <w:t>Pg. 6</w:t>
            </w:r>
          </w:p>
        </w:tc>
        <w:tc>
          <w:tcPr>
            <w:tcW w:w="5958" w:type="dxa"/>
          </w:tcPr>
          <w:p w:rsidR="005D6F02" w:rsidRDefault="00126B73" w:rsidP="002D5744">
            <w:r>
              <w:t>A</w:t>
            </w:r>
            <w:r>
              <w:t>dded clarifying wording from Mike Riley</w:t>
            </w:r>
          </w:p>
        </w:tc>
      </w:tr>
      <w:tr w:rsidR="005D6F02" w:rsidTr="005D6F02">
        <w:tc>
          <w:tcPr>
            <w:tcW w:w="2268" w:type="dxa"/>
          </w:tcPr>
          <w:p w:rsidR="005D6F02" w:rsidRDefault="00126B73" w:rsidP="002D5744">
            <w:r>
              <w:t>Pg. 11</w:t>
            </w:r>
          </w:p>
        </w:tc>
        <w:tc>
          <w:tcPr>
            <w:tcW w:w="1350" w:type="dxa"/>
          </w:tcPr>
          <w:p w:rsidR="005D6F02" w:rsidRDefault="005D6F02" w:rsidP="002D5744"/>
        </w:tc>
        <w:tc>
          <w:tcPr>
            <w:tcW w:w="5958" w:type="dxa"/>
          </w:tcPr>
          <w:p w:rsidR="005D6F02" w:rsidRDefault="00126B73" w:rsidP="002D5744">
            <w:r>
              <w:t>Changed wording to “guaranty association per Bob Wake</w:t>
            </w:r>
          </w:p>
        </w:tc>
      </w:tr>
      <w:tr w:rsidR="005D6F02" w:rsidTr="005D6F02">
        <w:tc>
          <w:tcPr>
            <w:tcW w:w="2268" w:type="dxa"/>
          </w:tcPr>
          <w:p w:rsidR="005D6F02" w:rsidRDefault="00126B73" w:rsidP="002D5744">
            <w:r>
              <w:t>Pg. 11</w:t>
            </w:r>
          </w:p>
        </w:tc>
        <w:tc>
          <w:tcPr>
            <w:tcW w:w="1350" w:type="dxa"/>
          </w:tcPr>
          <w:p w:rsidR="005D6F02" w:rsidRDefault="005D6F02" w:rsidP="002D5744"/>
        </w:tc>
        <w:tc>
          <w:tcPr>
            <w:tcW w:w="5958" w:type="dxa"/>
          </w:tcPr>
          <w:p w:rsidR="005D6F02" w:rsidRDefault="00126B73" w:rsidP="002D5744">
            <w:r>
              <w:t>Sentence broken up for Clarity per Robin Coombs, KY</w:t>
            </w:r>
          </w:p>
        </w:tc>
      </w:tr>
      <w:tr w:rsidR="005D6F02" w:rsidTr="005D6F02">
        <w:tc>
          <w:tcPr>
            <w:tcW w:w="2268" w:type="dxa"/>
          </w:tcPr>
          <w:p w:rsidR="005D6F02" w:rsidRDefault="00126B73" w:rsidP="002D5744">
            <w:r>
              <w:t>Pg. 11</w:t>
            </w:r>
          </w:p>
        </w:tc>
        <w:tc>
          <w:tcPr>
            <w:tcW w:w="1350" w:type="dxa"/>
          </w:tcPr>
          <w:p w:rsidR="005D6F02" w:rsidRDefault="005D6F02" w:rsidP="002D5744"/>
        </w:tc>
        <w:tc>
          <w:tcPr>
            <w:tcW w:w="5958" w:type="dxa"/>
          </w:tcPr>
          <w:p w:rsidR="005D6F02" w:rsidRDefault="00126B73" w:rsidP="00126B73">
            <w:r>
              <w:t>A</w:t>
            </w:r>
            <w:r>
              <w:t>dded</w:t>
            </w:r>
            <w:r>
              <w:t xml:space="preserve"> the word “fund” for clarity per Charles Hansberry, LA</w:t>
            </w:r>
          </w:p>
        </w:tc>
      </w:tr>
      <w:tr w:rsidR="005D6F02" w:rsidTr="005D6F02">
        <w:tc>
          <w:tcPr>
            <w:tcW w:w="2268" w:type="dxa"/>
          </w:tcPr>
          <w:p w:rsidR="005D6F02" w:rsidRDefault="00126B73" w:rsidP="002D5744">
            <w:r>
              <w:t>Pg. 12</w:t>
            </w:r>
          </w:p>
        </w:tc>
        <w:tc>
          <w:tcPr>
            <w:tcW w:w="1350" w:type="dxa"/>
          </w:tcPr>
          <w:p w:rsidR="005D6F02" w:rsidRDefault="00126B73" w:rsidP="002D5744">
            <w:r>
              <w:t>Pg.7</w:t>
            </w:r>
          </w:p>
        </w:tc>
        <w:tc>
          <w:tcPr>
            <w:tcW w:w="5958" w:type="dxa"/>
          </w:tcPr>
          <w:p w:rsidR="005D6F02" w:rsidRDefault="00126B73" w:rsidP="002D5744">
            <w:r>
              <w:t>Corrected total of states with existing legislation to eight and added Indiana to the list of states. Per Barbara Cox</w:t>
            </w:r>
          </w:p>
        </w:tc>
      </w:tr>
      <w:tr w:rsidR="005D6F02" w:rsidTr="005D6F02">
        <w:tc>
          <w:tcPr>
            <w:tcW w:w="2268" w:type="dxa"/>
          </w:tcPr>
          <w:p w:rsidR="005D6F02" w:rsidRDefault="00126B73" w:rsidP="002D5744">
            <w:r>
              <w:t>Pg.13</w:t>
            </w:r>
          </w:p>
        </w:tc>
        <w:tc>
          <w:tcPr>
            <w:tcW w:w="1350" w:type="dxa"/>
          </w:tcPr>
          <w:p w:rsidR="005D6F02" w:rsidRDefault="00126B73" w:rsidP="002D5744">
            <w:r>
              <w:t>Pg.8</w:t>
            </w:r>
          </w:p>
        </w:tc>
        <w:tc>
          <w:tcPr>
            <w:tcW w:w="5958" w:type="dxa"/>
          </w:tcPr>
          <w:p w:rsidR="005D6F02" w:rsidRDefault="00126B73" w:rsidP="002D5744">
            <w:r>
              <w:t>Corrected table and amount from estates to read “less than 24 million.” Per Barb Cox</w:t>
            </w:r>
          </w:p>
        </w:tc>
      </w:tr>
      <w:tr w:rsidR="005D6F02" w:rsidTr="005D6F02">
        <w:tc>
          <w:tcPr>
            <w:tcW w:w="2268" w:type="dxa"/>
          </w:tcPr>
          <w:p w:rsidR="005D6F02" w:rsidRDefault="00126B73" w:rsidP="002D5744">
            <w:r>
              <w:t>Pg. 15</w:t>
            </w:r>
          </w:p>
        </w:tc>
        <w:tc>
          <w:tcPr>
            <w:tcW w:w="1350" w:type="dxa"/>
          </w:tcPr>
          <w:p w:rsidR="005D6F02" w:rsidRDefault="005D6F02" w:rsidP="002D5744"/>
        </w:tc>
        <w:tc>
          <w:tcPr>
            <w:tcW w:w="5958" w:type="dxa"/>
          </w:tcPr>
          <w:p w:rsidR="005D6F02" w:rsidRDefault="00126B73" w:rsidP="00126B73">
            <w:r>
              <w:t>Added word “arise” per Charles Hansberry, LA</w:t>
            </w:r>
          </w:p>
        </w:tc>
      </w:tr>
      <w:tr w:rsidR="005D6F02" w:rsidTr="005D6F02">
        <w:tc>
          <w:tcPr>
            <w:tcW w:w="2268" w:type="dxa"/>
          </w:tcPr>
          <w:p w:rsidR="005D6F02" w:rsidRDefault="00126B73" w:rsidP="002D5744">
            <w:r>
              <w:t>Pg. 16</w:t>
            </w:r>
          </w:p>
        </w:tc>
        <w:tc>
          <w:tcPr>
            <w:tcW w:w="1350" w:type="dxa"/>
          </w:tcPr>
          <w:p w:rsidR="005D6F02" w:rsidRDefault="00126B73" w:rsidP="002D5744">
            <w:r>
              <w:t xml:space="preserve">Pg. </w:t>
            </w:r>
          </w:p>
        </w:tc>
        <w:tc>
          <w:tcPr>
            <w:tcW w:w="5958" w:type="dxa"/>
          </w:tcPr>
          <w:p w:rsidR="005D6F02" w:rsidRDefault="00CB3928" w:rsidP="00CB3928">
            <w:r>
              <w:t xml:space="preserve">Foot note </w:t>
            </w:r>
            <w:r w:rsidR="002B5BF6">
              <w:t xml:space="preserve">#20 </w:t>
            </w:r>
            <w:r>
              <w:t>was not removed despite request from AIG. Regulators felt this should be retained.</w:t>
            </w:r>
          </w:p>
        </w:tc>
      </w:tr>
      <w:tr w:rsidR="005D6F02" w:rsidTr="005D6F02">
        <w:tc>
          <w:tcPr>
            <w:tcW w:w="2268" w:type="dxa"/>
          </w:tcPr>
          <w:p w:rsidR="005D6F02" w:rsidRDefault="00E44B3D" w:rsidP="002D5744">
            <w:r>
              <w:t>Pg. 17</w:t>
            </w:r>
          </w:p>
        </w:tc>
        <w:tc>
          <w:tcPr>
            <w:tcW w:w="1350" w:type="dxa"/>
          </w:tcPr>
          <w:p w:rsidR="005D6F02" w:rsidRDefault="005D6F02" w:rsidP="002D5744"/>
        </w:tc>
        <w:tc>
          <w:tcPr>
            <w:tcW w:w="5958" w:type="dxa"/>
          </w:tcPr>
          <w:p w:rsidR="005D6F02" w:rsidRDefault="00E44B3D" w:rsidP="002D5744">
            <w:r>
              <w:t>A</w:t>
            </w:r>
            <w:r>
              <w:t>dded the word “be” per Rod Jordan</w:t>
            </w:r>
          </w:p>
        </w:tc>
      </w:tr>
      <w:tr w:rsidR="005D6F02" w:rsidTr="005D6F02">
        <w:tc>
          <w:tcPr>
            <w:tcW w:w="2268" w:type="dxa"/>
          </w:tcPr>
          <w:p w:rsidR="005D6F02" w:rsidRDefault="00E44B3D" w:rsidP="002D5744">
            <w:r>
              <w:t>Pg. 18</w:t>
            </w:r>
          </w:p>
        </w:tc>
        <w:tc>
          <w:tcPr>
            <w:tcW w:w="1350" w:type="dxa"/>
          </w:tcPr>
          <w:p w:rsidR="005D6F02" w:rsidRDefault="00E44B3D" w:rsidP="002D5744">
            <w:r>
              <w:t>Pg. 13, 2</w:t>
            </w:r>
            <w:r w:rsidRPr="00E44B3D">
              <w:rPr>
                <w:vertAlign w:val="superscript"/>
              </w:rPr>
              <w:t>nd</w:t>
            </w:r>
            <w:r>
              <w:t xml:space="preserve"> Bullet</w:t>
            </w:r>
            <w:bookmarkStart w:id="0" w:name="_GoBack"/>
            <w:bookmarkEnd w:id="0"/>
          </w:p>
        </w:tc>
        <w:tc>
          <w:tcPr>
            <w:tcW w:w="5958" w:type="dxa"/>
          </w:tcPr>
          <w:p w:rsidR="005D6F02" w:rsidRDefault="00E44B3D" w:rsidP="002D5744">
            <w:r>
              <w:t>Changed wording to match executive summary. Removed requirement for auditors to review credit worthiness.</w:t>
            </w:r>
          </w:p>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r w:rsidR="005D6F02" w:rsidTr="005D6F02">
        <w:tc>
          <w:tcPr>
            <w:tcW w:w="2268" w:type="dxa"/>
          </w:tcPr>
          <w:p w:rsidR="005D6F02" w:rsidRDefault="005D6F02" w:rsidP="002D5744"/>
        </w:tc>
        <w:tc>
          <w:tcPr>
            <w:tcW w:w="1350" w:type="dxa"/>
          </w:tcPr>
          <w:p w:rsidR="005D6F02" w:rsidRDefault="005D6F02" w:rsidP="002D5744"/>
        </w:tc>
        <w:tc>
          <w:tcPr>
            <w:tcW w:w="5958" w:type="dxa"/>
          </w:tcPr>
          <w:p w:rsidR="005D6F02" w:rsidRDefault="005D6F02" w:rsidP="002D5744"/>
        </w:tc>
      </w:tr>
    </w:tbl>
    <w:p w:rsidR="005D6F02" w:rsidRDefault="005D6F02" w:rsidP="002D5744"/>
    <w:p w:rsidR="005D6F02" w:rsidRDefault="005D6F02" w:rsidP="002D5744">
      <w:pPr>
        <w:pStyle w:val="ListParagraph"/>
        <w:numPr>
          <w:ilvl w:val="0"/>
          <w:numId w:val="1"/>
        </w:numPr>
      </w:pPr>
    </w:p>
    <w:p w:rsidR="00DE4F28" w:rsidRDefault="00DE4F28" w:rsidP="0045244C">
      <w:pPr>
        <w:pStyle w:val="ListParagraph"/>
        <w:numPr>
          <w:ilvl w:val="0"/>
          <w:numId w:val="1"/>
        </w:numPr>
      </w:pPr>
      <w:r>
        <w:t>.</w:t>
      </w:r>
    </w:p>
    <w:p w:rsidR="00DE4F28" w:rsidRDefault="00DE4F28" w:rsidP="002D5744">
      <w:pPr>
        <w:pStyle w:val="ListParagraph"/>
        <w:numPr>
          <w:ilvl w:val="0"/>
          <w:numId w:val="1"/>
        </w:numPr>
      </w:pPr>
      <w:r>
        <w:t xml:space="preserve">Page 8. </w:t>
      </w:r>
    </w:p>
    <w:p w:rsidR="00DE4F28" w:rsidRDefault="009556D6" w:rsidP="002D5744">
      <w:pPr>
        <w:pStyle w:val="ListParagraph"/>
        <w:numPr>
          <w:ilvl w:val="0"/>
          <w:numId w:val="1"/>
        </w:numPr>
      </w:pPr>
      <w:proofErr w:type="spellStart"/>
      <w:r>
        <w:t>Pg</w:t>
      </w:r>
      <w:proofErr w:type="spellEnd"/>
      <w:r>
        <w:t xml:space="preserve"> 9 </w:t>
      </w:r>
    </w:p>
    <w:p w:rsidR="009556D6" w:rsidRDefault="009556D6" w:rsidP="002D5744">
      <w:pPr>
        <w:pStyle w:val="ListParagraph"/>
        <w:numPr>
          <w:ilvl w:val="0"/>
          <w:numId w:val="1"/>
        </w:numPr>
      </w:pPr>
      <w:proofErr w:type="spellStart"/>
      <w:r>
        <w:t>Pg</w:t>
      </w:r>
      <w:proofErr w:type="spellEnd"/>
      <w:r>
        <w:t xml:space="preserve"> 10 </w:t>
      </w:r>
    </w:p>
    <w:p w:rsidR="009556D6" w:rsidRDefault="009556D6" w:rsidP="002D5744">
      <w:pPr>
        <w:pStyle w:val="ListParagraph"/>
        <w:numPr>
          <w:ilvl w:val="0"/>
          <w:numId w:val="1"/>
        </w:numPr>
      </w:pPr>
      <w:proofErr w:type="spellStart"/>
      <w:r>
        <w:t>Pg</w:t>
      </w:r>
      <w:proofErr w:type="spellEnd"/>
      <w:r>
        <w:t xml:space="preserve"> 10 </w:t>
      </w:r>
    </w:p>
    <w:p w:rsidR="009556D6" w:rsidRDefault="00126B73" w:rsidP="002D5744">
      <w:pPr>
        <w:pStyle w:val="ListParagraph"/>
        <w:numPr>
          <w:ilvl w:val="0"/>
          <w:numId w:val="1"/>
        </w:numPr>
      </w:pPr>
      <w:proofErr w:type="spellStart"/>
      <w:r>
        <w:t>Pg</w:t>
      </w:r>
      <w:proofErr w:type="spellEnd"/>
      <w:r>
        <w:t xml:space="preserve"> 11</w:t>
      </w:r>
    </w:p>
    <w:p w:rsidR="009556D6" w:rsidRDefault="009556D6" w:rsidP="002D5744">
      <w:pPr>
        <w:pStyle w:val="ListParagraph"/>
        <w:numPr>
          <w:ilvl w:val="0"/>
          <w:numId w:val="1"/>
        </w:numPr>
      </w:pPr>
      <w:proofErr w:type="spellStart"/>
      <w:r>
        <w:t>Pg</w:t>
      </w:r>
      <w:proofErr w:type="spellEnd"/>
      <w:r>
        <w:t xml:space="preserve"> 11 </w:t>
      </w:r>
      <w:proofErr w:type="spellStart"/>
      <w:r>
        <w:t>Pg</w:t>
      </w:r>
      <w:proofErr w:type="spellEnd"/>
      <w:r>
        <w:t xml:space="preserve"> 11 </w:t>
      </w:r>
    </w:p>
    <w:p w:rsidR="00275160" w:rsidRDefault="009556D6" w:rsidP="002D5744">
      <w:pPr>
        <w:pStyle w:val="ListParagraph"/>
        <w:numPr>
          <w:ilvl w:val="0"/>
          <w:numId w:val="1"/>
        </w:numPr>
      </w:pPr>
      <w:proofErr w:type="spellStart"/>
      <w:r>
        <w:t>Pg</w:t>
      </w:r>
      <w:proofErr w:type="spellEnd"/>
      <w:r>
        <w:t xml:space="preserve"> 12. </w:t>
      </w:r>
      <w:proofErr w:type="spellStart"/>
      <w:r>
        <w:t>Pg</w:t>
      </w:r>
      <w:proofErr w:type="spellEnd"/>
      <w:r>
        <w:t xml:space="preserve"> 13. </w:t>
      </w:r>
      <w:proofErr w:type="spellStart"/>
      <w:r>
        <w:t>Pg</w:t>
      </w:r>
      <w:proofErr w:type="spellEnd"/>
      <w:r>
        <w:t xml:space="preserve"> 15 </w:t>
      </w:r>
      <w:proofErr w:type="spellStart"/>
      <w:r w:rsidR="00275160">
        <w:t>Pg</w:t>
      </w:r>
      <w:proofErr w:type="spellEnd"/>
      <w:r w:rsidR="00275160">
        <w:t xml:space="preserve"> 16 </w:t>
      </w:r>
      <w:proofErr w:type="spellStart"/>
      <w:r w:rsidR="00275160">
        <w:t>Pg</w:t>
      </w:r>
      <w:proofErr w:type="spellEnd"/>
      <w:r w:rsidR="00275160">
        <w:t xml:space="preserve"> 17 </w:t>
      </w:r>
    </w:p>
    <w:p w:rsidR="00275160" w:rsidRDefault="00275160" w:rsidP="002D5744">
      <w:pPr>
        <w:pStyle w:val="ListParagraph"/>
        <w:numPr>
          <w:ilvl w:val="0"/>
          <w:numId w:val="1"/>
        </w:numPr>
      </w:pPr>
      <w:proofErr w:type="spellStart"/>
      <w:r>
        <w:t>Pg</w:t>
      </w:r>
      <w:proofErr w:type="spellEnd"/>
      <w:r>
        <w:t xml:space="preserve"> 18. </w:t>
      </w:r>
      <w:r w:rsidR="00CF7EAC">
        <w:t xml:space="preserve">Changed wording to match executive summary. Removed requirement for auditors to review credit worthiness. </w:t>
      </w:r>
    </w:p>
    <w:p w:rsidR="00CF7EAC" w:rsidRDefault="00CF7EAC" w:rsidP="002D5744">
      <w:pPr>
        <w:pStyle w:val="ListParagraph"/>
        <w:numPr>
          <w:ilvl w:val="0"/>
          <w:numId w:val="1"/>
        </w:numPr>
      </w:pPr>
      <w:proofErr w:type="spellStart"/>
      <w:r>
        <w:t>Pg</w:t>
      </w:r>
      <w:proofErr w:type="spellEnd"/>
      <w:r>
        <w:t xml:space="preserve"> 20. Clarified that Idaho has a bulletin pending.</w:t>
      </w:r>
    </w:p>
    <w:p w:rsidR="00CF7EAC" w:rsidRDefault="00CF7EAC" w:rsidP="002D5744">
      <w:pPr>
        <w:pStyle w:val="ListParagraph"/>
        <w:numPr>
          <w:ilvl w:val="0"/>
          <w:numId w:val="1"/>
        </w:numPr>
      </w:pPr>
      <w:proofErr w:type="spellStart"/>
      <w:r>
        <w:t>Pg</w:t>
      </w:r>
      <w:proofErr w:type="spellEnd"/>
      <w:r>
        <w:t xml:space="preserve"> 21. Added word reported per Charles Hansberry, LA</w:t>
      </w:r>
    </w:p>
    <w:p w:rsidR="00CF7EAC" w:rsidRDefault="00CF7EAC" w:rsidP="002D5744">
      <w:pPr>
        <w:pStyle w:val="ListParagraph"/>
        <w:numPr>
          <w:ilvl w:val="0"/>
          <w:numId w:val="1"/>
        </w:numPr>
      </w:pPr>
      <w:proofErr w:type="spellStart"/>
      <w:r>
        <w:t>Pg</w:t>
      </w:r>
      <w:proofErr w:type="spellEnd"/>
      <w:r>
        <w:t xml:space="preserve"> 22 Added “filing” per Charles Hansberry, LA</w:t>
      </w:r>
    </w:p>
    <w:p w:rsidR="00CF7EAC" w:rsidRDefault="00CF7EAC" w:rsidP="002D5744">
      <w:pPr>
        <w:pStyle w:val="ListParagraph"/>
        <w:numPr>
          <w:ilvl w:val="0"/>
          <w:numId w:val="1"/>
        </w:numPr>
      </w:pPr>
      <w:proofErr w:type="spellStart"/>
      <w:r>
        <w:t>Pg</w:t>
      </w:r>
      <w:proofErr w:type="spellEnd"/>
      <w:r>
        <w:t xml:space="preserve"> 22 Barbara Cox  confirmed it is standard practice to pre-pay claims</w:t>
      </w:r>
    </w:p>
    <w:p w:rsidR="00CF7EAC" w:rsidRDefault="00CF7EAC" w:rsidP="002D5744">
      <w:pPr>
        <w:pStyle w:val="ListParagraph"/>
        <w:numPr>
          <w:ilvl w:val="0"/>
          <w:numId w:val="1"/>
        </w:numPr>
      </w:pPr>
      <w:proofErr w:type="spellStart"/>
      <w:r>
        <w:t>Pg</w:t>
      </w:r>
      <w:proofErr w:type="spellEnd"/>
      <w:r>
        <w:t xml:space="preserve"> 23 </w:t>
      </w:r>
      <w:proofErr w:type="gramStart"/>
      <w:r>
        <w:t>The</w:t>
      </w:r>
      <w:proofErr w:type="gramEnd"/>
      <w:r>
        <w:t xml:space="preserve"> authors agreed to deleted the state regulations </w:t>
      </w:r>
      <w:r w:rsidR="00CF6EB3">
        <w:t xml:space="preserve">Appendix </w:t>
      </w:r>
      <w:r>
        <w:t>table C because a complete</w:t>
      </w:r>
      <w:r w:rsidR="00CF6EB3">
        <w:t>ly accurate</w:t>
      </w:r>
      <w:r>
        <w:t xml:space="preserve"> table could not be created from the </w:t>
      </w:r>
      <w:r w:rsidR="00CF6EB3">
        <w:t xml:space="preserve">state </w:t>
      </w:r>
      <w:r>
        <w:t xml:space="preserve">responses received. Wording will be added stating </w:t>
      </w:r>
      <w:r w:rsidR="00CF6EB3">
        <w:t>“</w:t>
      </w:r>
      <w:r>
        <w:t>Regulations are under review in several states. Readers should check with the state you are interested in to determine existing laws and pending legislation.</w:t>
      </w:r>
      <w:r w:rsidR="00CF6EB3">
        <w:t>”</w:t>
      </w:r>
    </w:p>
    <w:p w:rsidR="00CF7EAC" w:rsidRDefault="00526C1B" w:rsidP="002D5744">
      <w:pPr>
        <w:pStyle w:val="ListParagraph"/>
        <w:numPr>
          <w:ilvl w:val="0"/>
          <w:numId w:val="1"/>
        </w:numPr>
      </w:pPr>
      <w:r>
        <w:t>Page 32. Added “be” per NAPEO</w:t>
      </w:r>
    </w:p>
    <w:p w:rsidR="00526C1B" w:rsidRPr="00F82BBE" w:rsidRDefault="00526C1B" w:rsidP="000D4D54">
      <w:pPr>
        <w:pStyle w:val="CommentText"/>
        <w:ind w:left="180"/>
        <w:rPr>
          <w:sz w:val="22"/>
          <w:szCs w:val="22"/>
        </w:rPr>
      </w:pPr>
      <w:proofErr w:type="spellStart"/>
      <w:proofErr w:type="gramStart"/>
      <w:r w:rsidRPr="00526C1B">
        <w:rPr>
          <w:sz w:val="22"/>
          <w:szCs w:val="22"/>
        </w:rPr>
        <w:t>Pg</w:t>
      </w:r>
      <w:proofErr w:type="spellEnd"/>
      <w:r w:rsidRPr="00526C1B">
        <w:rPr>
          <w:sz w:val="22"/>
          <w:szCs w:val="22"/>
        </w:rPr>
        <w:t xml:space="preserve"> 33.</w:t>
      </w:r>
      <w:proofErr w:type="gramEnd"/>
      <w:r w:rsidRPr="00526C1B">
        <w:rPr>
          <w:sz w:val="22"/>
          <w:szCs w:val="22"/>
        </w:rPr>
        <w:t xml:space="preserve"> Some of the insurance underwriters have pointed out that this is true of any carrier that writes large deductible business, not just PEOs with large deductibles. Since this is in the PEO section, I think it should stay in “as is.”</w:t>
      </w:r>
      <w:r w:rsidR="00C61FE7">
        <w:rPr>
          <w:sz w:val="22"/>
          <w:szCs w:val="22"/>
        </w:rPr>
        <w:t xml:space="preserve"> </w:t>
      </w:r>
      <w:r>
        <w:rPr>
          <w:sz w:val="22"/>
          <w:szCs w:val="22"/>
        </w:rPr>
        <w:t xml:space="preserve">I left </w:t>
      </w:r>
      <w:r w:rsidR="00C61FE7">
        <w:rPr>
          <w:sz w:val="22"/>
          <w:szCs w:val="22"/>
        </w:rPr>
        <w:t xml:space="preserve">this section in </w:t>
      </w:r>
      <w:r>
        <w:rPr>
          <w:sz w:val="22"/>
          <w:szCs w:val="22"/>
        </w:rPr>
        <w:t>even though Robyn</w:t>
      </w:r>
      <w:r w:rsidR="00C61FE7">
        <w:rPr>
          <w:sz w:val="22"/>
          <w:szCs w:val="22"/>
        </w:rPr>
        <w:t xml:space="preserve"> Crosson</w:t>
      </w:r>
      <w:r>
        <w:rPr>
          <w:sz w:val="22"/>
          <w:szCs w:val="22"/>
        </w:rPr>
        <w:t xml:space="preserve"> objected saying this was true for all large insured</w:t>
      </w:r>
      <w:r w:rsidR="00C61FE7">
        <w:rPr>
          <w:sz w:val="22"/>
          <w:szCs w:val="22"/>
        </w:rPr>
        <w:t>s</w:t>
      </w:r>
      <w:r>
        <w:rPr>
          <w:sz w:val="22"/>
          <w:szCs w:val="22"/>
        </w:rPr>
        <w:t>. She said: “</w:t>
      </w:r>
      <w:r w:rsidRPr="00F82BBE">
        <w:rPr>
          <w:sz w:val="22"/>
          <w:szCs w:val="22"/>
        </w:rPr>
        <w:t>I really think this not unique.</w:t>
      </w:r>
      <w:r w:rsidR="00D9243D">
        <w:rPr>
          <w:sz w:val="22"/>
          <w:szCs w:val="22"/>
        </w:rPr>
        <w:t xml:space="preserve"> </w:t>
      </w:r>
      <w:r w:rsidRPr="00F82BBE">
        <w:rPr>
          <w:sz w:val="22"/>
          <w:szCs w:val="22"/>
        </w:rPr>
        <w:t xml:space="preserve"> Unless you want to say because of the number of co</w:t>
      </w:r>
      <w:r w:rsidR="00C61FE7">
        <w:rPr>
          <w:sz w:val="22"/>
          <w:szCs w:val="22"/>
        </w:rPr>
        <w:t>-</w:t>
      </w:r>
      <w:r w:rsidRPr="00F82BBE">
        <w:rPr>
          <w:sz w:val="22"/>
          <w:szCs w:val="22"/>
        </w:rPr>
        <w:t xml:space="preserve">employees or increased WC claims exposure.   Otherwise, it is the same in my mind.”  </w:t>
      </w:r>
    </w:p>
    <w:p w:rsidR="00526C1B" w:rsidRPr="00F82BBE" w:rsidRDefault="00526C1B" w:rsidP="00526C1B">
      <w:pPr>
        <w:pStyle w:val="CommentText"/>
        <w:ind w:left="180"/>
        <w:rPr>
          <w:sz w:val="22"/>
          <w:szCs w:val="22"/>
        </w:rPr>
      </w:pPr>
    </w:p>
    <w:p w:rsidR="00526C1B" w:rsidRPr="00F82BBE" w:rsidRDefault="00F82BBE" w:rsidP="002D5744">
      <w:pPr>
        <w:pStyle w:val="ListParagraph"/>
        <w:numPr>
          <w:ilvl w:val="0"/>
          <w:numId w:val="1"/>
        </w:numPr>
      </w:pPr>
      <w:proofErr w:type="spellStart"/>
      <w:r>
        <w:t>Pg</w:t>
      </w:r>
      <w:proofErr w:type="spellEnd"/>
      <w:r>
        <w:t xml:space="preserve"> 34. Added “</w:t>
      </w:r>
      <w:r w:rsidRPr="00F82BBE">
        <w:rPr>
          <w:rFonts w:cs="Arial"/>
        </w:rPr>
        <w:t>The NAIC/IAIABC Working Group is hopeful this paper improves the understanding of how large deductible policies are used throughout the US workers' compensation market. This effort enhanced communication among stakeholders which is the first step in addressing challenges that may arise”."</w:t>
      </w:r>
      <w:r w:rsidRPr="0012461A">
        <w:rPr>
          <w:rFonts w:ascii="Arial" w:hAnsi="Arial" w:cs="Arial"/>
          <w:sz w:val="24"/>
          <w:szCs w:val="24"/>
        </w:rPr>
        <w:t xml:space="preserve">    </w:t>
      </w:r>
      <w:r w:rsidRPr="00F82BBE">
        <w:rPr>
          <w:rFonts w:cs="Arial"/>
        </w:rPr>
        <w:t>Per Jennifer Horejsh</w:t>
      </w:r>
    </w:p>
    <w:p w:rsidR="00F82BBE" w:rsidRPr="00F82BBE" w:rsidRDefault="00F82BBE" w:rsidP="00F82BBE">
      <w:pPr>
        <w:pStyle w:val="ListParagraph"/>
        <w:ind w:left="540"/>
      </w:pPr>
    </w:p>
    <w:p w:rsidR="00F82BBE" w:rsidRPr="00F82BBE" w:rsidRDefault="00F82BBE" w:rsidP="002D5744">
      <w:pPr>
        <w:pStyle w:val="ListParagraph"/>
        <w:numPr>
          <w:ilvl w:val="0"/>
          <w:numId w:val="1"/>
        </w:numPr>
      </w:pPr>
      <w:proofErr w:type="spellStart"/>
      <w:r>
        <w:rPr>
          <w:rFonts w:cs="Arial"/>
        </w:rPr>
        <w:t>Pg</w:t>
      </w:r>
      <w:proofErr w:type="spellEnd"/>
      <w:r>
        <w:rPr>
          <w:rFonts w:cs="Arial"/>
        </w:rPr>
        <w:t xml:space="preserve"> 35. </w:t>
      </w:r>
      <w:r w:rsidR="00D9243D">
        <w:rPr>
          <w:rFonts w:cs="Arial"/>
        </w:rPr>
        <w:t>Appendix C -</w:t>
      </w:r>
      <w:r>
        <w:rPr>
          <w:rFonts w:cs="Arial"/>
        </w:rPr>
        <w:t>Deleted old appendix (C) and added new appendix (C)…WCIRB-CA Exhibits</w:t>
      </w:r>
    </w:p>
    <w:p w:rsidR="00F82BBE" w:rsidRDefault="00F82BBE" w:rsidP="00F82BBE">
      <w:pPr>
        <w:pStyle w:val="ListParagraph"/>
      </w:pPr>
    </w:p>
    <w:p w:rsidR="00F82BBE" w:rsidRPr="00F82BBE" w:rsidRDefault="00D9243D" w:rsidP="002D5744">
      <w:pPr>
        <w:pStyle w:val="ListParagraph"/>
        <w:numPr>
          <w:ilvl w:val="0"/>
          <w:numId w:val="1"/>
        </w:numPr>
      </w:pPr>
      <w:r>
        <w:t>Appendix I- We p</w:t>
      </w:r>
      <w:r w:rsidR="00F82BBE">
        <w:t xml:space="preserve">lan to modify Appendix I adding </w:t>
      </w:r>
      <w:r>
        <w:t xml:space="preserve">a section outlining </w:t>
      </w:r>
      <w:r w:rsidR="00F82BBE">
        <w:t xml:space="preserve">any </w:t>
      </w:r>
      <w:r>
        <w:t xml:space="preserve">proposed </w:t>
      </w:r>
      <w:r w:rsidR="00F82BBE">
        <w:t>changes</w:t>
      </w:r>
      <w:r>
        <w:t xml:space="preserve"> Illinois has for SB 1805.</w:t>
      </w:r>
    </w:p>
    <w:sectPr w:rsidR="00F82BBE" w:rsidRPr="00F82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3D" w:rsidRDefault="00D9243D" w:rsidP="00D9243D">
      <w:pPr>
        <w:spacing w:after="0" w:line="240" w:lineRule="auto"/>
      </w:pPr>
      <w:r>
        <w:separator/>
      </w:r>
    </w:p>
  </w:endnote>
  <w:endnote w:type="continuationSeparator" w:id="0">
    <w:p w:rsidR="00D9243D" w:rsidRDefault="00D9243D" w:rsidP="00D9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D" w:rsidRDefault="00D92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22650"/>
      <w:docPartObj>
        <w:docPartGallery w:val="Page Numbers (Bottom of Page)"/>
        <w:docPartUnique/>
      </w:docPartObj>
    </w:sdtPr>
    <w:sdtEndPr>
      <w:rPr>
        <w:noProof/>
      </w:rPr>
    </w:sdtEndPr>
    <w:sdtContent>
      <w:p w:rsidR="00D9243D" w:rsidRDefault="00D9243D">
        <w:pPr>
          <w:pStyle w:val="Footer"/>
          <w:jc w:val="center"/>
        </w:pPr>
        <w:r>
          <w:fldChar w:fldCharType="begin"/>
        </w:r>
        <w:r>
          <w:instrText xml:space="preserve"> PAGE   \* MERGEFORMAT </w:instrText>
        </w:r>
        <w:r>
          <w:fldChar w:fldCharType="separate"/>
        </w:r>
        <w:r w:rsidR="00E44B3D">
          <w:rPr>
            <w:noProof/>
          </w:rPr>
          <w:t>1</w:t>
        </w:r>
        <w:r>
          <w:rPr>
            <w:noProof/>
          </w:rPr>
          <w:fldChar w:fldCharType="end"/>
        </w:r>
      </w:p>
    </w:sdtContent>
  </w:sdt>
  <w:p w:rsidR="00D9243D" w:rsidRDefault="00D92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D" w:rsidRDefault="00D9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3D" w:rsidRDefault="00D9243D" w:rsidP="00D9243D">
      <w:pPr>
        <w:spacing w:after="0" w:line="240" w:lineRule="auto"/>
      </w:pPr>
      <w:r>
        <w:separator/>
      </w:r>
    </w:p>
  </w:footnote>
  <w:footnote w:type="continuationSeparator" w:id="0">
    <w:p w:rsidR="00D9243D" w:rsidRDefault="00D9243D" w:rsidP="00D9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D" w:rsidRDefault="00D92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D" w:rsidRPr="00D9243D" w:rsidRDefault="00D9243D">
    <w:pPr>
      <w:pStyle w:val="Header"/>
      <w:rPr>
        <w:b/>
        <w:sz w:val="28"/>
        <w:szCs w:val="28"/>
      </w:rPr>
    </w:pPr>
    <w:r w:rsidRPr="00D9243D">
      <w:rPr>
        <w:b/>
        <w:sz w:val="28"/>
        <w:szCs w:val="28"/>
      </w:rPr>
      <w:t xml:space="preserve">Changes Included in the Attached Draft IV of the Large Deductibles in Workers </w:t>
    </w:r>
    <w:r>
      <w:rPr>
        <w:b/>
        <w:sz w:val="28"/>
        <w:szCs w:val="28"/>
      </w:rPr>
      <w:t>C</w:t>
    </w:r>
    <w:r w:rsidRPr="00D9243D">
      <w:rPr>
        <w:b/>
        <w:sz w:val="28"/>
        <w:szCs w:val="28"/>
      </w:rPr>
      <w:t>ompensation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3D" w:rsidRDefault="00D9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2A56"/>
    <w:multiLevelType w:val="hybridMultilevel"/>
    <w:tmpl w:val="1C7ACF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44"/>
    <w:rsid w:val="000501A1"/>
    <w:rsid w:val="000D4D54"/>
    <w:rsid w:val="00126B73"/>
    <w:rsid w:val="00275160"/>
    <w:rsid w:val="002B5BF6"/>
    <w:rsid w:val="002D5744"/>
    <w:rsid w:val="003D4C6E"/>
    <w:rsid w:val="0045244C"/>
    <w:rsid w:val="00526C1B"/>
    <w:rsid w:val="005D6F02"/>
    <w:rsid w:val="008A1385"/>
    <w:rsid w:val="009556D6"/>
    <w:rsid w:val="009773BB"/>
    <w:rsid w:val="00C321D1"/>
    <w:rsid w:val="00C61FE7"/>
    <w:rsid w:val="00CB3928"/>
    <w:rsid w:val="00CF6EB3"/>
    <w:rsid w:val="00CF7EAC"/>
    <w:rsid w:val="00D9243D"/>
    <w:rsid w:val="00DE4F28"/>
    <w:rsid w:val="00E44B3D"/>
    <w:rsid w:val="00F8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44"/>
    <w:pPr>
      <w:ind w:left="720"/>
      <w:contextualSpacing/>
    </w:pPr>
  </w:style>
  <w:style w:type="character" w:styleId="CommentReference">
    <w:name w:val="annotation reference"/>
    <w:basedOn w:val="DefaultParagraphFont"/>
    <w:uiPriority w:val="99"/>
    <w:semiHidden/>
    <w:unhideWhenUsed/>
    <w:rsid w:val="002D5744"/>
    <w:rPr>
      <w:sz w:val="16"/>
      <w:szCs w:val="16"/>
    </w:rPr>
  </w:style>
  <w:style w:type="paragraph" w:styleId="CommentText">
    <w:name w:val="annotation text"/>
    <w:basedOn w:val="Normal"/>
    <w:link w:val="CommentTextChar"/>
    <w:uiPriority w:val="99"/>
    <w:semiHidden/>
    <w:unhideWhenUsed/>
    <w:rsid w:val="002D57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5744"/>
    <w:rPr>
      <w:sz w:val="20"/>
      <w:szCs w:val="20"/>
    </w:rPr>
  </w:style>
  <w:style w:type="paragraph" w:styleId="BalloonText">
    <w:name w:val="Balloon Text"/>
    <w:basedOn w:val="Normal"/>
    <w:link w:val="BalloonTextChar"/>
    <w:uiPriority w:val="99"/>
    <w:semiHidden/>
    <w:unhideWhenUsed/>
    <w:rsid w:val="002D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44"/>
    <w:rPr>
      <w:rFonts w:ascii="Tahoma" w:hAnsi="Tahoma" w:cs="Tahoma"/>
      <w:sz w:val="16"/>
      <w:szCs w:val="16"/>
    </w:rPr>
  </w:style>
  <w:style w:type="paragraph" w:styleId="Header">
    <w:name w:val="header"/>
    <w:basedOn w:val="Normal"/>
    <w:link w:val="HeaderChar"/>
    <w:uiPriority w:val="99"/>
    <w:unhideWhenUsed/>
    <w:rsid w:val="00D9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43D"/>
  </w:style>
  <w:style w:type="paragraph" w:styleId="Footer">
    <w:name w:val="footer"/>
    <w:basedOn w:val="Normal"/>
    <w:link w:val="FooterChar"/>
    <w:uiPriority w:val="99"/>
    <w:unhideWhenUsed/>
    <w:rsid w:val="00D9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3D"/>
  </w:style>
  <w:style w:type="table" w:styleId="TableGrid">
    <w:name w:val="Table Grid"/>
    <w:basedOn w:val="TableNormal"/>
    <w:uiPriority w:val="59"/>
    <w:rsid w:val="005D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44"/>
    <w:pPr>
      <w:ind w:left="720"/>
      <w:contextualSpacing/>
    </w:pPr>
  </w:style>
  <w:style w:type="character" w:styleId="CommentReference">
    <w:name w:val="annotation reference"/>
    <w:basedOn w:val="DefaultParagraphFont"/>
    <w:uiPriority w:val="99"/>
    <w:semiHidden/>
    <w:unhideWhenUsed/>
    <w:rsid w:val="002D5744"/>
    <w:rPr>
      <w:sz w:val="16"/>
      <w:szCs w:val="16"/>
    </w:rPr>
  </w:style>
  <w:style w:type="paragraph" w:styleId="CommentText">
    <w:name w:val="annotation text"/>
    <w:basedOn w:val="Normal"/>
    <w:link w:val="CommentTextChar"/>
    <w:uiPriority w:val="99"/>
    <w:semiHidden/>
    <w:unhideWhenUsed/>
    <w:rsid w:val="002D57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5744"/>
    <w:rPr>
      <w:sz w:val="20"/>
      <w:szCs w:val="20"/>
    </w:rPr>
  </w:style>
  <w:style w:type="paragraph" w:styleId="BalloonText">
    <w:name w:val="Balloon Text"/>
    <w:basedOn w:val="Normal"/>
    <w:link w:val="BalloonTextChar"/>
    <w:uiPriority w:val="99"/>
    <w:semiHidden/>
    <w:unhideWhenUsed/>
    <w:rsid w:val="002D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44"/>
    <w:rPr>
      <w:rFonts w:ascii="Tahoma" w:hAnsi="Tahoma" w:cs="Tahoma"/>
      <w:sz w:val="16"/>
      <w:szCs w:val="16"/>
    </w:rPr>
  </w:style>
  <w:style w:type="paragraph" w:styleId="Header">
    <w:name w:val="header"/>
    <w:basedOn w:val="Normal"/>
    <w:link w:val="HeaderChar"/>
    <w:uiPriority w:val="99"/>
    <w:unhideWhenUsed/>
    <w:rsid w:val="00D9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43D"/>
  </w:style>
  <w:style w:type="paragraph" w:styleId="Footer">
    <w:name w:val="footer"/>
    <w:basedOn w:val="Normal"/>
    <w:link w:val="FooterChar"/>
    <w:uiPriority w:val="99"/>
    <w:unhideWhenUsed/>
    <w:rsid w:val="00D9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3D"/>
  </w:style>
  <w:style w:type="table" w:styleId="TableGrid">
    <w:name w:val="Table Grid"/>
    <w:basedOn w:val="TableNormal"/>
    <w:uiPriority w:val="59"/>
    <w:rsid w:val="005D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Keleher, David</dc:creator>
  <cp:lastModifiedBy>Keleher, David</cp:lastModifiedBy>
  <cp:revision>10</cp:revision>
  <dcterms:created xsi:type="dcterms:W3CDTF">2016-06-10T14:08:00Z</dcterms:created>
  <dcterms:modified xsi:type="dcterms:W3CDTF">2016-06-21T19:52:00Z</dcterms:modified>
</cp:coreProperties>
</file>