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F02F" w14:textId="4B88C15B" w:rsidR="00511998" w:rsidRDefault="2AF18D94" w:rsidP="7D95DB54">
      <w:r>
        <w:rPr>
          <w:noProof/>
        </w:rPr>
        <w:drawing>
          <wp:inline distT="0" distB="0" distL="0" distR="0" wp14:anchorId="56652176" wp14:editId="6176F85B">
            <wp:extent cx="3124200" cy="371475"/>
            <wp:effectExtent l="0" t="0" r="0" b="0"/>
            <wp:docPr id="1593161535" name="Picture 1498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124200" cy="371475"/>
                    </a:xfrm>
                    <a:prstGeom prst="rect">
                      <a:avLst/>
                    </a:prstGeom>
                  </pic:spPr>
                </pic:pic>
              </a:graphicData>
            </a:graphic>
          </wp:inline>
        </w:drawing>
      </w:r>
    </w:p>
    <w:p w14:paraId="05DE6E04" w14:textId="77777777" w:rsidR="005B0BFE" w:rsidRDefault="005B0BFE" w:rsidP="00646036"/>
    <w:p w14:paraId="4DD10E81" w14:textId="01163B8C" w:rsidR="005B0BFE" w:rsidRDefault="005B0BFE" w:rsidP="00866BE6"/>
    <w:p w14:paraId="1F114BA4" w14:textId="77777777" w:rsidR="00B462DC" w:rsidRDefault="00B462DC" w:rsidP="00866BE6"/>
    <w:p w14:paraId="0F0DF58E" w14:textId="77777777" w:rsidR="00866BE6" w:rsidRDefault="00866BE6" w:rsidP="00866BE6">
      <w:pPr>
        <w:rPr>
          <w:lang w:val="en"/>
        </w:rPr>
      </w:pPr>
      <w:bookmarkStart w:id="0" w:name="_ca4pkc5gxvnw"/>
      <w:bookmarkEnd w:id="0"/>
    </w:p>
    <w:p w14:paraId="6FF7FB85" w14:textId="77777777" w:rsidR="00866BE6" w:rsidRDefault="00866BE6" w:rsidP="00866BE6">
      <w:pPr>
        <w:rPr>
          <w:lang w:val="en"/>
        </w:rPr>
      </w:pPr>
    </w:p>
    <w:p w14:paraId="1B4076B8" w14:textId="77777777" w:rsidR="00866BE6" w:rsidRDefault="00866BE6" w:rsidP="00866BE6">
      <w:pPr>
        <w:rPr>
          <w:lang w:val="en"/>
        </w:rPr>
      </w:pPr>
    </w:p>
    <w:p w14:paraId="52015A2F" w14:textId="177915A7" w:rsidR="00B462DC" w:rsidRPr="00866BE6" w:rsidRDefault="005B0BFE" w:rsidP="00866BE6">
      <w:pPr>
        <w:rPr>
          <w:b/>
          <w:bCs/>
          <w:sz w:val="48"/>
          <w:szCs w:val="48"/>
          <w:lang w:val="en"/>
        </w:rPr>
      </w:pPr>
      <w:r w:rsidRPr="00866BE6">
        <w:rPr>
          <w:b/>
          <w:bCs/>
          <w:sz w:val="48"/>
          <w:szCs w:val="48"/>
          <w:lang w:val="en"/>
        </w:rPr>
        <w:t xml:space="preserve">State Options for Reducing Health Insurance Costs </w:t>
      </w:r>
    </w:p>
    <w:p w14:paraId="6EB4ECD1" w14:textId="77777777" w:rsidR="00B462DC" w:rsidRPr="00B462DC" w:rsidRDefault="00B462DC" w:rsidP="00866BE6">
      <w:pPr>
        <w:rPr>
          <w:lang w:val="en"/>
        </w:rPr>
      </w:pPr>
    </w:p>
    <w:p w14:paraId="587E5A26" w14:textId="77777777" w:rsidR="00866BE6" w:rsidRDefault="00866BE6" w:rsidP="00866BE6">
      <w:pPr>
        <w:rPr>
          <w:sz w:val="36"/>
          <w:szCs w:val="36"/>
          <w:lang w:val="en"/>
        </w:rPr>
      </w:pPr>
    </w:p>
    <w:p w14:paraId="1D0C307E" w14:textId="4904CECD" w:rsidR="005B0BFE" w:rsidRPr="00866BE6" w:rsidRDefault="005B0BFE" w:rsidP="00866BE6">
      <w:pPr>
        <w:rPr>
          <w:sz w:val="36"/>
          <w:szCs w:val="36"/>
          <w:lang w:val="en"/>
        </w:rPr>
      </w:pPr>
      <w:r w:rsidRPr="00866BE6">
        <w:rPr>
          <w:sz w:val="36"/>
          <w:szCs w:val="36"/>
          <w:lang w:val="en"/>
        </w:rPr>
        <w:t>NAIC Health Care Affordability and Mitigation (B) Working Group</w:t>
      </w:r>
    </w:p>
    <w:p w14:paraId="2D2E6302" w14:textId="77777777" w:rsidR="009C1C23" w:rsidRDefault="009C1C23" w:rsidP="00646036">
      <w:pPr>
        <w:rPr>
          <w:lang w:val="en"/>
        </w:rPr>
      </w:pPr>
    </w:p>
    <w:p w14:paraId="43A97A2E" w14:textId="77777777" w:rsidR="005B0BFE" w:rsidRPr="005B0BFE" w:rsidRDefault="005B0BFE" w:rsidP="00646036">
      <w:pPr>
        <w:rPr>
          <w:lang w:val="en"/>
        </w:rPr>
      </w:pPr>
    </w:p>
    <w:p w14:paraId="57C11857" w14:textId="77777777" w:rsidR="005B0BFE" w:rsidRPr="005B0BFE" w:rsidRDefault="005B0BFE" w:rsidP="00646036">
      <w:pPr>
        <w:rPr>
          <w:lang w:val="en"/>
        </w:rPr>
        <w:sectPr w:rsidR="005B0BFE" w:rsidRPr="005B0BFE" w:rsidSect="005B0BFE">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docGrid w:linePitch="299"/>
        </w:sectPr>
      </w:pPr>
    </w:p>
    <w:p w14:paraId="01C48F80" w14:textId="77777777" w:rsidR="005B0BFE" w:rsidRDefault="005B0BFE" w:rsidP="00646036"/>
    <w:p w14:paraId="1AB38BFB" w14:textId="77777777" w:rsidR="005C58EE" w:rsidRDefault="005C58EE" w:rsidP="00646036"/>
    <w:sdt>
      <w:sdtPr>
        <w:rPr>
          <w:rFonts w:eastAsiaTheme="minorEastAsia" w:cstheme="minorBidi"/>
          <w:sz w:val="20"/>
          <w:szCs w:val="20"/>
        </w:rPr>
        <w:id w:val="91746029"/>
        <w:docPartObj>
          <w:docPartGallery w:val="Table of Contents"/>
          <w:docPartUnique/>
        </w:docPartObj>
      </w:sdtPr>
      <w:sdtContent>
        <w:p w14:paraId="192BD0DA" w14:textId="4F441A8F" w:rsidR="00C81281" w:rsidRPr="005674D6" w:rsidRDefault="00C81281" w:rsidP="00646036">
          <w:pPr>
            <w:pStyle w:val="TOCHeading"/>
          </w:pPr>
          <w:r w:rsidRPr="005674D6">
            <w:rPr>
              <w:rStyle w:val="Heading1Char"/>
            </w:rPr>
            <w:t>Contents</w:t>
          </w:r>
        </w:p>
        <w:p w14:paraId="70C2707F" w14:textId="1811740F" w:rsidR="004634F8" w:rsidRDefault="00C81281">
          <w:pPr>
            <w:pStyle w:val="TOC1"/>
            <w:tabs>
              <w:tab w:val="right" w:leader="dot" w:pos="10070"/>
            </w:tabs>
            <w:rPr>
              <w:rFonts w:eastAsiaTheme="minorEastAsia" w:cstheme="minorBidi"/>
              <w:b w:val="0"/>
              <w:noProof/>
              <w:color w:val="auto"/>
              <w:kern w:val="2"/>
              <w:sz w:val="24"/>
              <w:szCs w:val="24"/>
              <w14:ligatures w14:val="standardContextual"/>
            </w:rPr>
          </w:pPr>
          <w:r w:rsidRPr="005674D6">
            <w:rPr>
              <w:b w:val="0"/>
            </w:rPr>
            <w:fldChar w:fldCharType="begin"/>
          </w:r>
          <w:r w:rsidRPr="005674D6">
            <w:rPr>
              <w:b w:val="0"/>
            </w:rPr>
            <w:instrText xml:space="preserve"> TOC \o "1-3" \h \z \u </w:instrText>
          </w:r>
          <w:r w:rsidRPr="005674D6">
            <w:rPr>
              <w:b w:val="0"/>
            </w:rPr>
            <w:fldChar w:fldCharType="separate"/>
          </w:r>
          <w:hyperlink w:anchor="_Toc243048299" w:history="1">
            <w:r w:rsidR="004634F8" w:rsidRPr="00BD4E6F">
              <w:rPr>
                <w:rStyle w:val="Hyperlink"/>
                <w:noProof/>
              </w:rPr>
              <w:t>Introduction</w:t>
            </w:r>
            <w:r w:rsidR="004634F8">
              <w:rPr>
                <w:noProof/>
                <w:webHidden/>
              </w:rPr>
              <w:tab/>
            </w:r>
            <w:r w:rsidR="004634F8">
              <w:rPr>
                <w:noProof/>
                <w:webHidden/>
              </w:rPr>
              <w:fldChar w:fldCharType="begin"/>
            </w:r>
            <w:r w:rsidR="004634F8">
              <w:rPr>
                <w:noProof/>
                <w:webHidden/>
              </w:rPr>
              <w:instrText xml:space="preserve"> PAGEREF _Toc243048299 \h </w:instrText>
            </w:r>
            <w:r w:rsidR="004634F8">
              <w:rPr>
                <w:noProof/>
                <w:webHidden/>
              </w:rPr>
            </w:r>
            <w:r w:rsidR="004634F8">
              <w:rPr>
                <w:noProof/>
                <w:webHidden/>
              </w:rPr>
              <w:fldChar w:fldCharType="separate"/>
            </w:r>
            <w:r w:rsidR="004634F8">
              <w:rPr>
                <w:noProof/>
                <w:webHidden/>
              </w:rPr>
              <w:t>3</w:t>
            </w:r>
            <w:r w:rsidR="004634F8">
              <w:rPr>
                <w:noProof/>
                <w:webHidden/>
              </w:rPr>
              <w:fldChar w:fldCharType="end"/>
            </w:r>
          </w:hyperlink>
        </w:p>
        <w:p w14:paraId="6E62B890" w14:textId="7FFE646F" w:rsidR="004634F8" w:rsidRDefault="004634F8">
          <w:pPr>
            <w:pStyle w:val="TOC1"/>
            <w:tabs>
              <w:tab w:val="right" w:leader="dot" w:pos="10070"/>
            </w:tabs>
            <w:rPr>
              <w:rFonts w:eastAsiaTheme="minorEastAsia" w:cstheme="minorBidi"/>
              <w:b w:val="0"/>
              <w:noProof/>
              <w:color w:val="auto"/>
              <w:kern w:val="2"/>
              <w:sz w:val="24"/>
              <w:szCs w:val="24"/>
              <w14:ligatures w14:val="standardContextual"/>
            </w:rPr>
          </w:pPr>
          <w:hyperlink w:anchor="_Toc243048300" w:history="1">
            <w:r w:rsidRPr="00BD4E6F">
              <w:rPr>
                <w:rStyle w:val="Hyperlink"/>
                <w:noProof/>
                <w:lang w:val="en"/>
              </w:rPr>
              <w:t xml:space="preserve">Section 1: Standardizing or Limiting Utilization Review to Reduce </w:t>
            </w:r>
            <w:r w:rsidRPr="00BD4E6F">
              <w:rPr>
                <w:rStyle w:val="Hyperlink"/>
                <w:noProof/>
              </w:rPr>
              <w:t>Administrative</w:t>
            </w:r>
            <w:r w:rsidRPr="00BD4E6F">
              <w:rPr>
                <w:rStyle w:val="Hyperlink"/>
                <w:noProof/>
                <w:lang w:val="en"/>
              </w:rPr>
              <w:t xml:space="preserve"> Costs</w:t>
            </w:r>
            <w:r>
              <w:rPr>
                <w:noProof/>
                <w:webHidden/>
              </w:rPr>
              <w:tab/>
            </w:r>
            <w:r>
              <w:rPr>
                <w:noProof/>
                <w:webHidden/>
              </w:rPr>
              <w:fldChar w:fldCharType="begin"/>
            </w:r>
            <w:r>
              <w:rPr>
                <w:noProof/>
                <w:webHidden/>
              </w:rPr>
              <w:instrText xml:space="preserve"> PAGEREF _Toc243048300 \h </w:instrText>
            </w:r>
            <w:r>
              <w:rPr>
                <w:noProof/>
                <w:webHidden/>
              </w:rPr>
            </w:r>
            <w:r>
              <w:rPr>
                <w:noProof/>
                <w:webHidden/>
              </w:rPr>
              <w:fldChar w:fldCharType="separate"/>
            </w:r>
            <w:r>
              <w:rPr>
                <w:noProof/>
                <w:webHidden/>
              </w:rPr>
              <w:t>4</w:t>
            </w:r>
            <w:r>
              <w:rPr>
                <w:noProof/>
                <w:webHidden/>
              </w:rPr>
              <w:fldChar w:fldCharType="end"/>
            </w:r>
          </w:hyperlink>
        </w:p>
        <w:p w14:paraId="5C4F530A" w14:textId="439E8084" w:rsidR="004634F8" w:rsidRDefault="004634F8">
          <w:pPr>
            <w:pStyle w:val="TOC1"/>
            <w:tabs>
              <w:tab w:val="right" w:leader="dot" w:pos="10070"/>
            </w:tabs>
            <w:rPr>
              <w:rFonts w:eastAsiaTheme="minorEastAsia" w:cstheme="minorBidi"/>
              <w:b w:val="0"/>
              <w:noProof/>
              <w:color w:val="auto"/>
              <w:kern w:val="2"/>
              <w:sz w:val="24"/>
              <w:szCs w:val="24"/>
              <w14:ligatures w14:val="standardContextual"/>
            </w:rPr>
          </w:pPr>
          <w:hyperlink w:anchor="_Toc243048301" w:history="1">
            <w:r w:rsidRPr="00BD4E6F">
              <w:rPr>
                <w:rStyle w:val="Hyperlink"/>
                <w:noProof/>
              </w:rPr>
              <w:t>Section 2: Horizontal and Vertical Integration in Health Care</w:t>
            </w:r>
            <w:r>
              <w:rPr>
                <w:noProof/>
                <w:webHidden/>
              </w:rPr>
              <w:tab/>
            </w:r>
            <w:r>
              <w:rPr>
                <w:noProof/>
                <w:webHidden/>
              </w:rPr>
              <w:fldChar w:fldCharType="begin"/>
            </w:r>
            <w:r>
              <w:rPr>
                <w:noProof/>
                <w:webHidden/>
              </w:rPr>
              <w:instrText xml:space="preserve"> PAGEREF _Toc243048301 \h </w:instrText>
            </w:r>
            <w:r>
              <w:rPr>
                <w:noProof/>
                <w:webHidden/>
              </w:rPr>
            </w:r>
            <w:r>
              <w:rPr>
                <w:noProof/>
                <w:webHidden/>
              </w:rPr>
              <w:fldChar w:fldCharType="separate"/>
            </w:r>
            <w:r>
              <w:rPr>
                <w:noProof/>
                <w:webHidden/>
              </w:rPr>
              <w:t>17</w:t>
            </w:r>
            <w:r>
              <w:rPr>
                <w:noProof/>
                <w:webHidden/>
              </w:rPr>
              <w:fldChar w:fldCharType="end"/>
            </w:r>
          </w:hyperlink>
        </w:p>
        <w:p w14:paraId="6A3181AB" w14:textId="6B1D4C0F" w:rsidR="004634F8" w:rsidRDefault="004634F8">
          <w:pPr>
            <w:pStyle w:val="TOC1"/>
            <w:tabs>
              <w:tab w:val="right" w:leader="dot" w:pos="10070"/>
            </w:tabs>
            <w:rPr>
              <w:rFonts w:eastAsiaTheme="minorEastAsia" w:cstheme="minorBidi"/>
              <w:b w:val="0"/>
              <w:noProof/>
              <w:color w:val="auto"/>
              <w:kern w:val="2"/>
              <w:sz w:val="24"/>
              <w:szCs w:val="24"/>
              <w14:ligatures w14:val="standardContextual"/>
            </w:rPr>
          </w:pPr>
          <w:hyperlink w:anchor="_Toc243048302" w:history="1">
            <w:r w:rsidRPr="00BD4E6F">
              <w:rPr>
                <w:rStyle w:val="Hyperlink"/>
                <w:noProof/>
              </w:rPr>
              <w:t>Section 3: Develop State-defined Plans with Premium Reduction Targets</w:t>
            </w:r>
            <w:r>
              <w:rPr>
                <w:noProof/>
                <w:webHidden/>
              </w:rPr>
              <w:tab/>
            </w:r>
            <w:r>
              <w:rPr>
                <w:noProof/>
                <w:webHidden/>
              </w:rPr>
              <w:fldChar w:fldCharType="begin"/>
            </w:r>
            <w:r>
              <w:rPr>
                <w:noProof/>
                <w:webHidden/>
              </w:rPr>
              <w:instrText xml:space="preserve"> PAGEREF _Toc243048302 \h </w:instrText>
            </w:r>
            <w:r>
              <w:rPr>
                <w:noProof/>
                <w:webHidden/>
              </w:rPr>
            </w:r>
            <w:r>
              <w:rPr>
                <w:noProof/>
                <w:webHidden/>
              </w:rPr>
              <w:fldChar w:fldCharType="separate"/>
            </w:r>
            <w:r>
              <w:rPr>
                <w:noProof/>
                <w:webHidden/>
              </w:rPr>
              <w:t>23</w:t>
            </w:r>
            <w:r>
              <w:rPr>
                <w:noProof/>
                <w:webHidden/>
              </w:rPr>
              <w:fldChar w:fldCharType="end"/>
            </w:r>
          </w:hyperlink>
        </w:p>
        <w:p w14:paraId="08487190" w14:textId="22854313" w:rsidR="004634F8" w:rsidRDefault="004634F8">
          <w:pPr>
            <w:pStyle w:val="TOC1"/>
            <w:tabs>
              <w:tab w:val="right" w:leader="dot" w:pos="10070"/>
            </w:tabs>
            <w:rPr>
              <w:rFonts w:eastAsiaTheme="minorEastAsia" w:cstheme="minorBidi"/>
              <w:b w:val="0"/>
              <w:noProof/>
              <w:color w:val="auto"/>
              <w:kern w:val="2"/>
              <w:sz w:val="24"/>
              <w:szCs w:val="24"/>
              <w14:ligatures w14:val="standardContextual"/>
            </w:rPr>
          </w:pPr>
          <w:hyperlink w:anchor="_Toc243048303" w:history="1">
            <w:r w:rsidRPr="00BD4E6F">
              <w:rPr>
                <w:rStyle w:val="Hyperlink"/>
                <w:noProof/>
              </w:rPr>
              <w:t>Section 4: Reference-Based Pricing</w:t>
            </w:r>
            <w:r>
              <w:rPr>
                <w:noProof/>
                <w:webHidden/>
              </w:rPr>
              <w:tab/>
            </w:r>
            <w:r>
              <w:rPr>
                <w:noProof/>
                <w:webHidden/>
              </w:rPr>
              <w:fldChar w:fldCharType="begin"/>
            </w:r>
            <w:r>
              <w:rPr>
                <w:noProof/>
                <w:webHidden/>
              </w:rPr>
              <w:instrText xml:space="preserve"> PAGEREF _Toc243048303 \h </w:instrText>
            </w:r>
            <w:r>
              <w:rPr>
                <w:noProof/>
                <w:webHidden/>
              </w:rPr>
            </w:r>
            <w:r>
              <w:rPr>
                <w:noProof/>
                <w:webHidden/>
              </w:rPr>
              <w:fldChar w:fldCharType="separate"/>
            </w:r>
            <w:r>
              <w:rPr>
                <w:noProof/>
                <w:webHidden/>
              </w:rPr>
              <w:t>30</w:t>
            </w:r>
            <w:r>
              <w:rPr>
                <w:noProof/>
                <w:webHidden/>
              </w:rPr>
              <w:fldChar w:fldCharType="end"/>
            </w:r>
          </w:hyperlink>
        </w:p>
        <w:p w14:paraId="5E395F20" w14:textId="3B2E548E" w:rsidR="004634F8" w:rsidRDefault="004634F8">
          <w:pPr>
            <w:pStyle w:val="TOC1"/>
            <w:tabs>
              <w:tab w:val="right" w:leader="dot" w:pos="10070"/>
            </w:tabs>
            <w:rPr>
              <w:rFonts w:eastAsiaTheme="minorEastAsia" w:cstheme="minorBidi"/>
              <w:b w:val="0"/>
              <w:noProof/>
              <w:color w:val="auto"/>
              <w:kern w:val="2"/>
              <w:sz w:val="24"/>
              <w:szCs w:val="24"/>
              <w14:ligatures w14:val="standardContextual"/>
            </w:rPr>
          </w:pPr>
          <w:hyperlink w:anchor="_Toc243048304" w:history="1">
            <w:r w:rsidRPr="00BD4E6F">
              <w:rPr>
                <w:rStyle w:val="Hyperlink"/>
                <w:noProof/>
              </w:rPr>
              <w:t>Section 5: Enhanced Health Care Price Transparency</w:t>
            </w:r>
            <w:r>
              <w:rPr>
                <w:noProof/>
                <w:webHidden/>
              </w:rPr>
              <w:tab/>
            </w:r>
            <w:r>
              <w:rPr>
                <w:noProof/>
                <w:webHidden/>
              </w:rPr>
              <w:fldChar w:fldCharType="begin"/>
            </w:r>
            <w:r>
              <w:rPr>
                <w:noProof/>
                <w:webHidden/>
              </w:rPr>
              <w:instrText xml:space="preserve"> PAGEREF _Toc243048304 \h </w:instrText>
            </w:r>
            <w:r>
              <w:rPr>
                <w:noProof/>
                <w:webHidden/>
              </w:rPr>
            </w:r>
            <w:r>
              <w:rPr>
                <w:noProof/>
                <w:webHidden/>
              </w:rPr>
              <w:fldChar w:fldCharType="separate"/>
            </w:r>
            <w:r>
              <w:rPr>
                <w:noProof/>
                <w:webHidden/>
              </w:rPr>
              <w:t>43</w:t>
            </w:r>
            <w:r>
              <w:rPr>
                <w:noProof/>
                <w:webHidden/>
              </w:rPr>
              <w:fldChar w:fldCharType="end"/>
            </w:r>
          </w:hyperlink>
        </w:p>
        <w:p w14:paraId="5A034935" w14:textId="5C887264" w:rsidR="004634F8" w:rsidRDefault="004634F8">
          <w:pPr>
            <w:pStyle w:val="TOC1"/>
            <w:tabs>
              <w:tab w:val="right" w:leader="dot" w:pos="10070"/>
            </w:tabs>
            <w:rPr>
              <w:rFonts w:eastAsiaTheme="minorEastAsia" w:cstheme="minorBidi"/>
              <w:b w:val="0"/>
              <w:noProof/>
              <w:color w:val="auto"/>
              <w:kern w:val="2"/>
              <w:sz w:val="24"/>
              <w:szCs w:val="24"/>
              <w14:ligatures w14:val="standardContextual"/>
            </w:rPr>
          </w:pPr>
          <w:hyperlink w:anchor="_Toc243048305" w:history="1">
            <w:r w:rsidRPr="00BD4E6F">
              <w:rPr>
                <w:rStyle w:val="Hyperlink"/>
                <w:noProof/>
              </w:rPr>
              <w:t>Section 6: Direct-to-Consumer Drug Platforms</w:t>
            </w:r>
            <w:r>
              <w:rPr>
                <w:noProof/>
                <w:webHidden/>
              </w:rPr>
              <w:tab/>
            </w:r>
            <w:r>
              <w:rPr>
                <w:noProof/>
                <w:webHidden/>
              </w:rPr>
              <w:fldChar w:fldCharType="begin"/>
            </w:r>
            <w:r>
              <w:rPr>
                <w:noProof/>
                <w:webHidden/>
              </w:rPr>
              <w:instrText xml:space="preserve"> PAGEREF _Toc243048305 \h </w:instrText>
            </w:r>
            <w:r>
              <w:rPr>
                <w:noProof/>
                <w:webHidden/>
              </w:rPr>
            </w:r>
            <w:r>
              <w:rPr>
                <w:noProof/>
                <w:webHidden/>
              </w:rPr>
              <w:fldChar w:fldCharType="separate"/>
            </w:r>
            <w:r>
              <w:rPr>
                <w:noProof/>
                <w:webHidden/>
              </w:rPr>
              <w:t>53</w:t>
            </w:r>
            <w:r>
              <w:rPr>
                <w:noProof/>
                <w:webHidden/>
              </w:rPr>
              <w:fldChar w:fldCharType="end"/>
            </w:r>
          </w:hyperlink>
        </w:p>
        <w:p w14:paraId="40F8042D" w14:textId="4B1C5663" w:rsidR="00C81281" w:rsidRPr="005674D6" w:rsidRDefault="00C81281" w:rsidP="00646036">
          <w:r w:rsidRPr="005674D6">
            <w:rPr>
              <w:noProof/>
            </w:rPr>
            <w:fldChar w:fldCharType="end"/>
          </w:r>
        </w:p>
      </w:sdtContent>
    </w:sdt>
    <w:p w14:paraId="0C779B42" w14:textId="77777777" w:rsidR="00B534E7" w:rsidRPr="005674D6" w:rsidRDefault="00B534E7" w:rsidP="00646036">
      <w:pPr>
        <w:rPr>
          <w:rFonts w:eastAsiaTheme="majorEastAsia" w:cs="Arial"/>
          <w:sz w:val="36"/>
          <w:szCs w:val="32"/>
        </w:rPr>
      </w:pPr>
      <w:r w:rsidRPr="005674D6">
        <w:br w:type="page"/>
      </w:r>
    </w:p>
    <w:p w14:paraId="4930743B" w14:textId="0AB2E7E9" w:rsidR="00175AE2" w:rsidRPr="00CF155D" w:rsidRDefault="00175AE2" w:rsidP="00CF155D">
      <w:pPr>
        <w:pStyle w:val="Heading1"/>
      </w:pPr>
      <w:bookmarkStart w:id="1" w:name="_Toc243048299"/>
      <w:r w:rsidRPr="00CF155D">
        <w:lastRenderedPageBreak/>
        <w:t>Introduction</w:t>
      </w:r>
      <w:bookmarkEnd w:id="1"/>
    </w:p>
    <w:p w14:paraId="4FB056D5" w14:textId="7BAE543B" w:rsidR="00175AE2" w:rsidRPr="005674D6" w:rsidRDefault="73A5BCA0" w:rsidP="00646036">
      <w:r>
        <w:t xml:space="preserve">The briefs included in </w:t>
      </w:r>
      <w:r w:rsidRPr="7D95DB54">
        <w:rPr>
          <w:i/>
          <w:iCs/>
        </w:rPr>
        <w:t>State Options for Reducing Health Insurance Costs</w:t>
      </w:r>
      <w:r>
        <w:t xml:space="preserve"> </w:t>
      </w:r>
      <w:r w:rsidR="0133EE1C">
        <w:t xml:space="preserve">are intended to be short, informative briefings for regulators and policymakers on efforts states have undertaken in recent years to help make health insurance more affordable. They are intended to be high-level and </w:t>
      </w:r>
      <w:r w:rsidR="0FF41191">
        <w:t xml:space="preserve">are </w:t>
      </w:r>
      <w:r w:rsidR="0133EE1C">
        <w:t xml:space="preserve">not an exhaustive resource on each issue. They also do not represent policy positions of the NAIC, a given state, author, or </w:t>
      </w:r>
      <w:r w:rsidR="00A22609">
        <w:t xml:space="preserve">Working Group </w:t>
      </w:r>
      <w:r w:rsidR="0133EE1C">
        <w:t>member. </w:t>
      </w:r>
    </w:p>
    <w:p w14:paraId="3B0004F1" w14:textId="77777777" w:rsidR="00175AE2" w:rsidRPr="005674D6" w:rsidRDefault="00175AE2" w:rsidP="00646036"/>
    <w:p w14:paraId="1367A483" w14:textId="28D47124" w:rsidR="00C81281" w:rsidRPr="005674D6" w:rsidRDefault="73A5BCA0" w:rsidP="7D95DB54">
      <w:pPr>
        <w:sectPr w:rsidR="00C81281" w:rsidRPr="005674D6" w:rsidSect="00943041">
          <w:headerReference w:type="default" r:id="rId12"/>
          <w:footerReference w:type="default" r:id="rId13"/>
          <w:headerReference w:type="first" r:id="rId14"/>
          <w:footerReference w:type="first" r:id="rId15"/>
          <w:pgSz w:w="12240" w:h="15840" w:code="1"/>
          <w:pgMar w:top="1080" w:right="1080" w:bottom="1080" w:left="1080" w:header="720" w:footer="720" w:gutter="0"/>
          <w:cols w:space="708"/>
          <w:docGrid w:linePitch="360"/>
        </w:sectPr>
      </w:pPr>
      <w:r>
        <w:t xml:space="preserve">These briefs </w:t>
      </w:r>
      <w:r w:rsidR="0133EE1C">
        <w:t xml:space="preserve">intend to provide state policymakers with information on approaches </w:t>
      </w:r>
      <w:r w:rsidR="54EAF76D">
        <w:t>designed</w:t>
      </w:r>
      <w:r w:rsidR="0133EE1C">
        <w:t xml:space="preserve"> to improve the affordability of health insurance and the health care services consumers pay for using insurance. The authors adopt a broad definition of affordability that seeks to consider total system costs. We recognize that improving affordability for one set of market participants, such as health</w:t>
      </w:r>
      <w:r w:rsidR="00A22609">
        <w:t>y</w:t>
      </w:r>
      <w:r w:rsidR="0133EE1C">
        <w:t xml:space="preserve"> consumers, could shift costs to other participants. Our goal is to evaluate policy changes by how they affect total cost and we have tried to indicate where policies may instead shift costs to plan enrollees. Our primary perspective for viewing affordability is that of consumers; we seek to assess potential policy changes that may reduce or limit increases in consumer premiums as well as deductibles and other cost-sharing. However, we recognize that reducing or leveling out consumer costs can have additional market effects. Affordability efforts can affect administrative burden, market competition, and access to health care services if they change incentives for insurers, providers, and other market participants. Secondary to our focus on consumer costs, we aim to identify how the policy ideas under discussion may improve or worsen competitive challenges or build barriers elsewhere in the health care system. </w:t>
      </w:r>
    </w:p>
    <w:p w14:paraId="48F8EB92" w14:textId="5EC9284D" w:rsidR="00943041" w:rsidRPr="005674D6" w:rsidRDefault="00B22548" w:rsidP="00DF770B">
      <w:pPr>
        <w:pStyle w:val="Heading1"/>
        <w:rPr>
          <w:rFonts w:ascii="AvenirNext LT Pro Regular" w:hAnsi="AvenirNext LT Pro Regular"/>
          <w:color w:val="auto"/>
          <w:lang w:val="en"/>
        </w:rPr>
      </w:pPr>
      <w:bookmarkStart w:id="2" w:name="_Toc243048300"/>
      <w:r>
        <w:rPr>
          <w:lang w:val="en"/>
        </w:rPr>
        <w:lastRenderedPageBreak/>
        <w:t xml:space="preserve">Section 1: </w:t>
      </w:r>
      <w:r w:rsidR="2F13FEEE" w:rsidRPr="7D95DB54">
        <w:rPr>
          <w:lang w:val="en"/>
        </w:rPr>
        <w:t xml:space="preserve">Standardizing or Limiting Utilization Review to Reduce </w:t>
      </w:r>
      <w:r w:rsidR="2F13FEEE" w:rsidRPr="00DF770B">
        <w:t>Administrative</w:t>
      </w:r>
      <w:r w:rsidR="2F13FEEE" w:rsidRPr="7D95DB54">
        <w:rPr>
          <w:lang w:val="en"/>
        </w:rPr>
        <w:t xml:space="preserve"> Costs</w:t>
      </w:r>
      <w:bookmarkEnd w:id="2"/>
    </w:p>
    <w:p w14:paraId="6A788838" w14:textId="77777777" w:rsidR="00415A7E" w:rsidRPr="005674D6" w:rsidRDefault="00415A7E" w:rsidP="00C94932">
      <w:pPr>
        <w:pStyle w:val="NonTOCHeading"/>
        <w:rPr>
          <w:bCs/>
        </w:rPr>
      </w:pPr>
      <w:r w:rsidRPr="005674D6">
        <w:t>Contributors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2"/>
        <w:gridCol w:w="4365"/>
        <w:gridCol w:w="3393"/>
      </w:tblGrid>
      <w:tr w:rsidR="00D90538" w:rsidRPr="005674D6" w14:paraId="51179229" w14:textId="77777777" w:rsidTr="7D95DB54">
        <w:trPr>
          <w:trHeight w:val="450"/>
        </w:trPr>
        <w:tc>
          <w:tcPr>
            <w:tcW w:w="1152"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3413A1BE" w14:textId="77777777" w:rsidR="00D90538" w:rsidRPr="005674D6" w:rsidRDefault="140FA777" w:rsidP="7D95DB54">
            <w:pPr>
              <w:rPr>
                <w:b/>
                <w:bCs/>
              </w:rPr>
            </w:pPr>
            <w:r w:rsidRPr="7D95DB54">
              <w:rPr>
                <w:b/>
                <w:bCs/>
              </w:rPr>
              <w:t>Contributors </w:t>
            </w:r>
          </w:p>
        </w:tc>
        <w:tc>
          <w:tcPr>
            <w:tcW w:w="2165"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7030BFAD" w14:textId="77777777" w:rsidR="00D90538" w:rsidRPr="005674D6" w:rsidRDefault="140FA777" w:rsidP="7D95DB54">
            <w:pPr>
              <w:rPr>
                <w:b/>
                <w:bCs/>
              </w:rPr>
            </w:pPr>
            <w:r w:rsidRPr="7D95DB54">
              <w:rPr>
                <w:b/>
                <w:bCs/>
              </w:rPr>
              <w:t>Titles of Contributors </w:t>
            </w:r>
          </w:p>
        </w:tc>
        <w:tc>
          <w:tcPr>
            <w:tcW w:w="1683"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19363EE5" w14:textId="77777777" w:rsidR="00D90538" w:rsidRPr="005674D6" w:rsidRDefault="140FA777" w:rsidP="7D95DB54">
            <w:pPr>
              <w:rPr>
                <w:b/>
                <w:bCs/>
              </w:rPr>
            </w:pPr>
            <w:r w:rsidRPr="7D95DB54">
              <w:rPr>
                <w:b/>
                <w:bCs/>
              </w:rPr>
              <w:t>States of Contributors </w:t>
            </w:r>
          </w:p>
        </w:tc>
      </w:tr>
      <w:tr w:rsidR="00D90538" w:rsidRPr="005674D6" w14:paraId="1ABC9265"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104F06DD" w14:textId="77777777" w:rsidR="00D90538" w:rsidRPr="005674D6" w:rsidRDefault="140FA777" w:rsidP="7D95DB54">
            <w:r>
              <w:t>Sarah Bailey</w:t>
            </w:r>
          </w:p>
        </w:tc>
        <w:tc>
          <w:tcPr>
            <w:tcW w:w="2165" w:type="pct"/>
            <w:tcBorders>
              <w:top w:val="single" w:sz="6" w:space="0" w:color="000000" w:themeColor="text1"/>
              <w:left w:val="nil"/>
              <w:bottom w:val="single" w:sz="6" w:space="0" w:color="000000" w:themeColor="text1"/>
              <w:right w:val="nil"/>
            </w:tcBorders>
            <w:vAlign w:val="center"/>
          </w:tcPr>
          <w:p w14:paraId="68B8DD37" w14:textId="46115BB8" w:rsidR="00D90538" w:rsidRPr="005674D6" w:rsidRDefault="140FA777" w:rsidP="7D95DB54">
            <w:r>
              <w:t xml:space="preserve">Life and Health Supervisor </w:t>
            </w:r>
          </w:p>
        </w:tc>
        <w:tc>
          <w:tcPr>
            <w:tcW w:w="1683" w:type="pct"/>
            <w:tcBorders>
              <w:top w:val="single" w:sz="6" w:space="0" w:color="000000" w:themeColor="text1"/>
              <w:left w:val="nil"/>
              <w:bottom w:val="single" w:sz="6" w:space="0" w:color="000000" w:themeColor="text1"/>
              <w:right w:val="nil"/>
            </w:tcBorders>
            <w:vAlign w:val="center"/>
          </w:tcPr>
          <w:p w14:paraId="2D290BF5" w14:textId="2BBE18A4" w:rsidR="00D90538" w:rsidRPr="005674D6" w:rsidRDefault="140FA777" w:rsidP="7D95DB54">
            <w:r>
              <w:t>Alaska</w:t>
            </w:r>
          </w:p>
        </w:tc>
      </w:tr>
      <w:tr w:rsidR="00D90538" w:rsidRPr="005674D6" w14:paraId="31161998"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4F48DEBE" w14:textId="77777777" w:rsidR="00D90538" w:rsidRPr="005674D6" w:rsidRDefault="140FA777" w:rsidP="7D95DB54">
            <w:r>
              <w:t>Kevin Beagan</w:t>
            </w:r>
          </w:p>
        </w:tc>
        <w:tc>
          <w:tcPr>
            <w:tcW w:w="2165" w:type="pct"/>
            <w:tcBorders>
              <w:top w:val="single" w:sz="6" w:space="0" w:color="000000" w:themeColor="text1"/>
              <w:left w:val="nil"/>
              <w:bottom w:val="single" w:sz="6" w:space="0" w:color="000000" w:themeColor="text1"/>
              <w:right w:val="nil"/>
            </w:tcBorders>
            <w:vAlign w:val="center"/>
          </w:tcPr>
          <w:p w14:paraId="4B6771B6" w14:textId="6FD674A7" w:rsidR="00D90538" w:rsidRPr="005674D6" w:rsidRDefault="140FA777" w:rsidP="7D95DB54">
            <w:r>
              <w:t>Deputy Commissioner, Health Care Access Bureau</w:t>
            </w:r>
          </w:p>
        </w:tc>
        <w:tc>
          <w:tcPr>
            <w:tcW w:w="1683" w:type="pct"/>
            <w:tcBorders>
              <w:top w:val="single" w:sz="6" w:space="0" w:color="000000" w:themeColor="text1"/>
              <w:left w:val="nil"/>
              <w:bottom w:val="single" w:sz="6" w:space="0" w:color="000000" w:themeColor="text1"/>
              <w:right w:val="nil"/>
            </w:tcBorders>
            <w:vAlign w:val="center"/>
          </w:tcPr>
          <w:p w14:paraId="51F4A2CB" w14:textId="39612734" w:rsidR="00D90538" w:rsidRPr="005674D6" w:rsidRDefault="140FA777" w:rsidP="7D95DB54">
            <w:r>
              <w:t>Massachusetts</w:t>
            </w:r>
          </w:p>
        </w:tc>
      </w:tr>
      <w:tr w:rsidR="00D90538" w:rsidRPr="005674D6" w14:paraId="6B17F189"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37E09983" w14:textId="77777777" w:rsidR="00D90538" w:rsidRPr="005674D6" w:rsidRDefault="140FA777" w:rsidP="7D95DB54">
            <w:r>
              <w:t>Cara Libman</w:t>
            </w:r>
          </w:p>
        </w:tc>
        <w:tc>
          <w:tcPr>
            <w:tcW w:w="2165" w:type="pct"/>
            <w:tcBorders>
              <w:top w:val="single" w:sz="6" w:space="0" w:color="000000" w:themeColor="text1"/>
              <w:left w:val="nil"/>
              <w:bottom w:val="single" w:sz="6" w:space="0" w:color="000000" w:themeColor="text1"/>
              <w:right w:val="nil"/>
            </w:tcBorders>
            <w:vAlign w:val="center"/>
          </w:tcPr>
          <w:p w14:paraId="1D11F950" w14:textId="04BFD00B" w:rsidR="00D90538" w:rsidRPr="005674D6" w:rsidRDefault="140FA777" w:rsidP="7D95DB54">
            <w:r>
              <w:t>Senior Regulatory Counsel to the Commissioner</w:t>
            </w:r>
          </w:p>
        </w:tc>
        <w:tc>
          <w:tcPr>
            <w:tcW w:w="1683" w:type="pct"/>
            <w:tcBorders>
              <w:top w:val="single" w:sz="6" w:space="0" w:color="000000" w:themeColor="text1"/>
              <w:left w:val="nil"/>
              <w:bottom w:val="single" w:sz="6" w:space="0" w:color="000000" w:themeColor="text1"/>
              <w:right w:val="nil"/>
            </w:tcBorders>
            <w:vAlign w:val="center"/>
          </w:tcPr>
          <w:p w14:paraId="7C08725A" w14:textId="3D4E5E48" w:rsidR="00D90538" w:rsidRPr="005674D6" w:rsidRDefault="140FA777" w:rsidP="7D95DB54">
            <w:r>
              <w:t>Massachusett</w:t>
            </w:r>
            <w:r w:rsidR="66E6E290">
              <w:t>s</w:t>
            </w:r>
          </w:p>
        </w:tc>
      </w:tr>
      <w:tr w:rsidR="00D90538" w:rsidRPr="005674D6" w14:paraId="5ECE04C9"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109A04F1" w14:textId="77777777" w:rsidR="00D90538" w:rsidRPr="005674D6" w:rsidRDefault="140FA777" w:rsidP="7D95DB54">
            <w:r>
              <w:t>Melissa Panettiere</w:t>
            </w:r>
          </w:p>
        </w:tc>
        <w:tc>
          <w:tcPr>
            <w:tcW w:w="2165" w:type="pct"/>
            <w:tcBorders>
              <w:top w:val="single" w:sz="6" w:space="0" w:color="000000" w:themeColor="text1"/>
              <w:left w:val="nil"/>
              <w:bottom w:val="single" w:sz="6" w:space="0" w:color="000000" w:themeColor="text1"/>
              <w:right w:val="nil"/>
            </w:tcBorders>
            <w:vAlign w:val="center"/>
          </w:tcPr>
          <w:p w14:paraId="743834A5" w14:textId="10CEAE5D" w:rsidR="00D90538" w:rsidRPr="005674D6" w:rsidRDefault="140FA777" w:rsidP="7D95DB54">
            <w:r>
              <w:t>Health Policy Advisor</w:t>
            </w:r>
          </w:p>
        </w:tc>
        <w:tc>
          <w:tcPr>
            <w:tcW w:w="1683" w:type="pct"/>
            <w:tcBorders>
              <w:top w:val="single" w:sz="6" w:space="0" w:color="000000" w:themeColor="text1"/>
              <w:left w:val="nil"/>
              <w:bottom w:val="single" w:sz="6" w:space="0" w:color="000000" w:themeColor="text1"/>
              <w:right w:val="nil"/>
            </w:tcBorders>
            <w:vAlign w:val="center"/>
          </w:tcPr>
          <w:p w14:paraId="1907E44C" w14:textId="0FE7E05C" w:rsidR="00D90538" w:rsidRPr="005674D6" w:rsidRDefault="140FA777" w:rsidP="7D95DB54">
            <w:r>
              <w:t>Missouri</w:t>
            </w:r>
          </w:p>
        </w:tc>
      </w:tr>
      <w:tr w:rsidR="00D90538" w:rsidRPr="005674D6" w14:paraId="502C525F"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209A704F" w14:textId="77777777" w:rsidR="00D90538" w:rsidRPr="005674D6" w:rsidRDefault="140FA777" w:rsidP="7D95DB54">
            <w:r>
              <w:t>Jill Kruger</w:t>
            </w:r>
          </w:p>
        </w:tc>
        <w:tc>
          <w:tcPr>
            <w:tcW w:w="2165" w:type="pct"/>
            <w:tcBorders>
              <w:top w:val="single" w:sz="6" w:space="0" w:color="000000" w:themeColor="text1"/>
              <w:left w:val="nil"/>
              <w:bottom w:val="single" w:sz="6" w:space="0" w:color="000000" w:themeColor="text1"/>
              <w:right w:val="nil"/>
            </w:tcBorders>
            <w:vAlign w:val="center"/>
          </w:tcPr>
          <w:p w14:paraId="463D7894" w14:textId="7341BF7D" w:rsidR="00D90538" w:rsidRPr="005674D6" w:rsidRDefault="140FA777" w:rsidP="7D95DB54">
            <w:r>
              <w:t>Deputy Director of Insurance</w:t>
            </w:r>
          </w:p>
        </w:tc>
        <w:tc>
          <w:tcPr>
            <w:tcW w:w="1683" w:type="pct"/>
            <w:tcBorders>
              <w:top w:val="single" w:sz="6" w:space="0" w:color="000000" w:themeColor="text1"/>
              <w:left w:val="nil"/>
              <w:bottom w:val="single" w:sz="6" w:space="0" w:color="000000" w:themeColor="text1"/>
              <w:right w:val="nil"/>
            </w:tcBorders>
            <w:vAlign w:val="center"/>
          </w:tcPr>
          <w:p w14:paraId="3A9A6548" w14:textId="2098BDCE" w:rsidR="00D90538" w:rsidRPr="005674D6" w:rsidRDefault="140FA777" w:rsidP="7D95DB54">
            <w:r>
              <w:t>South Dakota</w:t>
            </w:r>
          </w:p>
        </w:tc>
      </w:tr>
      <w:tr w:rsidR="00D90538" w:rsidRPr="005674D6" w14:paraId="0DDB3FBF"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4F60F0D6" w14:textId="77777777" w:rsidR="00D90538" w:rsidRPr="005674D6" w:rsidRDefault="140FA777" w:rsidP="7D95DB54">
            <w:r>
              <w:t>Lisa Harmon</w:t>
            </w:r>
          </w:p>
        </w:tc>
        <w:tc>
          <w:tcPr>
            <w:tcW w:w="2165" w:type="pct"/>
            <w:tcBorders>
              <w:top w:val="single" w:sz="6" w:space="0" w:color="000000" w:themeColor="text1"/>
              <w:left w:val="nil"/>
              <w:bottom w:val="single" w:sz="6" w:space="0" w:color="000000" w:themeColor="text1"/>
              <w:right w:val="nil"/>
            </w:tcBorders>
            <w:vAlign w:val="center"/>
          </w:tcPr>
          <w:p w14:paraId="1830257D" w14:textId="5DBAAA41" w:rsidR="00D90538" w:rsidRPr="005674D6" w:rsidRDefault="140FA777" w:rsidP="7D95DB54">
            <w:r>
              <w:t>Legal Counsel</w:t>
            </w:r>
          </w:p>
        </w:tc>
        <w:tc>
          <w:tcPr>
            <w:tcW w:w="1683" w:type="pct"/>
            <w:tcBorders>
              <w:top w:val="single" w:sz="6" w:space="0" w:color="000000" w:themeColor="text1"/>
              <w:left w:val="nil"/>
              <w:bottom w:val="single" w:sz="6" w:space="0" w:color="000000" w:themeColor="text1"/>
              <w:right w:val="nil"/>
            </w:tcBorders>
            <w:vAlign w:val="center"/>
          </w:tcPr>
          <w:p w14:paraId="4328C35B" w14:textId="12534866" w:rsidR="00D90538" w:rsidRPr="005674D6" w:rsidRDefault="140FA777" w:rsidP="7D95DB54">
            <w:r>
              <w:t>South Dakota</w:t>
            </w:r>
          </w:p>
        </w:tc>
      </w:tr>
      <w:tr w:rsidR="00D90538" w:rsidRPr="005674D6" w14:paraId="1BE53B41"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2F293304" w14:textId="77777777" w:rsidR="00D90538" w:rsidRPr="005674D6" w:rsidRDefault="140FA777" w:rsidP="7D95DB54">
            <w:r>
              <w:t>Coral Manning</w:t>
            </w:r>
          </w:p>
        </w:tc>
        <w:tc>
          <w:tcPr>
            <w:tcW w:w="2165" w:type="pct"/>
            <w:tcBorders>
              <w:top w:val="single" w:sz="6" w:space="0" w:color="000000" w:themeColor="text1"/>
              <w:left w:val="nil"/>
              <w:bottom w:val="single" w:sz="6" w:space="0" w:color="000000" w:themeColor="text1"/>
              <w:right w:val="nil"/>
            </w:tcBorders>
            <w:vAlign w:val="center"/>
          </w:tcPr>
          <w:p w14:paraId="6C63488C" w14:textId="3BE94A68" w:rsidR="00D90538" w:rsidRPr="005674D6" w:rsidRDefault="140FA777" w:rsidP="7D95DB54">
            <w:r>
              <w:t xml:space="preserve">Policy Initiatives Advisor </w:t>
            </w:r>
          </w:p>
        </w:tc>
        <w:tc>
          <w:tcPr>
            <w:tcW w:w="1683" w:type="pct"/>
            <w:tcBorders>
              <w:top w:val="single" w:sz="6" w:space="0" w:color="000000" w:themeColor="text1"/>
              <w:left w:val="nil"/>
              <w:bottom w:val="single" w:sz="6" w:space="0" w:color="000000" w:themeColor="text1"/>
              <w:right w:val="nil"/>
            </w:tcBorders>
            <w:vAlign w:val="center"/>
          </w:tcPr>
          <w:p w14:paraId="37E30936" w14:textId="77777777" w:rsidR="00D90538" w:rsidRPr="005674D6" w:rsidRDefault="140FA777" w:rsidP="7D95DB54">
            <w:r>
              <w:t>Wisconsin</w:t>
            </w:r>
          </w:p>
        </w:tc>
      </w:tr>
    </w:tbl>
    <w:p w14:paraId="2A4673AA" w14:textId="77777777" w:rsidR="00415A7E" w:rsidRPr="005674D6" w:rsidRDefault="00415A7E" w:rsidP="00646036"/>
    <w:p w14:paraId="6BCFFD26" w14:textId="77777777" w:rsidR="00415A7E" w:rsidRPr="005674D6" w:rsidRDefault="00415A7E" w:rsidP="008B0A5B">
      <w:pPr>
        <w:pStyle w:val="NonTOCHeading"/>
        <w:rPr>
          <w:bCs/>
        </w:rPr>
      </w:pPr>
      <w:r w:rsidRPr="005674D6">
        <w:t>Connection to Affordability</w:t>
      </w:r>
    </w:p>
    <w:p w14:paraId="252F8415" w14:textId="4D713CB4" w:rsidR="00415A7E" w:rsidRPr="005674D6" w:rsidRDefault="00415A7E" w:rsidP="008B0A5B">
      <w:bookmarkStart w:id="3" w:name="_e457rtwe7pjb"/>
      <w:bookmarkEnd w:id="3"/>
      <w:r w:rsidRPr="005674D6">
        <w:t>Prior authorization that is not grounded in evidence-based clinical standards or that introduces avoidable administrative delays can contribute to challenges for consumers. Restricting or delaying access to medically necessary care can cause an exacerbation of health conditions or cause consumers to forgo treatment, leading to more costly intervention later. Also, when costs increase for providers because of unnecessary administrative burdens due to prior authorization, those costs are passed on to consumers.</w:t>
      </w:r>
      <w:r w:rsidRPr="005674D6">
        <w:br/>
      </w:r>
    </w:p>
    <w:p w14:paraId="2AEAD50C" w14:textId="77777777" w:rsidR="00415A7E" w:rsidRPr="005674D6" w:rsidRDefault="00415A7E" w:rsidP="008B0A5B">
      <w:pPr>
        <w:pStyle w:val="NonTOCHeading"/>
        <w:rPr>
          <w:bCs/>
        </w:rPr>
      </w:pPr>
      <w:r w:rsidRPr="005674D6">
        <w:t>Introduction</w:t>
      </w:r>
    </w:p>
    <w:p w14:paraId="0DFC08C6" w14:textId="77777777" w:rsidR="00415A7E" w:rsidRPr="005674D6" w:rsidRDefault="00415A7E" w:rsidP="00646036">
      <w:r w:rsidRPr="005674D6">
        <w:t>Utilization review, particularly the use of prior authorization, has become a major focus of health care affordability efforts across the United States. Prior authorization is a mechanism used to check that a service, treatment, or medication is covered by the health plan and is appropriate, medically necessary, safe, and cost effective. It is intended to ensure safety (e.g., prevent negative drug interactions), reduce utilization of medically unnecessary or ineffective treatments or services, and contain health care costs. Prior authorization is used for a broad range of services, treatments, and medications. By formalizing in advance, in writing, the insurer’s commitment to covering a health care service, prior authorization can achieve a balance between costs and benefits for both insurance carriers and their members. It can also provide needed assurance for consumers and providers prior to the provision of services. While prior authorization can benefit insurance carriers, providers, and consumers, the process has been criticized for burdening providers and delaying care for consumers.</w:t>
      </w:r>
      <w:r w:rsidRPr="005674D6">
        <w:rPr>
          <w:vertAlign w:val="superscript"/>
        </w:rPr>
        <w:t xml:space="preserve"> </w:t>
      </w:r>
    </w:p>
    <w:p w14:paraId="18E95E7C" w14:textId="77777777" w:rsidR="00415A7E" w:rsidRPr="005674D6" w:rsidRDefault="00415A7E" w:rsidP="00646036"/>
    <w:p w14:paraId="4BDA8A9F" w14:textId="47D3D98B" w:rsidR="00415A7E" w:rsidRPr="005674D6" w:rsidRDefault="7E6F830E" w:rsidP="00646036">
      <w:r w:rsidRPr="005674D6">
        <w:t xml:space="preserve">This Health Care Affordability and Mitigation Working Group brief examines how states are responding to these concerns by adopting policies that simplify prior authorization processes while maintaining appropriate oversight of health care services. The brief identifies three primary policy approaches: adopting electronic prior authorization and interoperability systems, limiting the use of prior authorization for certain services, and standardizing prior authorization forms and information requirements. This brief is intended to build upon the </w:t>
      </w:r>
      <w:r w:rsidRPr="005674D6">
        <w:lastRenderedPageBreak/>
        <w:t>information provided in the</w:t>
      </w:r>
      <w:r w:rsidRPr="52B404F0">
        <w:rPr>
          <w:i/>
          <w:iCs/>
        </w:rPr>
        <w:t xml:space="preserve"> Prior Authorization White Paper</w:t>
      </w:r>
      <w:r w:rsidRPr="005674D6">
        <w:t xml:space="preserve"> adopted by the Health Insurance and Managed Care (B) Committee (Dec. 11, 2025).</w:t>
      </w:r>
      <w:r w:rsidR="00415A7E" w:rsidRPr="005674D6">
        <w:rPr>
          <w:rStyle w:val="FootnoteReference"/>
          <w:rFonts w:ascii="Trebuchet MS" w:hAnsi="Trebuchet MS"/>
        </w:rPr>
        <w:footnoteReference w:id="2"/>
      </w:r>
      <w:r w:rsidRPr="005674D6">
        <w:t xml:space="preserve"> </w:t>
      </w:r>
    </w:p>
    <w:p w14:paraId="1A04CBDB" w14:textId="77777777" w:rsidR="00415A7E" w:rsidRPr="005674D6" w:rsidRDefault="00415A7E" w:rsidP="00646036"/>
    <w:p w14:paraId="450D5F15" w14:textId="7E060E76" w:rsidR="00415A7E" w:rsidRPr="005674D6" w:rsidRDefault="2ABA1D62" w:rsidP="00646036">
      <w:r>
        <w:t xml:space="preserve">The first policy trend involves implementing electronic prior authorization (ePA) systems and improving interoperability between providers and insurance carriers. Recent federal regulations require certain insurance carriers to adopt application programming interfaces (APIs) and corresponding interoperability standards for prior authorization, </w:t>
      </w:r>
      <w:r w:rsidR="67A75E6D">
        <w:t>enabling insurer</w:t>
      </w:r>
      <w:r>
        <w:t xml:space="preserve"> and electronic health record systems to integrate with provider workflows and streamline data sharing. Several states, including Colorado, Kansas, Massachusetts, Michigan, Minnesota, Missouri, and Washington</w:t>
      </w:r>
      <w:r w:rsidR="39ADA014">
        <w:t>,</w:t>
      </w:r>
      <w:r>
        <w:t xml:space="preserve"> have adopted requirements that insurance carriers establish ePA systems consistent with federal interoperability standards. </w:t>
      </w:r>
    </w:p>
    <w:p w14:paraId="2D059042" w14:textId="77777777" w:rsidR="00415A7E" w:rsidRPr="005674D6" w:rsidRDefault="00415A7E" w:rsidP="00646036"/>
    <w:p w14:paraId="497BEF78" w14:textId="77777777" w:rsidR="00415A7E" w:rsidRPr="005674D6" w:rsidRDefault="00415A7E" w:rsidP="00646036">
      <w:r w:rsidRPr="005674D6">
        <w:t>Beginning in 2027, federal rules require certain insurance carriers to implement the prior authorization application programming interfaces (APIs) to enable providers to determine whether prior authorization is required, electronically submit requests, exchange clinical information, and receive decisions more quickly. The Center for Medicare &amp; Medicaid Services (CMS) has included ePA measures for providers in both the clinician Merit Based Incentive Payment System (MIPS) and hospital Promoting Interoperability Programs. The proposals in the CY2027 Physician Fee Schedule Proposed Rule and those finalized in the FY2027 Inpatient Prospective Payment System Final Rule show a slight trend towards CMS strengthening ePA measures with providers over time (i.e., optional to mandatory). States have stepped in and are actively including providers within ePA regulations. By automating these processes, ePA reduces administrative workload, minimizes delays in patient care, and improves communication throughout the health care system, if all parties use the capabilities.</w:t>
      </w:r>
    </w:p>
    <w:p w14:paraId="329EB0FA" w14:textId="77777777" w:rsidR="00415A7E" w:rsidRPr="005674D6" w:rsidRDefault="00415A7E" w:rsidP="00646036"/>
    <w:p w14:paraId="0CF82D42" w14:textId="1BC326CA" w:rsidR="00415A7E" w:rsidRPr="005674D6" w:rsidRDefault="00415A7E" w:rsidP="00646036">
      <w:r w:rsidRPr="005674D6">
        <w:t xml:space="preserve">The potential benefits of these reforms may extend beyond administrative efficiency. According to the </w:t>
      </w:r>
      <w:r w:rsidR="00C85B35">
        <w:t xml:space="preserve">2023 </w:t>
      </w:r>
      <w:r w:rsidRPr="005674D6">
        <w:t>CAQH Index, the U.S. health care industry could realize approximately $494 million in annual savings if prior authorization became fully electronic. Although premium reductions are expected to be modest, policymakers anticipate significant indirect benefits through lower administrative expenses, faster access to medically necessary treatment, improved provider workflow, and a better patient experience. Electronic systems also improve consistency and transparency by providing standardized requirements and faster communication between insurance carriers and providers.</w:t>
      </w:r>
    </w:p>
    <w:p w14:paraId="27ECE690" w14:textId="77777777" w:rsidR="00415A7E" w:rsidRPr="005674D6" w:rsidRDefault="00415A7E" w:rsidP="00646036"/>
    <w:p w14:paraId="4655F4E2" w14:textId="0D8AD494" w:rsidR="00415A7E" w:rsidRPr="005674D6" w:rsidRDefault="7E6F830E" w:rsidP="00646036">
      <w:r w:rsidRPr="005674D6">
        <w:t>The second policy trend limits or prohibits prior authorization requirements for selected medical services, medications, and treatments. Some states have exempted emergency services, preventive care, behavioral health treatment, medication-assisted treatment for substance use disorders, cancer-related services, maternity care, rehabilitation therapies, and other services from prior authorization requirements. However, it is important to note prior authorization can support patient safety by helping ensure that care decisions are based on clinical evidence and tailored to individual needs. Examples may include overuse of opioids, antipsychotic medications in children, and high-risk medications for elderly patients. Additionally, prior authorization can help ensure that patients get care that is aligned with the latest evidence. For example, one study suggests that nearly 4 in 10 patients do not receive care that meets the latest medical evidence, which can negatively impact outcomes and may endanger patient safety.</w:t>
      </w:r>
      <w:r w:rsidR="00415A7E" w:rsidRPr="005674D6">
        <w:rPr>
          <w:rStyle w:val="FootnoteReference"/>
          <w:rFonts w:ascii="Trebuchet MS" w:hAnsi="Trebuchet MS"/>
        </w:rPr>
        <w:footnoteReference w:id="3"/>
      </w:r>
      <w:r w:rsidRPr="005674D6">
        <w:rPr>
          <w:vertAlign w:val="superscript"/>
        </w:rPr>
        <w:t xml:space="preserve"> </w:t>
      </w:r>
      <w:r w:rsidRPr="005674D6">
        <w:t>Several states also require insurance carriers to annually review their prior authorization requirements and eliminate those that are routinely approved or no longer improve quality or reduce costs. These reforms are intended to reduce unnecessary delays in treatment while improving patients' access to medically necessary care.</w:t>
      </w:r>
    </w:p>
    <w:p w14:paraId="6AA06262" w14:textId="77777777" w:rsidR="00415A7E" w:rsidRPr="005674D6" w:rsidRDefault="00415A7E" w:rsidP="00646036"/>
    <w:p w14:paraId="25EB331A" w14:textId="7FE3329F" w:rsidR="00415A7E" w:rsidRPr="005674D6" w:rsidRDefault="7E6F830E" w:rsidP="00646036">
      <w:r>
        <w:t xml:space="preserve">The third policy trend focuses on reducing administrative complexity by standardizing prior authorization forms and required information. Historically, providers have had to complete different forms for each insurance carrier, creating inefficiencies and increasing administrative costs. To address this issue, many states now require insurance carriers to use uniform prior authorization forms that are typically limited to two pages and include standardized information fields. States such as Arizona, Colorado, Massachusetts, Nebraska, New Hampshire, Oregon, Texas, and Washington have adopted standardized forms that providers can submit </w:t>
      </w:r>
      <w:r>
        <w:lastRenderedPageBreak/>
        <w:t>electronically or on paper. Greater standardization of the clinical data requested for prior authorization can improve consistency and clarity in the criteria and data elements while reducing variability.</w:t>
      </w:r>
    </w:p>
    <w:p w14:paraId="4B143CB1" w14:textId="77777777" w:rsidR="00415A7E" w:rsidRPr="005674D6" w:rsidRDefault="00415A7E" w:rsidP="00646036"/>
    <w:p w14:paraId="626940BE" w14:textId="79D1DDF1" w:rsidR="00415A7E" w:rsidRPr="005674D6" w:rsidRDefault="7E6F830E" w:rsidP="00646036">
      <w:r>
        <w:t>Overall, the policy trends outlined in the brief reflect states’ efforts to modernize utilization review while preserving its role in promoting appropriate health care utilization. Rather than eliminating prior authorization entirely, states are focusing on expanding ePA systems, narrowing its use to certain services, and adopting standardized forms. A balanced approach to prior authorization reform can seek to reduce administrative burden and improve timelines while maintaining appropriate clinical safeguards that protect patients, promote high-quality care, and support responsible stewardship of health care resources. </w:t>
      </w:r>
    </w:p>
    <w:p w14:paraId="7AE5AF2F" w14:textId="77777777" w:rsidR="00415A7E" w:rsidRPr="005674D6" w:rsidRDefault="00415A7E" w:rsidP="00646036"/>
    <w:p w14:paraId="587E8912" w14:textId="77777777" w:rsidR="00415A7E" w:rsidRPr="005674D6" w:rsidRDefault="00415A7E" w:rsidP="008B0A5B">
      <w:pPr>
        <w:pStyle w:val="NonTOCHeading"/>
        <w:rPr>
          <w:bCs/>
        </w:rPr>
      </w:pPr>
      <w:r w:rsidRPr="005674D6">
        <w:t>Policy Approaches</w:t>
      </w:r>
    </w:p>
    <w:p w14:paraId="095D6011" w14:textId="06E1329B" w:rsidR="00415A7E" w:rsidRPr="005674D6" w:rsidRDefault="00415A7E" w:rsidP="00646036">
      <w:r w:rsidRPr="005674D6">
        <w:t>This brief identifies three primary policy approaches states have adopted:</w:t>
      </w:r>
      <w:r w:rsidRPr="005674D6">
        <w:br/>
      </w:r>
    </w:p>
    <w:p w14:paraId="5E3B2E90" w14:textId="16F35DA9" w:rsidR="00415A7E" w:rsidRPr="005674D6" w:rsidRDefault="7E6F830E" w:rsidP="00932C4D">
      <w:pPr>
        <w:pStyle w:val="ListParagraph"/>
        <w:numPr>
          <w:ilvl w:val="0"/>
          <w:numId w:val="33"/>
        </w:numPr>
      </w:pPr>
      <w:r>
        <w:t>Implementing electronic prior authorization (ePA) and interoperability requirements. It explores the trend of adopting policies requiring or encouraging insurance carriers to use ePA systems and application programming interfaces (APIs) that integrate with electronic health records and conform to federal interoperability standards to automate and expedite the authorization process.</w:t>
      </w:r>
      <w:r w:rsidR="00415A7E">
        <w:br/>
      </w:r>
    </w:p>
    <w:p w14:paraId="1F76219B" w14:textId="77777777" w:rsidR="00415A7E" w:rsidRPr="00A17BBB" w:rsidRDefault="00415A7E" w:rsidP="005B33CE">
      <w:pPr>
        <w:ind w:left="360"/>
        <w:rPr>
          <w:i/>
          <w:iCs/>
        </w:rPr>
      </w:pPr>
      <w:r w:rsidRPr="00A17BBB">
        <w:rPr>
          <w:i/>
          <w:iCs/>
        </w:rPr>
        <w:t>Pros</w:t>
      </w:r>
    </w:p>
    <w:p w14:paraId="11F4023D" w14:textId="77777777" w:rsidR="00415A7E" w:rsidRPr="005674D6" w:rsidRDefault="00415A7E" w:rsidP="00932C4D">
      <w:pPr>
        <w:pStyle w:val="ListParagraph"/>
        <w:numPr>
          <w:ilvl w:val="0"/>
          <w:numId w:val="32"/>
        </w:numPr>
        <w:ind w:left="1080"/>
      </w:pPr>
      <w:r w:rsidRPr="005674D6">
        <w:t>By implementing such requirements, there will be greater clarity about submission of information and speed in processing information requests, helping to avoid treatment delays.</w:t>
      </w:r>
    </w:p>
    <w:p w14:paraId="5906AA36" w14:textId="77777777" w:rsidR="00415A7E" w:rsidRPr="005674D6" w:rsidRDefault="00415A7E" w:rsidP="00932C4D">
      <w:pPr>
        <w:pStyle w:val="ListParagraph"/>
        <w:numPr>
          <w:ilvl w:val="0"/>
          <w:numId w:val="32"/>
        </w:numPr>
        <w:ind w:left="1080"/>
      </w:pPr>
      <w:r w:rsidRPr="005674D6">
        <w:t xml:space="preserve">By minimizing delays and ensuring appropriate utilization through evidence-based reviews, ePA can prevent disease progression and avoid more expensive interventions later. </w:t>
      </w:r>
    </w:p>
    <w:p w14:paraId="6FBCC177" w14:textId="21638EA1" w:rsidR="00415A7E" w:rsidRPr="005674D6" w:rsidRDefault="7E6F830E" w:rsidP="00932C4D">
      <w:pPr>
        <w:pStyle w:val="ListParagraph"/>
        <w:numPr>
          <w:ilvl w:val="0"/>
          <w:numId w:val="32"/>
        </w:numPr>
        <w:ind w:left="1080"/>
      </w:pPr>
      <w:r>
        <w:t xml:space="preserve">This will reduce ambiguity as visibility </w:t>
      </w:r>
      <w:r w:rsidR="29695DA8">
        <w:t>increases</w:t>
      </w:r>
      <w:r>
        <w:t>. Transparent requirements, notifications</w:t>
      </w:r>
      <w:r w:rsidR="03E9D6EB">
        <w:t>,</w:t>
      </w:r>
      <w:r>
        <w:t xml:space="preserve"> and decision rationales can help providers and patients understand outcomes and appeal denials when necessary.</w:t>
      </w:r>
    </w:p>
    <w:p w14:paraId="3756E8FE" w14:textId="77777777" w:rsidR="00415A7E" w:rsidRPr="005674D6" w:rsidRDefault="00415A7E" w:rsidP="005B33CE">
      <w:pPr>
        <w:pStyle w:val="ListParagraph"/>
        <w:ind w:left="1080"/>
      </w:pPr>
    </w:p>
    <w:p w14:paraId="1C352E5E" w14:textId="77777777" w:rsidR="00415A7E" w:rsidRPr="00A17BBB" w:rsidRDefault="00415A7E" w:rsidP="005B33CE">
      <w:pPr>
        <w:ind w:left="360"/>
        <w:rPr>
          <w:i/>
          <w:iCs/>
        </w:rPr>
      </w:pPr>
      <w:r w:rsidRPr="00A17BBB">
        <w:rPr>
          <w:i/>
          <w:iCs/>
        </w:rPr>
        <w:t>Cons</w:t>
      </w:r>
    </w:p>
    <w:p w14:paraId="3F409AAC" w14:textId="77777777" w:rsidR="00415A7E" w:rsidRPr="005674D6" w:rsidRDefault="00415A7E" w:rsidP="00932C4D">
      <w:pPr>
        <w:pStyle w:val="ListParagraph"/>
        <w:numPr>
          <w:ilvl w:val="0"/>
          <w:numId w:val="31"/>
        </w:numPr>
        <w:ind w:left="1080"/>
      </w:pPr>
      <w:r w:rsidRPr="005674D6">
        <w:t xml:space="preserve">Does not apply to all requests for services and providers must keep track where it applies and where it does not apply for the services that they deliver. </w:t>
      </w:r>
    </w:p>
    <w:p w14:paraId="2C7AA01D" w14:textId="77777777" w:rsidR="00415A7E" w:rsidRPr="005674D6" w:rsidRDefault="00415A7E" w:rsidP="00932C4D">
      <w:pPr>
        <w:pStyle w:val="ListParagraph"/>
        <w:numPr>
          <w:ilvl w:val="0"/>
          <w:numId w:val="31"/>
        </w:numPr>
        <w:ind w:left="1080"/>
      </w:pPr>
      <w:r w:rsidRPr="005674D6">
        <w:t xml:space="preserve">Resource-limited practices or rural providers may lack the technical or financial capacity to fully adopt ePA, widening inequities in administrative efficiency. </w:t>
      </w:r>
    </w:p>
    <w:p w14:paraId="775D3406" w14:textId="77777777" w:rsidR="00415A7E" w:rsidRPr="005674D6" w:rsidRDefault="00415A7E" w:rsidP="00932C4D">
      <w:pPr>
        <w:pStyle w:val="ListParagraph"/>
        <w:numPr>
          <w:ilvl w:val="0"/>
          <w:numId w:val="31"/>
        </w:numPr>
        <w:ind w:left="1080"/>
      </w:pPr>
      <w:r w:rsidRPr="005674D6">
        <w:t>New technologies risk new complexities or bias, lack of seamless integration, shifting administrative burden and potential for exacerbated denial rates if algorithms prioritize efficiency over clinical nuance.</w:t>
      </w:r>
    </w:p>
    <w:p w14:paraId="4DA1D2EC" w14:textId="2A458371" w:rsidR="00415A7E" w:rsidRPr="005674D6" w:rsidRDefault="7E6F830E" w:rsidP="00932C4D">
      <w:pPr>
        <w:pStyle w:val="ListParagraph"/>
        <w:numPr>
          <w:ilvl w:val="0"/>
          <w:numId w:val="31"/>
        </w:numPr>
        <w:ind w:left="1080"/>
      </w:pPr>
      <w:r>
        <w:t>For ePA to deliver savings, both providers and plans must use it effectively. Even with reduced administrative work, providers still face exceptions, denials, and appeals. And without unified adoption across payers, inconsistent workflows can heighten burnout.</w:t>
      </w:r>
    </w:p>
    <w:p w14:paraId="5425949B" w14:textId="5C9468A4" w:rsidR="00415A7E" w:rsidRPr="005674D6" w:rsidRDefault="7E6F830E" w:rsidP="00932C4D">
      <w:pPr>
        <w:pStyle w:val="ListParagraph"/>
        <w:numPr>
          <w:ilvl w:val="0"/>
          <w:numId w:val="31"/>
        </w:numPr>
        <w:ind w:left="1080"/>
      </w:pPr>
      <w:r>
        <w:t xml:space="preserve">Change only impacts insurance </w:t>
      </w:r>
      <w:r w:rsidR="4C4EA7BC">
        <w:t>products,</w:t>
      </w:r>
      <w:r>
        <w:t xml:space="preserve"> so consumers, and their providers, in self-funded plans or with self-funded </w:t>
      </w:r>
      <w:r w:rsidR="392604D9">
        <w:t>third-party</w:t>
      </w:r>
      <w:r>
        <w:t xml:space="preserve"> administrators</w:t>
      </w:r>
      <w:r w:rsidR="0882FB0B">
        <w:t>,</w:t>
      </w:r>
      <w:r>
        <w:t xml:space="preserve"> may still face challenges with non-electronic prior authorization requests</w:t>
      </w:r>
      <w:r w:rsidR="6B5CEFF6">
        <w:t>.</w:t>
      </w:r>
      <w:r w:rsidR="00415A7E">
        <w:br/>
      </w:r>
    </w:p>
    <w:p w14:paraId="40C2D53A" w14:textId="77777777" w:rsidR="00415A7E" w:rsidRPr="005674D6" w:rsidRDefault="00415A7E" w:rsidP="00932C4D">
      <w:pPr>
        <w:pStyle w:val="ListParagraph"/>
        <w:numPr>
          <w:ilvl w:val="0"/>
          <w:numId w:val="33"/>
        </w:numPr>
      </w:pPr>
      <w:r w:rsidRPr="005674D6">
        <w:t xml:space="preserve">Prohibiting or limiting prior authorization for certain services, medications, or supplies. It summarizes policies in states that exempt services such as emergency care, behavioral health treatment, preventive services, medication-assisted treatment for opioid use disorder, cancer care, and other services from prior authorization requirements. </w:t>
      </w:r>
    </w:p>
    <w:p w14:paraId="0D7AE086" w14:textId="77777777" w:rsidR="00415A7E" w:rsidRPr="005674D6" w:rsidRDefault="00415A7E" w:rsidP="00646036"/>
    <w:p w14:paraId="3E042EF9" w14:textId="77777777" w:rsidR="00415A7E" w:rsidRPr="00A17BBB" w:rsidRDefault="00415A7E" w:rsidP="005B33CE">
      <w:pPr>
        <w:ind w:left="360"/>
        <w:rPr>
          <w:i/>
          <w:iCs/>
        </w:rPr>
      </w:pPr>
      <w:r w:rsidRPr="00A17BBB">
        <w:rPr>
          <w:i/>
          <w:iCs/>
        </w:rPr>
        <w:t>Pros</w:t>
      </w:r>
    </w:p>
    <w:p w14:paraId="418AEC6F" w14:textId="6124FE75" w:rsidR="00415A7E" w:rsidRPr="005674D6" w:rsidRDefault="7E6F830E" w:rsidP="00932C4D">
      <w:pPr>
        <w:pStyle w:val="ListParagraph"/>
        <w:numPr>
          <w:ilvl w:val="0"/>
          <w:numId w:val="32"/>
        </w:numPr>
        <w:ind w:left="1080"/>
      </w:pPr>
      <w:r>
        <w:t>Reduces unnecessary administrative processes, which take providers away from delivering care by reducing or eliminating unnecessarily burdensome processes, resulting in reduced provider burnout.</w:t>
      </w:r>
    </w:p>
    <w:p w14:paraId="099D4056" w14:textId="0F576BB1" w:rsidR="00415A7E" w:rsidRPr="005674D6" w:rsidRDefault="7E6F830E" w:rsidP="00932C4D">
      <w:pPr>
        <w:pStyle w:val="ListParagraph"/>
        <w:numPr>
          <w:ilvl w:val="0"/>
          <w:numId w:val="32"/>
        </w:numPr>
        <w:ind w:left="1080"/>
      </w:pPr>
      <w:r>
        <w:lastRenderedPageBreak/>
        <w:t>Reduces denials, repeated documentation requests, and lessens the administrative burden of utilization management and appeals,</w:t>
      </w:r>
      <w:r w:rsidR="378D7BAA">
        <w:t xml:space="preserve"> </w:t>
      </w:r>
      <w:r>
        <w:t>lowers overall care cost, while enabling providers to focus more on patient care.</w:t>
      </w:r>
    </w:p>
    <w:p w14:paraId="54FFE638" w14:textId="4943EDDB" w:rsidR="00415A7E" w:rsidRPr="005674D6" w:rsidRDefault="7E6F830E" w:rsidP="00932C4D">
      <w:pPr>
        <w:pStyle w:val="ListParagraph"/>
        <w:numPr>
          <w:ilvl w:val="0"/>
          <w:numId w:val="32"/>
        </w:numPr>
        <w:ind w:left="1080"/>
      </w:pPr>
      <w:r>
        <w:t xml:space="preserve">Improves continuity of care by allowing providers to follow evidence-based treatment plans without interruptions tied to insurer approval cycles. </w:t>
      </w:r>
    </w:p>
    <w:p w14:paraId="70B9C6D5" w14:textId="27EFFCB8" w:rsidR="00415A7E" w:rsidRPr="005674D6" w:rsidRDefault="7E6F830E" w:rsidP="00932C4D">
      <w:pPr>
        <w:pStyle w:val="ListParagraph"/>
        <w:numPr>
          <w:ilvl w:val="0"/>
          <w:numId w:val="32"/>
        </w:numPr>
        <w:ind w:left="1080"/>
      </w:pPr>
      <w:r>
        <w:t>Improves access to medically necessary care without unnecessary delays caused by prior authorization processes.</w:t>
      </w:r>
    </w:p>
    <w:p w14:paraId="220DBDEF" w14:textId="7E4046D8" w:rsidR="00415A7E" w:rsidRPr="005674D6" w:rsidRDefault="00415A7E" w:rsidP="00932C4D">
      <w:pPr>
        <w:pStyle w:val="ListParagraph"/>
        <w:numPr>
          <w:ilvl w:val="0"/>
          <w:numId w:val="32"/>
        </w:numPr>
        <w:ind w:left="1080"/>
      </w:pPr>
      <w:r w:rsidRPr="005674D6">
        <w:t>Lower risk of abandonment; when delays are removed, patients are less likely to forgo recommended treatment</w:t>
      </w:r>
      <w:r w:rsidR="00B2580F">
        <w:t>.</w:t>
      </w:r>
      <w:r w:rsidRPr="005674D6">
        <w:br/>
      </w:r>
    </w:p>
    <w:p w14:paraId="043C4AAD" w14:textId="77777777" w:rsidR="00415A7E" w:rsidRPr="00A17BBB" w:rsidRDefault="00415A7E" w:rsidP="005B33CE">
      <w:pPr>
        <w:ind w:left="360"/>
        <w:rPr>
          <w:i/>
          <w:iCs/>
        </w:rPr>
      </w:pPr>
      <w:r w:rsidRPr="00A17BBB">
        <w:rPr>
          <w:i/>
          <w:iCs/>
        </w:rPr>
        <w:t>Cons</w:t>
      </w:r>
    </w:p>
    <w:p w14:paraId="2BA397CC" w14:textId="03E72BD3" w:rsidR="00415A7E" w:rsidRPr="005674D6" w:rsidRDefault="7E6F830E" w:rsidP="00932C4D">
      <w:pPr>
        <w:pStyle w:val="ListParagraph"/>
        <w:numPr>
          <w:ilvl w:val="0"/>
          <w:numId w:val="31"/>
        </w:numPr>
        <w:ind w:left="1080"/>
      </w:pPr>
      <w:r>
        <w:t xml:space="preserve">Does not eliminate all prior authorization and providers must keep track where it applies and where it does not apply for the services that they deliver. </w:t>
      </w:r>
    </w:p>
    <w:p w14:paraId="180981F4" w14:textId="7252949B" w:rsidR="00415A7E" w:rsidRPr="005674D6" w:rsidRDefault="7E6F830E" w:rsidP="00932C4D">
      <w:pPr>
        <w:pStyle w:val="ListParagraph"/>
        <w:numPr>
          <w:ilvl w:val="0"/>
          <w:numId w:val="31"/>
        </w:numPr>
        <w:ind w:left="1080"/>
      </w:pPr>
      <w:r>
        <w:t>Change only impacts certain insurance products; unless adopted by self-funded third-party administrators, out-of-state plans, Medicare or Medicaid, providers will need to understand patient’s coverage to know whether new administrative rules will apply to their patients.</w:t>
      </w:r>
    </w:p>
    <w:p w14:paraId="3FCB1C79" w14:textId="77777777" w:rsidR="00415A7E" w:rsidRPr="005674D6" w:rsidRDefault="00415A7E" w:rsidP="00932C4D">
      <w:pPr>
        <w:pStyle w:val="ListParagraph"/>
        <w:numPr>
          <w:ilvl w:val="0"/>
          <w:numId w:val="31"/>
        </w:numPr>
        <w:ind w:left="1080"/>
      </w:pPr>
      <w:r w:rsidRPr="005674D6">
        <w:t>Limiting or eliminating prior authorization needs to be reviewed carefully to ensure that it does not lead to an increase in fraud, abuse, waste, or a reduction in patients receiving safe, effective, and guideline-aligned care. Safeguards are needed to reinstitute prior authorization if regulators find significant increases in unnecessary utilization.</w:t>
      </w:r>
    </w:p>
    <w:p w14:paraId="6E101596" w14:textId="77777777" w:rsidR="00415A7E" w:rsidRPr="005674D6" w:rsidRDefault="00415A7E" w:rsidP="00932C4D">
      <w:pPr>
        <w:pStyle w:val="ListParagraph"/>
        <w:numPr>
          <w:ilvl w:val="0"/>
          <w:numId w:val="31"/>
        </w:numPr>
        <w:ind w:left="1080"/>
      </w:pPr>
      <w:r w:rsidRPr="005674D6">
        <w:t>Less oversight of safety-sensitive treatments; prior authorization can help flag contraindications, duplicative services, or unsafe prescribing patterns. Limiting prior authorization might reduce safeguards that prevent patient harm.</w:t>
      </w:r>
    </w:p>
    <w:p w14:paraId="7A190E34" w14:textId="77777777" w:rsidR="00415A7E" w:rsidRPr="005674D6" w:rsidRDefault="00415A7E" w:rsidP="00932C4D">
      <w:pPr>
        <w:pStyle w:val="ListParagraph"/>
        <w:numPr>
          <w:ilvl w:val="0"/>
          <w:numId w:val="31"/>
        </w:numPr>
        <w:ind w:left="1080"/>
      </w:pPr>
      <w:r w:rsidRPr="005674D6">
        <w:t xml:space="preserve">Higher costs passed to consumers; without prior authorization as a cost-control tool, insurance carriers may face increased spending on high-cost or overused services, which can lead to higher premiums or cost-sharing. </w:t>
      </w:r>
    </w:p>
    <w:p w14:paraId="2E42E4B1" w14:textId="77777777" w:rsidR="00415A7E" w:rsidRPr="005674D6" w:rsidRDefault="00415A7E" w:rsidP="00646036"/>
    <w:p w14:paraId="574C2142" w14:textId="77777777" w:rsidR="00415A7E" w:rsidRPr="005674D6" w:rsidRDefault="00415A7E" w:rsidP="00932C4D">
      <w:pPr>
        <w:pStyle w:val="ListParagraph"/>
        <w:numPr>
          <w:ilvl w:val="0"/>
          <w:numId w:val="33"/>
        </w:numPr>
      </w:pPr>
      <w:r w:rsidRPr="005674D6">
        <w:t xml:space="preserve">Standardizing prior authorization forms and required information. It highlights states that require uniform prior authorization forms and standardized data elements to reduce administrative burden and streamline communication between providers and insurance carriers. </w:t>
      </w:r>
    </w:p>
    <w:p w14:paraId="1EA4BB58" w14:textId="77777777" w:rsidR="00415A7E" w:rsidRPr="005674D6" w:rsidRDefault="00415A7E" w:rsidP="00646036"/>
    <w:p w14:paraId="30B3D4B2" w14:textId="77777777" w:rsidR="00415A7E" w:rsidRPr="00A17BBB" w:rsidRDefault="00415A7E" w:rsidP="005B33CE">
      <w:pPr>
        <w:ind w:left="360"/>
        <w:rPr>
          <w:i/>
          <w:iCs/>
        </w:rPr>
      </w:pPr>
      <w:r w:rsidRPr="00A17BBB">
        <w:rPr>
          <w:i/>
          <w:iCs/>
        </w:rPr>
        <w:t>Pros</w:t>
      </w:r>
    </w:p>
    <w:p w14:paraId="7DF36D34" w14:textId="0161D154" w:rsidR="00415A7E" w:rsidRPr="005674D6" w:rsidRDefault="7E6F830E" w:rsidP="00932C4D">
      <w:pPr>
        <w:pStyle w:val="ListParagraph"/>
        <w:numPr>
          <w:ilvl w:val="0"/>
          <w:numId w:val="32"/>
        </w:numPr>
        <w:ind w:left="1080"/>
      </w:pPr>
      <w:r>
        <w:t xml:space="preserve">By standardizing and limiting prior authorization questions, there will be greater clarity about what providers will need to submit </w:t>
      </w:r>
      <w:r w:rsidR="3AD3B30F">
        <w:t>for</w:t>
      </w:r>
      <w:r>
        <w:t xml:space="preserve"> carriers to </w:t>
      </w:r>
      <w:r w:rsidR="0767773B">
        <w:t>decide</w:t>
      </w:r>
      <w:r>
        <w:t xml:space="preserve"> whether the care meets medical necessity criteria.</w:t>
      </w:r>
    </w:p>
    <w:p w14:paraId="7EB15B19" w14:textId="77777777" w:rsidR="00415A7E" w:rsidRPr="005674D6" w:rsidRDefault="00415A7E" w:rsidP="00932C4D">
      <w:pPr>
        <w:pStyle w:val="ListParagraph"/>
        <w:numPr>
          <w:ilvl w:val="0"/>
          <w:numId w:val="32"/>
        </w:numPr>
        <w:ind w:left="1080"/>
      </w:pPr>
      <w:r w:rsidRPr="005674D6">
        <w:t>Providers will spend less time navigating different payer forms and requirements, which streamlines workflows and cuts back-office workload.</w:t>
      </w:r>
    </w:p>
    <w:p w14:paraId="7500CDFB" w14:textId="77777777" w:rsidR="00415A7E" w:rsidRPr="005674D6" w:rsidRDefault="00415A7E" w:rsidP="00932C4D">
      <w:pPr>
        <w:pStyle w:val="ListParagraph"/>
        <w:numPr>
          <w:ilvl w:val="0"/>
          <w:numId w:val="32"/>
        </w:numPr>
        <w:ind w:left="1080"/>
      </w:pPr>
      <w:r w:rsidRPr="005674D6">
        <w:t xml:space="preserve">Standardized forms enhance the efficiency of the process, speeding up decisions. </w:t>
      </w:r>
    </w:p>
    <w:p w14:paraId="3AEB18C9" w14:textId="77777777" w:rsidR="00415A7E" w:rsidRPr="005674D6" w:rsidRDefault="00415A7E" w:rsidP="00932C4D">
      <w:pPr>
        <w:pStyle w:val="ListParagraph"/>
        <w:numPr>
          <w:ilvl w:val="0"/>
          <w:numId w:val="32"/>
        </w:numPr>
        <w:ind w:left="1080"/>
      </w:pPr>
      <w:r w:rsidRPr="005674D6">
        <w:t xml:space="preserve">Improves accuracy and completeness of the data; standard formats reduce missing or inconsistent data, leading to fewer back-and-forth requests and faster determinations. </w:t>
      </w:r>
    </w:p>
    <w:p w14:paraId="6822A192" w14:textId="77777777" w:rsidR="00415A7E" w:rsidRPr="00A17BBB" w:rsidRDefault="00415A7E" w:rsidP="005B33CE">
      <w:pPr>
        <w:ind w:left="360"/>
        <w:rPr>
          <w:i/>
          <w:iCs/>
        </w:rPr>
      </w:pPr>
      <w:r w:rsidRPr="00A17BBB">
        <w:rPr>
          <w:i/>
          <w:iCs/>
        </w:rPr>
        <w:t>Cons</w:t>
      </w:r>
    </w:p>
    <w:p w14:paraId="139D53FB" w14:textId="77777777" w:rsidR="00415A7E" w:rsidRPr="005674D6" w:rsidRDefault="00415A7E" w:rsidP="00932C4D">
      <w:pPr>
        <w:pStyle w:val="ListParagraph"/>
        <w:numPr>
          <w:ilvl w:val="0"/>
          <w:numId w:val="31"/>
        </w:numPr>
        <w:ind w:left="1080"/>
      </w:pPr>
      <w:r w:rsidRPr="005674D6">
        <w:t>Does not apply to all requests for services and providers must keep track where it applies and where it does not apply for the services that they deliver.</w:t>
      </w:r>
    </w:p>
    <w:p w14:paraId="15AB73EA" w14:textId="19C9362F" w:rsidR="00415A7E" w:rsidRPr="005674D6" w:rsidRDefault="00415A7E" w:rsidP="00932C4D">
      <w:pPr>
        <w:pStyle w:val="ListParagraph"/>
        <w:numPr>
          <w:ilvl w:val="0"/>
          <w:numId w:val="31"/>
        </w:numPr>
        <w:ind w:left="1080"/>
      </w:pPr>
      <w:r w:rsidRPr="005674D6">
        <w:t xml:space="preserve">Change only impacts insurance products; unless adopted by self-funded </w:t>
      </w:r>
      <w:r w:rsidR="00025DB8">
        <w:t>third-party administrators</w:t>
      </w:r>
      <w:r w:rsidRPr="005674D6">
        <w:t>, out-of-state plans, Medicare or Medicaid, providers will need to understand patient’s coverage to know whether new administrative rules will apply to their patients.</w:t>
      </w:r>
    </w:p>
    <w:p w14:paraId="6D8AA688" w14:textId="77777777" w:rsidR="00415A7E" w:rsidRPr="005674D6" w:rsidRDefault="00415A7E" w:rsidP="00932C4D">
      <w:pPr>
        <w:pStyle w:val="ListParagraph"/>
        <w:numPr>
          <w:ilvl w:val="0"/>
          <w:numId w:val="31"/>
        </w:numPr>
        <w:ind w:left="1080"/>
      </w:pPr>
      <w:r w:rsidRPr="005674D6">
        <w:t xml:space="preserve">Reduced flexibility for unique clinical scenarios; standardized forms may not capture nuances for complex or rare cases, potentially leading to inappropriate denials or extra follow-up. </w:t>
      </w:r>
    </w:p>
    <w:p w14:paraId="189B1F09" w14:textId="1FAF14C7" w:rsidR="005B33CE" w:rsidRDefault="00415A7E" w:rsidP="00932C4D">
      <w:pPr>
        <w:pStyle w:val="ListParagraph"/>
        <w:numPr>
          <w:ilvl w:val="0"/>
          <w:numId w:val="31"/>
        </w:numPr>
        <w:ind w:left="1080"/>
      </w:pPr>
      <w:r w:rsidRPr="005674D6">
        <w:t xml:space="preserve">Risk of oversimplification; uniform data elements may not align with all clinical specialties, forcing providers to submit supplemental information outside of the standardized process. </w:t>
      </w:r>
      <w:r w:rsidR="005B33CE">
        <w:br/>
      </w:r>
    </w:p>
    <w:p w14:paraId="24AECE2B" w14:textId="038ECEAB" w:rsidR="00415A7E" w:rsidRPr="005674D6" w:rsidRDefault="00415A7E" w:rsidP="008B0A5B">
      <w:pPr>
        <w:pStyle w:val="NonTOCHeading"/>
      </w:pPr>
      <w:r w:rsidRPr="005674D6">
        <w:t>States with the Policy: Adopting requirements relating to electronic prior authorization and interoperability</w:t>
      </w:r>
    </w:p>
    <w:p w14:paraId="612810E6" w14:textId="05DB6A6B" w:rsidR="00415A7E" w:rsidRPr="005674D6" w:rsidRDefault="7E6F830E" w:rsidP="00646036">
      <w:r w:rsidRPr="52B404F0">
        <w:rPr>
          <w:i/>
          <w:iCs/>
        </w:rPr>
        <w:t xml:space="preserve">Note: Federal requirements mandate insurance carriers use standardized application programming interfaces </w:t>
      </w:r>
      <w:r w:rsidR="1CB9F79B" w:rsidRPr="52B404F0">
        <w:rPr>
          <w:i/>
          <w:iCs/>
        </w:rPr>
        <w:t xml:space="preserve">(APIs) </w:t>
      </w:r>
      <w:r w:rsidRPr="52B404F0">
        <w:rPr>
          <w:i/>
          <w:iCs/>
        </w:rPr>
        <w:t>to support electronic prior authorization through the CMS Interoperability and Prior Authorization Final Rule (CMS-0057-F)</w:t>
      </w:r>
      <w:r w:rsidR="001D6B34">
        <w:rPr>
          <w:i/>
          <w:iCs/>
        </w:rPr>
        <w:t>. The rule</w:t>
      </w:r>
      <w:r w:rsidRPr="52B404F0">
        <w:rPr>
          <w:i/>
          <w:iCs/>
        </w:rPr>
        <w:t xml:space="preserve"> requires certain Medicare Advantage, Medicaid, CHIP, and ACA Marketplace plans on the federal Marketplace to implement FHIR-based APIs for prior authorization requests, decisions, and related patient and provider data exchange. Many state policies align with these adopted standards. </w:t>
      </w:r>
    </w:p>
    <w:p w14:paraId="591D3A1E" w14:textId="77777777" w:rsidR="00415A7E" w:rsidRPr="005674D6" w:rsidRDefault="00415A7E" w:rsidP="00646036"/>
    <w:tbl>
      <w:tblPr>
        <w:tblW w:w="0" w:type="auto"/>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1885"/>
        <w:gridCol w:w="3000"/>
        <w:gridCol w:w="5195"/>
      </w:tblGrid>
      <w:tr w:rsidR="00415A7E" w:rsidRPr="005674D6" w14:paraId="7C01D4EC" w14:textId="77777777" w:rsidTr="52B404F0">
        <w:trPr>
          <w:trHeight w:val="345"/>
          <w:tblHeader/>
        </w:trPr>
        <w:tc>
          <w:tcPr>
            <w:tcW w:w="2126" w:type="dxa"/>
            <w:shd w:val="clear" w:color="auto" w:fill="F2F2F2" w:themeFill="background2" w:themeFillShade="F2"/>
          </w:tcPr>
          <w:p w14:paraId="514B86AF" w14:textId="77777777" w:rsidR="00415A7E" w:rsidRPr="005674D6" w:rsidRDefault="7487C0F1" w:rsidP="7D95DB54">
            <w:pPr>
              <w:rPr>
                <w:b/>
                <w:bCs/>
              </w:rPr>
            </w:pPr>
            <w:r w:rsidRPr="7D95DB54">
              <w:rPr>
                <w:b/>
                <w:bCs/>
              </w:rPr>
              <w:t>State</w:t>
            </w:r>
          </w:p>
        </w:tc>
        <w:tc>
          <w:tcPr>
            <w:tcW w:w="3845" w:type="dxa"/>
            <w:shd w:val="clear" w:color="auto" w:fill="F2F2F2" w:themeFill="background2" w:themeFillShade="F2"/>
          </w:tcPr>
          <w:p w14:paraId="597AD618" w14:textId="77777777" w:rsidR="00415A7E" w:rsidRPr="005674D6" w:rsidRDefault="7487C0F1" w:rsidP="7D95DB54">
            <w:pPr>
              <w:rPr>
                <w:b/>
                <w:bCs/>
              </w:rPr>
            </w:pPr>
            <w:r w:rsidRPr="7D95DB54">
              <w:rPr>
                <w:b/>
                <w:bCs/>
              </w:rPr>
              <w:t>Implementation Date</w:t>
            </w:r>
          </w:p>
        </w:tc>
        <w:tc>
          <w:tcPr>
            <w:tcW w:w="6989" w:type="dxa"/>
            <w:shd w:val="clear" w:color="auto" w:fill="F2F2F2" w:themeFill="background2" w:themeFillShade="F2"/>
          </w:tcPr>
          <w:p w14:paraId="58742D7C" w14:textId="77777777" w:rsidR="00415A7E" w:rsidRPr="005674D6" w:rsidRDefault="7487C0F1" w:rsidP="7D95DB54">
            <w:pPr>
              <w:rPr>
                <w:b/>
                <w:bCs/>
              </w:rPr>
            </w:pPr>
            <w:r w:rsidRPr="7D95DB54">
              <w:rPr>
                <w:b/>
                <w:bCs/>
              </w:rPr>
              <w:t>Key Variations/Notes</w:t>
            </w:r>
          </w:p>
        </w:tc>
      </w:tr>
      <w:tr w:rsidR="00415A7E" w:rsidRPr="005674D6" w14:paraId="4C6A1619" w14:textId="77777777" w:rsidTr="52B404F0">
        <w:trPr>
          <w:trHeight w:val="564"/>
        </w:trPr>
        <w:tc>
          <w:tcPr>
            <w:tcW w:w="2126" w:type="dxa"/>
          </w:tcPr>
          <w:p w14:paraId="6D524AA2" w14:textId="77777777" w:rsidR="00415A7E" w:rsidRPr="005674D6" w:rsidRDefault="00415A7E" w:rsidP="00646036">
            <w:r w:rsidRPr="005674D6">
              <w:t>Colorado</w:t>
            </w:r>
          </w:p>
        </w:tc>
        <w:tc>
          <w:tcPr>
            <w:tcW w:w="3845" w:type="dxa"/>
          </w:tcPr>
          <w:p w14:paraId="09060E15" w14:textId="77777777" w:rsidR="00415A7E" w:rsidRPr="005674D6" w:rsidRDefault="00415A7E" w:rsidP="00646036">
            <w:r w:rsidRPr="005674D6">
              <w:t>January 1, 2027</w:t>
            </w:r>
          </w:p>
        </w:tc>
        <w:tc>
          <w:tcPr>
            <w:tcW w:w="6989" w:type="dxa"/>
          </w:tcPr>
          <w:p w14:paraId="4856FE64" w14:textId="2E05A8A1" w:rsidR="00415A7E" w:rsidRPr="005674D6" w:rsidRDefault="7E6F830E" w:rsidP="00646036">
            <w:r>
              <w:t xml:space="preserve">Requires insurance carriers to establish, maintain and use an </w:t>
            </w:r>
            <w:r w:rsidR="3DD8FF35">
              <w:t>API</w:t>
            </w:r>
            <w:r>
              <w:t xml:space="preserve"> that automates the prior authorization request and approval process for providers. Requires the API to meet the most recent standards under U</w:t>
            </w:r>
            <w:r w:rsidR="68A7948B">
              <w:t>.</w:t>
            </w:r>
            <w:r>
              <w:t>S</w:t>
            </w:r>
            <w:r w:rsidR="68A7948B">
              <w:t>.</w:t>
            </w:r>
            <w:r>
              <w:t xml:space="preserve"> Health and Human Services.</w:t>
            </w:r>
          </w:p>
        </w:tc>
      </w:tr>
      <w:tr w:rsidR="00415A7E" w:rsidRPr="005674D6" w14:paraId="3E4675EA" w14:textId="77777777" w:rsidTr="52B404F0">
        <w:trPr>
          <w:trHeight w:val="564"/>
        </w:trPr>
        <w:tc>
          <w:tcPr>
            <w:tcW w:w="2126" w:type="dxa"/>
          </w:tcPr>
          <w:p w14:paraId="1CDE99C5" w14:textId="77777777" w:rsidR="00415A7E" w:rsidRPr="005674D6" w:rsidRDefault="00415A7E" w:rsidP="00646036">
            <w:r w:rsidRPr="005674D6">
              <w:t>District of Columbia</w:t>
            </w:r>
          </w:p>
        </w:tc>
        <w:tc>
          <w:tcPr>
            <w:tcW w:w="3845" w:type="dxa"/>
          </w:tcPr>
          <w:p w14:paraId="22BDE87E" w14:textId="77777777" w:rsidR="00415A7E" w:rsidRPr="005674D6" w:rsidRDefault="00415A7E" w:rsidP="00646036">
            <w:r w:rsidRPr="005674D6">
              <w:t>January 17, 2024</w:t>
            </w:r>
          </w:p>
        </w:tc>
        <w:tc>
          <w:tcPr>
            <w:tcW w:w="6989" w:type="dxa"/>
          </w:tcPr>
          <w:p w14:paraId="6A8D0003" w14:textId="77777777" w:rsidR="00415A7E" w:rsidRPr="005674D6" w:rsidRDefault="00415A7E" w:rsidP="00646036">
            <w:r w:rsidRPr="005674D6">
              <w:t xml:space="preserve">Establishes shorter prior authorization determination timeframes when providers submit requests electronically through a portal rather than by mail, telephone, or facsimile. </w:t>
            </w:r>
          </w:p>
        </w:tc>
      </w:tr>
      <w:tr w:rsidR="00415A7E" w:rsidRPr="005674D6" w14:paraId="4F190DD8" w14:textId="77777777" w:rsidTr="52B404F0">
        <w:trPr>
          <w:trHeight w:val="564"/>
        </w:trPr>
        <w:tc>
          <w:tcPr>
            <w:tcW w:w="2126" w:type="dxa"/>
          </w:tcPr>
          <w:p w14:paraId="30267165" w14:textId="77777777" w:rsidR="00415A7E" w:rsidRPr="005674D6" w:rsidRDefault="00415A7E" w:rsidP="00646036">
            <w:r w:rsidRPr="005674D6">
              <w:t>Indiana</w:t>
            </w:r>
          </w:p>
        </w:tc>
        <w:tc>
          <w:tcPr>
            <w:tcW w:w="3845" w:type="dxa"/>
          </w:tcPr>
          <w:p w14:paraId="4DD8EBEF" w14:textId="77777777" w:rsidR="00415A7E" w:rsidRPr="005674D6" w:rsidRDefault="00415A7E" w:rsidP="00646036">
            <w:r w:rsidRPr="005674D6">
              <w:t>July 1, 2018</w:t>
            </w:r>
          </w:p>
        </w:tc>
        <w:tc>
          <w:tcPr>
            <w:tcW w:w="6989" w:type="dxa"/>
          </w:tcPr>
          <w:p w14:paraId="15E00B2A" w14:textId="77777777" w:rsidR="00415A7E" w:rsidRPr="005674D6" w:rsidRDefault="00415A7E" w:rsidP="00646036">
            <w:r w:rsidRPr="005674D6">
              <w:t xml:space="preserve">Requires providers to submit prior authorization requests through a secure electronic transmission and requires health plans to accept electronic submissions. Exceptions apply for financial hardship, limited internet access, or low provider volume. </w:t>
            </w:r>
          </w:p>
        </w:tc>
      </w:tr>
      <w:tr w:rsidR="00415A7E" w:rsidRPr="005674D6" w14:paraId="0866F998" w14:textId="77777777" w:rsidTr="52B404F0">
        <w:trPr>
          <w:trHeight w:val="564"/>
        </w:trPr>
        <w:tc>
          <w:tcPr>
            <w:tcW w:w="2126" w:type="dxa"/>
          </w:tcPr>
          <w:p w14:paraId="0F34EB2B" w14:textId="77777777" w:rsidR="00415A7E" w:rsidRPr="005674D6" w:rsidRDefault="00415A7E" w:rsidP="00646036">
            <w:r w:rsidRPr="005674D6">
              <w:t>Iowa</w:t>
            </w:r>
          </w:p>
        </w:tc>
        <w:tc>
          <w:tcPr>
            <w:tcW w:w="3845" w:type="dxa"/>
          </w:tcPr>
          <w:p w14:paraId="7C2E7FF9" w14:textId="77777777" w:rsidR="00415A7E" w:rsidRPr="005674D6" w:rsidRDefault="00415A7E" w:rsidP="00646036">
            <w:r w:rsidRPr="005674D6">
              <w:t>July 1, 2026</w:t>
            </w:r>
          </w:p>
        </w:tc>
        <w:tc>
          <w:tcPr>
            <w:tcW w:w="6989" w:type="dxa"/>
          </w:tcPr>
          <w:p w14:paraId="1EF06BDF" w14:textId="77777777" w:rsidR="00415A7E" w:rsidRPr="005674D6" w:rsidRDefault="00415A7E" w:rsidP="00646036">
            <w:r w:rsidRPr="005674D6">
              <w:t xml:space="preserve">Requires health care providers to submit all requests for prior authorization to a health carrier electronically using a standards-based API by July 1, 2027. </w:t>
            </w:r>
          </w:p>
        </w:tc>
      </w:tr>
      <w:tr w:rsidR="00415A7E" w:rsidRPr="005674D6" w14:paraId="39DDAD6F" w14:textId="77777777" w:rsidTr="52B404F0">
        <w:trPr>
          <w:trHeight w:val="564"/>
        </w:trPr>
        <w:tc>
          <w:tcPr>
            <w:tcW w:w="2126" w:type="dxa"/>
          </w:tcPr>
          <w:p w14:paraId="7181FCCE" w14:textId="77777777" w:rsidR="00415A7E" w:rsidRPr="005674D6" w:rsidRDefault="00415A7E" w:rsidP="00646036">
            <w:r w:rsidRPr="005674D6">
              <w:t>Kansas</w:t>
            </w:r>
          </w:p>
        </w:tc>
        <w:tc>
          <w:tcPr>
            <w:tcW w:w="3845" w:type="dxa"/>
          </w:tcPr>
          <w:p w14:paraId="22CC5AB5" w14:textId="77777777" w:rsidR="00415A7E" w:rsidRPr="005674D6" w:rsidRDefault="00415A7E" w:rsidP="00646036">
            <w:r w:rsidRPr="005674D6">
              <w:t>January 1, 2028</w:t>
            </w:r>
          </w:p>
        </w:tc>
        <w:tc>
          <w:tcPr>
            <w:tcW w:w="6989" w:type="dxa"/>
          </w:tcPr>
          <w:p w14:paraId="14C08C93" w14:textId="77777777" w:rsidR="00415A7E" w:rsidRPr="005674D6" w:rsidRDefault="7E6F830E" w:rsidP="00646036">
            <w:r>
              <w:t xml:space="preserve">Requires utilization </w:t>
            </w:r>
            <w:bookmarkStart w:id="4" w:name="_Int_n5BGfwml"/>
            <w:r>
              <w:t>review</w:t>
            </w:r>
            <w:bookmarkEnd w:id="4"/>
            <w:r>
              <w:t xml:space="preserve"> entities to adopt and maintain a prior authorization API that aligns with the federal requirement at 45 C.F.R. 156.223 (b). Excludes drugs.</w:t>
            </w:r>
          </w:p>
        </w:tc>
      </w:tr>
      <w:tr w:rsidR="00415A7E" w:rsidRPr="005674D6" w14:paraId="35AE3D88" w14:textId="77777777" w:rsidTr="52B404F0">
        <w:trPr>
          <w:trHeight w:val="564"/>
        </w:trPr>
        <w:tc>
          <w:tcPr>
            <w:tcW w:w="2126" w:type="dxa"/>
          </w:tcPr>
          <w:p w14:paraId="0853407D" w14:textId="77777777" w:rsidR="00415A7E" w:rsidRPr="005674D6" w:rsidRDefault="00415A7E" w:rsidP="00646036">
            <w:r w:rsidRPr="005674D6">
              <w:t>Maryland</w:t>
            </w:r>
          </w:p>
        </w:tc>
        <w:tc>
          <w:tcPr>
            <w:tcW w:w="3845" w:type="dxa"/>
          </w:tcPr>
          <w:p w14:paraId="7CDDA19F" w14:textId="77777777" w:rsidR="00415A7E" w:rsidRPr="005674D6" w:rsidRDefault="00415A7E" w:rsidP="00646036">
            <w:r w:rsidRPr="005674D6">
              <w:t>July 1, 2026</w:t>
            </w:r>
          </w:p>
        </w:tc>
        <w:tc>
          <w:tcPr>
            <w:tcW w:w="6989" w:type="dxa"/>
          </w:tcPr>
          <w:p w14:paraId="5D8E4307" w14:textId="77777777" w:rsidR="00415A7E" w:rsidRPr="005674D6" w:rsidRDefault="00415A7E" w:rsidP="00646036">
            <w:r w:rsidRPr="005674D6">
              <w:t>Requires health care providers to have e-prescribing or electronic health record systems capable of accessing electronic prior authorization functionality at the point of prescribing. Providers may obtain a waiver from compliance. Applies to prescription drugs.</w:t>
            </w:r>
          </w:p>
        </w:tc>
      </w:tr>
      <w:tr w:rsidR="00415A7E" w:rsidRPr="005674D6" w14:paraId="28CB6851" w14:textId="77777777" w:rsidTr="52B404F0">
        <w:trPr>
          <w:trHeight w:val="564"/>
        </w:trPr>
        <w:tc>
          <w:tcPr>
            <w:tcW w:w="2126" w:type="dxa"/>
          </w:tcPr>
          <w:p w14:paraId="787B6A03" w14:textId="77777777" w:rsidR="00415A7E" w:rsidRPr="005674D6" w:rsidRDefault="00415A7E" w:rsidP="00646036">
            <w:r w:rsidRPr="005674D6">
              <w:t>Massachusetts</w:t>
            </w:r>
          </w:p>
        </w:tc>
        <w:tc>
          <w:tcPr>
            <w:tcW w:w="3845" w:type="dxa"/>
          </w:tcPr>
          <w:p w14:paraId="319EEC9A" w14:textId="77777777" w:rsidR="00415A7E" w:rsidRPr="005674D6" w:rsidRDefault="00415A7E" w:rsidP="00646036">
            <w:r w:rsidRPr="005674D6">
              <w:t>June 5, 2026</w:t>
            </w:r>
          </w:p>
        </w:tc>
        <w:tc>
          <w:tcPr>
            <w:tcW w:w="6989" w:type="dxa"/>
          </w:tcPr>
          <w:p w14:paraId="38E79EFF" w14:textId="69F04725" w:rsidR="00415A7E" w:rsidRPr="005674D6" w:rsidRDefault="7E6F830E" w:rsidP="00646036">
            <w:r>
              <w:t xml:space="preserve">Allows an insurer to implement and maintain an API for the automated processing of prior authorization requests. Allows insurance carriers to use financial incentives to require a provider to participate in </w:t>
            </w:r>
            <w:r w:rsidR="45993612">
              <w:t>the use</w:t>
            </w:r>
            <w:r>
              <w:t xml:space="preserve"> of an API.</w:t>
            </w:r>
          </w:p>
        </w:tc>
      </w:tr>
      <w:tr w:rsidR="00415A7E" w:rsidRPr="005674D6" w14:paraId="629C1DA2" w14:textId="77777777" w:rsidTr="52B404F0">
        <w:trPr>
          <w:trHeight w:val="564"/>
        </w:trPr>
        <w:tc>
          <w:tcPr>
            <w:tcW w:w="2126" w:type="dxa"/>
          </w:tcPr>
          <w:p w14:paraId="1E6DB070" w14:textId="77777777" w:rsidR="00415A7E" w:rsidRPr="005674D6" w:rsidRDefault="00415A7E" w:rsidP="00646036">
            <w:r w:rsidRPr="005674D6">
              <w:t>Michigan</w:t>
            </w:r>
          </w:p>
        </w:tc>
        <w:tc>
          <w:tcPr>
            <w:tcW w:w="3845" w:type="dxa"/>
          </w:tcPr>
          <w:p w14:paraId="71167753" w14:textId="77777777" w:rsidR="00415A7E" w:rsidRPr="005674D6" w:rsidRDefault="00415A7E" w:rsidP="00646036">
            <w:r w:rsidRPr="005674D6">
              <w:t>June 2023</w:t>
            </w:r>
          </w:p>
        </w:tc>
        <w:tc>
          <w:tcPr>
            <w:tcW w:w="6989" w:type="dxa"/>
          </w:tcPr>
          <w:p w14:paraId="05ECA5AA" w14:textId="77777777" w:rsidR="00415A7E" w:rsidRPr="005674D6" w:rsidRDefault="00415A7E" w:rsidP="00646036">
            <w:r w:rsidRPr="005674D6">
              <w:t xml:space="preserve">Insurance carriers of health benefits that require prior authorization are required to make available a standardized electronic prior authorization request transaction process that uses an electronic, internet, and web-based system that can transmit clinical information. Providers and insurance carriers (or their utilization review organizations) must use this standard electronic PA transaction process unless the health professional is not able to because of a temporary technological or electrical failure. </w:t>
            </w:r>
          </w:p>
        </w:tc>
      </w:tr>
      <w:tr w:rsidR="00415A7E" w:rsidRPr="005674D6" w14:paraId="426C66BB" w14:textId="77777777" w:rsidTr="52B404F0">
        <w:trPr>
          <w:trHeight w:val="564"/>
        </w:trPr>
        <w:tc>
          <w:tcPr>
            <w:tcW w:w="2126" w:type="dxa"/>
          </w:tcPr>
          <w:p w14:paraId="1A29B682" w14:textId="77777777" w:rsidR="00415A7E" w:rsidRPr="005674D6" w:rsidRDefault="00415A7E" w:rsidP="00646036">
            <w:r w:rsidRPr="005674D6">
              <w:t>Minnesota</w:t>
            </w:r>
          </w:p>
        </w:tc>
        <w:tc>
          <w:tcPr>
            <w:tcW w:w="3845" w:type="dxa"/>
          </w:tcPr>
          <w:p w14:paraId="4D4B46DB" w14:textId="77777777" w:rsidR="00415A7E" w:rsidRPr="005674D6" w:rsidRDefault="00415A7E" w:rsidP="00646036">
            <w:r w:rsidRPr="005674D6">
              <w:t>January 1, 2027</w:t>
            </w:r>
          </w:p>
        </w:tc>
        <w:tc>
          <w:tcPr>
            <w:tcW w:w="6989" w:type="dxa"/>
          </w:tcPr>
          <w:p w14:paraId="5BEA3126" w14:textId="739A3AD6" w:rsidR="00415A7E" w:rsidRPr="005674D6" w:rsidRDefault="7E6F830E" w:rsidP="00646036">
            <w:r>
              <w:t>Requires the use of an API for medical prior authorizations (i.e., does not apply to prescription drug PAs) that essentially mirrors the federal interoperability requirements. The API must allow providers to determine whether a prior authorization is required for health care services, identify prior authorization information and documentation requirements, and facilitate the exchange of prior authorization requests and determinations from provider electronic health records or practice management systems.</w:t>
            </w:r>
            <w:r w:rsidRPr="52B404F0">
              <w:rPr>
                <w:rFonts w:ascii="Arial" w:hAnsi="Arial" w:cs="Arial"/>
              </w:rPr>
              <w:t> </w:t>
            </w:r>
          </w:p>
        </w:tc>
      </w:tr>
      <w:tr w:rsidR="00415A7E" w:rsidRPr="005674D6" w14:paraId="2FB139C7" w14:textId="77777777" w:rsidTr="52B404F0">
        <w:trPr>
          <w:trHeight w:val="564"/>
        </w:trPr>
        <w:tc>
          <w:tcPr>
            <w:tcW w:w="2126" w:type="dxa"/>
          </w:tcPr>
          <w:p w14:paraId="53ADEB4D" w14:textId="77777777" w:rsidR="00415A7E" w:rsidRPr="005674D6" w:rsidRDefault="00415A7E" w:rsidP="00646036">
            <w:r w:rsidRPr="005674D6">
              <w:t>Mississippi</w:t>
            </w:r>
          </w:p>
        </w:tc>
        <w:tc>
          <w:tcPr>
            <w:tcW w:w="3845" w:type="dxa"/>
          </w:tcPr>
          <w:p w14:paraId="5228BADE" w14:textId="77777777" w:rsidR="00415A7E" w:rsidRPr="005674D6" w:rsidRDefault="00415A7E" w:rsidP="00646036">
            <w:r w:rsidRPr="005674D6">
              <w:t>January 1, 2025</w:t>
            </w:r>
          </w:p>
        </w:tc>
        <w:tc>
          <w:tcPr>
            <w:tcW w:w="6989" w:type="dxa"/>
          </w:tcPr>
          <w:p w14:paraId="7F95C4F0" w14:textId="77777777" w:rsidR="00415A7E" w:rsidRPr="005674D6" w:rsidRDefault="00415A7E" w:rsidP="00646036">
            <w:r w:rsidRPr="005674D6">
              <w:t>Requires all health care professionals and providers to use a standardized electronic prior authorization transaction process made available by insurance carriers by January 1, 2027. Requires insurance carriers to make the electronic process available by January 1, 2025. </w:t>
            </w:r>
          </w:p>
        </w:tc>
      </w:tr>
      <w:tr w:rsidR="00415A7E" w:rsidRPr="005674D6" w14:paraId="1A4BE593" w14:textId="77777777" w:rsidTr="52B404F0">
        <w:trPr>
          <w:trHeight w:val="564"/>
        </w:trPr>
        <w:tc>
          <w:tcPr>
            <w:tcW w:w="2126" w:type="dxa"/>
          </w:tcPr>
          <w:p w14:paraId="3D02543F" w14:textId="77777777" w:rsidR="00415A7E" w:rsidRPr="005674D6" w:rsidRDefault="00415A7E" w:rsidP="00646036">
            <w:r w:rsidRPr="005674D6">
              <w:t>Missouri</w:t>
            </w:r>
          </w:p>
        </w:tc>
        <w:tc>
          <w:tcPr>
            <w:tcW w:w="3845" w:type="dxa"/>
          </w:tcPr>
          <w:p w14:paraId="1D66BD45" w14:textId="77777777" w:rsidR="00415A7E" w:rsidRPr="005674D6" w:rsidRDefault="00415A7E" w:rsidP="00646036">
            <w:r w:rsidRPr="005674D6">
              <w:t>Electronic PA for Rx (January 1, 2021); API for prior authorization of health care services, excluding prescription drugs (January 1, 2028)</w:t>
            </w:r>
          </w:p>
        </w:tc>
        <w:tc>
          <w:tcPr>
            <w:tcW w:w="6989" w:type="dxa"/>
          </w:tcPr>
          <w:p w14:paraId="0977C561" w14:textId="1D76C2D0" w:rsidR="00415A7E" w:rsidRPr="005674D6" w:rsidRDefault="7E6F830E" w:rsidP="00646036">
            <w:r>
              <w:t>Requires utilization review entity to accept/respond to prior authorizations of drug benefits through electronic prior authorization. By July 1, 2028, health carriers must provide any provider, upon request, with contact information for any third-party vendor or entity they use to meet the prescription drug electronic prior authorization requirements. Any health carrier that fails to have an electronic process for Rx prior authorizations by July 1, 2028, cannot require providers to obtain prior authorizations for Rx, except if specified by the DCI by rule. </w:t>
            </w:r>
          </w:p>
          <w:p w14:paraId="52DBCE63" w14:textId="77777777" w:rsidR="00415A7E" w:rsidRPr="005674D6" w:rsidRDefault="00415A7E" w:rsidP="00646036"/>
          <w:p w14:paraId="558995FD" w14:textId="10EF2624" w:rsidR="00415A7E" w:rsidRPr="005674D6" w:rsidRDefault="7E6F830E" w:rsidP="00646036">
            <w:r>
              <w:t xml:space="preserve">By January 1, 2028, health insurance carriers and utilization review entities shall implement and maintain a prior authorization API that conforms with federal law. If a health insurer cannot implement the prior authorization API by January 1, 2028, the health insurer shall provide written notice to the Department requesting an extension, accompanied by a documented plan to come into compliance. </w:t>
            </w:r>
            <w:r w:rsidR="00AF41B5">
              <w:t xml:space="preserve">Starting </w:t>
            </w:r>
            <w:r>
              <w:t xml:space="preserve">January 1, 2028, an enrollee's health care provider may use the prior authorization API to submit requests for prior authorization of health care services, excluding prescription drugs. A health insurer shall accept prior authorization requests submitted through the API. </w:t>
            </w:r>
          </w:p>
        </w:tc>
      </w:tr>
      <w:tr w:rsidR="00415A7E" w:rsidRPr="005674D6" w14:paraId="623C9081" w14:textId="77777777" w:rsidTr="52B404F0">
        <w:trPr>
          <w:trHeight w:val="564"/>
        </w:trPr>
        <w:tc>
          <w:tcPr>
            <w:tcW w:w="2126" w:type="dxa"/>
          </w:tcPr>
          <w:p w14:paraId="6CB309FF" w14:textId="77777777" w:rsidR="00415A7E" w:rsidRPr="005674D6" w:rsidRDefault="00415A7E" w:rsidP="00646036">
            <w:r w:rsidRPr="005674D6">
              <w:t>New Jersey</w:t>
            </w:r>
          </w:p>
        </w:tc>
        <w:tc>
          <w:tcPr>
            <w:tcW w:w="3845" w:type="dxa"/>
          </w:tcPr>
          <w:p w14:paraId="2B93746C" w14:textId="77777777" w:rsidR="00415A7E" w:rsidRPr="005674D6" w:rsidRDefault="00415A7E" w:rsidP="00646036">
            <w:r w:rsidRPr="005674D6">
              <w:t>January 1, 2027</w:t>
            </w:r>
          </w:p>
        </w:tc>
        <w:tc>
          <w:tcPr>
            <w:tcW w:w="6989" w:type="dxa"/>
          </w:tcPr>
          <w:p w14:paraId="52E62594" w14:textId="77777777" w:rsidR="00415A7E" w:rsidRPr="005674D6" w:rsidRDefault="00415A7E" w:rsidP="00646036">
            <w:r w:rsidRPr="005674D6">
              <w:t>Requires prior authorization requests for prescription drug coverage to be submitted through secure electronic transmission using the NCPDP SCRIPT electronic prior authorization standard. Applies to pharmacy benefits.</w:t>
            </w:r>
          </w:p>
        </w:tc>
      </w:tr>
      <w:tr w:rsidR="00415A7E" w:rsidRPr="005674D6" w14:paraId="538580F3" w14:textId="77777777" w:rsidTr="52B404F0">
        <w:trPr>
          <w:trHeight w:val="564"/>
        </w:trPr>
        <w:tc>
          <w:tcPr>
            <w:tcW w:w="2126" w:type="dxa"/>
          </w:tcPr>
          <w:p w14:paraId="48809ABA" w14:textId="77777777" w:rsidR="00415A7E" w:rsidRPr="005674D6" w:rsidRDefault="00415A7E" w:rsidP="00646036">
            <w:r w:rsidRPr="005674D6">
              <w:t>Oklahoma</w:t>
            </w:r>
          </w:p>
        </w:tc>
        <w:tc>
          <w:tcPr>
            <w:tcW w:w="3845" w:type="dxa"/>
          </w:tcPr>
          <w:p w14:paraId="08BCA0B3" w14:textId="77777777" w:rsidR="00415A7E" w:rsidRPr="005674D6" w:rsidRDefault="00415A7E" w:rsidP="00646036">
            <w:r w:rsidRPr="005674D6">
              <w:t>January 1, 2025</w:t>
            </w:r>
          </w:p>
        </w:tc>
        <w:tc>
          <w:tcPr>
            <w:tcW w:w="6989" w:type="dxa"/>
          </w:tcPr>
          <w:p w14:paraId="476D9F4F" w14:textId="77777777" w:rsidR="00415A7E" w:rsidRPr="005674D6" w:rsidRDefault="00415A7E" w:rsidP="00646036">
            <w:r w:rsidRPr="005674D6">
              <w:t>Requires health care providers to utilize electronic health record or practice management systems that are compatible with the health plan's prior authorization API.</w:t>
            </w:r>
          </w:p>
        </w:tc>
      </w:tr>
      <w:tr w:rsidR="00415A7E" w:rsidRPr="005674D6" w14:paraId="4A7ABF7D" w14:textId="77777777" w:rsidTr="52B404F0">
        <w:trPr>
          <w:trHeight w:val="564"/>
        </w:trPr>
        <w:tc>
          <w:tcPr>
            <w:tcW w:w="2126" w:type="dxa"/>
          </w:tcPr>
          <w:p w14:paraId="43B0CFA8" w14:textId="77777777" w:rsidR="00415A7E" w:rsidRPr="005674D6" w:rsidRDefault="00415A7E" w:rsidP="00646036">
            <w:r w:rsidRPr="005674D6">
              <w:t>Pennsylvania</w:t>
            </w:r>
          </w:p>
        </w:tc>
        <w:tc>
          <w:tcPr>
            <w:tcW w:w="3845" w:type="dxa"/>
          </w:tcPr>
          <w:p w14:paraId="711B30A7" w14:textId="77777777" w:rsidR="00415A7E" w:rsidRPr="005674D6" w:rsidRDefault="00415A7E" w:rsidP="00646036">
            <w:r w:rsidRPr="005674D6">
              <w:t>January 1, 2023</w:t>
            </w:r>
          </w:p>
        </w:tc>
        <w:tc>
          <w:tcPr>
            <w:tcW w:w="6989" w:type="dxa"/>
          </w:tcPr>
          <w:p w14:paraId="3B266197" w14:textId="77777777" w:rsidR="00415A7E" w:rsidRPr="005674D6" w:rsidRDefault="00415A7E" w:rsidP="00646036">
            <w:r w:rsidRPr="005674D6">
              <w:t>Requires insurance carriers to establish a provider portal for electronic prior authorization submissions. Providers must submit prior authorization requests through the provider portal within 18 months after the portal is established, subject to limited exceptions.</w:t>
            </w:r>
          </w:p>
        </w:tc>
      </w:tr>
      <w:tr w:rsidR="00415A7E" w:rsidRPr="005674D6" w14:paraId="7F046364" w14:textId="77777777" w:rsidTr="52B404F0">
        <w:trPr>
          <w:trHeight w:val="564"/>
        </w:trPr>
        <w:tc>
          <w:tcPr>
            <w:tcW w:w="2126" w:type="dxa"/>
          </w:tcPr>
          <w:p w14:paraId="6210EBE2" w14:textId="77777777" w:rsidR="00415A7E" w:rsidRPr="005674D6" w:rsidRDefault="00415A7E" w:rsidP="00646036">
            <w:r w:rsidRPr="005674D6">
              <w:t>Virginia</w:t>
            </w:r>
          </w:p>
        </w:tc>
        <w:tc>
          <w:tcPr>
            <w:tcW w:w="3845" w:type="dxa"/>
          </w:tcPr>
          <w:p w14:paraId="3E363643" w14:textId="77777777" w:rsidR="00415A7E" w:rsidRPr="005674D6" w:rsidRDefault="00415A7E" w:rsidP="00646036">
            <w:r w:rsidRPr="005674D6">
              <w:t>July 1, 2025</w:t>
            </w:r>
          </w:p>
        </w:tc>
        <w:tc>
          <w:tcPr>
            <w:tcW w:w="6989" w:type="dxa"/>
          </w:tcPr>
          <w:p w14:paraId="40CC772A" w14:textId="77777777" w:rsidR="00415A7E" w:rsidRPr="005674D6" w:rsidRDefault="00415A7E" w:rsidP="00646036">
            <w:r w:rsidRPr="005674D6">
              <w:t>Requires participating providers to ensure their e-prescribing or electronic health record systems can access the carrier's electronic prior authorization process at the point of prescribing. Waivers are available for undue hardship. Applies to prescription drugs.</w:t>
            </w:r>
          </w:p>
        </w:tc>
      </w:tr>
      <w:tr w:rsidR="00415A7E" w:rsidRPr="005674D6" w14:paraId="7D62AA46" w14:textId="77777777" w:rsidTr="52B404F0">
        <w:trPr>
          <w:trHeight w:val="564"/>
        </w:trPr>
        <w:tc>
          <w:tcPr>
            <w:tcW w:w="2126" w:type="dxa"/>
          </w:tcPr>
          <w:p w14:paraId="6665EB10" w14:textId="77777777" w:rsidR="00415A7E" w:rsidRPr="005674D6" w:rsidRDefault="00415A7E" w:rsidP="00646036">
            <w:r w:rsidRPr="005674D6">
              <w:t>Washington</w:t>
            </w:r>
          </w:p>
        </w:tc>
        <w:tc>
          <w:tcPr>
            <w:tcW w:w="3845" w:type="dxa"/>
          </w:tcPr>
          <w:p w14:paraId="6EF7A8D7" w14:textId="77777777" w:rsidR="00415A7E" w:rsidRPr="005674D6" w:rsidRDefault="00415A7E" w:rsidP="00646036">
            <w:r w:rsidRPr="005674D6">
              <w:t>January 1, 2027</w:t>
            </w:r>
          </w:p>
        </w:tc>
        <w:tc>
          <w:tcPr>
            <w:tcW w:w="6989" w:type="dxa"/>
          </w:tcPr>
          <w:p w14:paraId="2E152CC1" w14:textId="77777777" w:rsidR="00415A7E" w:rsidRPr="005674D6" w:rsidRDefault="00415A7E" w:rsidP="00646036">
            <w:r w:rsidRPr="005674D6">
              <w:t xml:space="preserve">Requires insurance carriers to establish and maintain an interoperable electronic process or API that automates the process for in-network providers to determine whether a prior authorization is required for a covered prescription drug. The interoperable electronic process or API must support the exchange of prior authorization requests and determinations for prescription drugs, including information on covered alternative prescription drugs, beginning January 1, 2027. </w:t>
            </w:r>
          </w:p>
        </w:tc>
      </w:tr>
      <w:tr w:rsidR="00415A7E" w:rsidRPr="005674D6" w14:paraId="0080CE15" w14:textId="77777777" w:rsidTr="52B404F0">
        <w:trPr>
          <w:trHeight w:val="564"/>
        </w:trPr>
        <w:tc>
          <w:tcPr>
            <w:tcW w:w="2126" w:type="dxa"/>
          </w:tcPr>
          <w:p w14:paraId="4D2B282E" w14:textId="77777777" w:rsidR="00415A7E" w:rsidRPr="005674D6" w:rsidRDefault="00415A7E" w:rsidP="00646036">
            <w:r w:rsidRPr="005674D6">
              <w:t xml:space="preserve">West Virginia </w:t>
            </w:r>
          </w:p>
        </w:tc>
        <w:tc>
          <w:tcPr>
            <w:tcW w:w="3845" w:type="dxa"/>
          </w:tcPr>
          <w:p w14:paraId="0BB14428" w14:textId="77777777" w:rsidR="00415A7E" w:rsidRPr="005674D6" w:rsidRDefault="00415A7E" w:rsidP="00646036">
            <w:r w:rsidRPr="005674D6">
              <w:t>June 6, 2023</w:t>
            </w:r>
          </w:p>
        </w:tc>
        <w:tc>
          <w:tcPr>
            <w:tcW w:w="6989" w:type="dxa"/>
          </w:tcPr>
          <w:p w14:paraId="2A906509" w14:textId="77777777" w:rsidR="00415A7E" w:rsidRPr="005674D6" w:rsidRDefault="00415A7E" w:rsidP="00646036">
            <w:r w:rsidRPr="005674D6">
              <w:t>Requires prior authorization requests and related communications to be submitted through an electronic portal and requires health insurance carriers to maintain a portal supporting electronic prior authorization submissions by providers.</w:t>
            </w:r>
          </w:p>
        </w:tc>
      </w:tr>
    </w:tbl>
    <w:p w14:paraId="45F2B0CA" w14:textId="407C7222" w:rsidR="7D95DB54" w:rsidRDefault="7D95DB54" w:rsidP="7D95DB54">
      <w:pPr>
        <w:pStyle w:val="Heading1"/>
        <w:spacing w:after="0"/>
        <w:rPr>
          <w:sz w:val="22"/>
          <w:szCs w:val="22"/>
        </w:rPr>
      </w:pPr>
    </w:p>
    <w:p w14:paraId="7B76B700" w14:textId="281708DC" w:rsidR="00415A7E" w:rsidRPr="005674D6" w:rsidRDefault="7487C0F1" w:rsidP="008B0A5B">
      <w:pPr>
        <w:pStyle w:val="NonTOCHeading"/>
      </w:pPr>
      <w:r w:rsidRPr="7D95DB54">
        <w:t>States with the Policy: Prohibiting or limiting use of prior authorization for certain services, supplies and prescriptions</w:t>
      </w:r>
    </w:p>
    <w:p w14:paraId="14578000" w14:textId="65CC33C0" w:rsidR="00415A7E" w:rsidRPr="005674D6" w:rsidRDefault="7E6F830E" w:rsidP="52B404F0">
      <w:pPr>
        <w:rPr>
          <w:i/>
          <w:iCs/>
        </w:rPr>
      </w:pPr>
      <w:r w:rsidRPr="52B404F0">
        <w:rPr>
          <w:i/>
          <w:iCs/>
        </w:rPr>
        <w:t>Note: Under federal law (Consolidated Appropriations Act, 2021; 45 CFR Part 149), if a group health plan covers emergency services, it must do so without the use of prior authorization. This has also been adopted into many states’ laws.</w:t>
      </w:r>
    </w:p>
    <w:p w14:paraId="7BD6435B" w14:textId="77777777" w:rsidR="00415A7E" w:rsidRPr="005674D6" w:rsidRDefault="00415A7E" w:rsidP="00646036"/>
    <w:tbl>
      <w:tblPr>
        <w:tblW w:w="5000" w:type="pct"/>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1889"/>
        <w:gridCol w:w="3865"/>
        <w:gridCol w:w="4326"/>
      </w:tblGrid>
      <w:tr w:rsidR="00415A7E" w:rsidRPr="005674D6" w14:paraId="5EE9994E" w14:textId="77777777" w:rsidTr="52B404F0">
        <w:trPr>
          <w:trHeight w:val="420"/>
          <w:tblHeader/>
        </w:trPr>
        <w:tc>
          <w:tcPr>
            <w:tcW w:w="937" w:type="pct"/>
            <w:shd w:val="clear" w:color="auto" w:fill="F2F2F2" w:themeFill="background2" w:themeFillShade="F2"/>
          </w:tcPr>
          <w:p w14:paraId="65E30593" w14:textId="77777777" w:rsidR="00415A7E" w:rsidRPr="005674D6" w:rsidRDefault="7487C0F1" w:rsidP="7D95DB54">
            <w:pPr>
              <w:rPr>
                <w:b/>
                <w:bCs/>
              </w:rPr>
            </w:pPr>
            <w:r w:rsidRPr="7D95DB54">
              <w:rPr>
                <w:b/>
                <w:bCs/>
              </w:rPr>
              <w:t>State</w:t>
            </w:r>
          </w:p>
        </w:tc>
        <w:tc>
          <w:tcPr>
            <w:tcW w:w="1917" w:type="pct"/>
            <w:shd w:val="clear" w:color="auto" w:fill="F2F2F2" w:themeFill="background2" w:themeFillShade="F2"/>
          </w:tcPr>
          <w:p w14:paraId="5159BAA2" w14:textId="77777777" w:rsidR="00415A7E" w:rsidRPr="005674D6" w:rsidRDefault="7487C0F1" w:rsidP="7D95DB54">
            <w:pPr>
              <w:rPr>
                <w:b/>
                <w:bCs/>
              </w:rPr>
            </w:pPr>
            <w:r w:rsidRPr="7D95DB54">
              <w:rPr>
                <w:b/>
                <w:bCs/>
              </w:rPr>
              <w:t>Implementation Date</w:t>
            </w:r>
          </w:p>
        </w:tc>
        <w:tc>
          <w:tcPr>
            <w:tcW w:w="2146" w:type="pct"/>
            <w:shd w:val="clear" w:color="auto" w:fill="F2F2F2" w:themeFill="background2" w:themeFillShade="F2"/>
          </w:tcPr>
          <w:p w14:paraId="7A59B7B5" w14:textId="77777777" w:rsidR="00415A7E" w:rsidRPr="005674D6" w:rsidRDefault="7487C0F1" w:rsidP="7D95DB54">
            <w:pPr>
              <w:rPr>
                <w:b/>
                <w:bCs/>
              </w:rPr>
            </w:pPr>
            <w:r w:rsidRPr="7D95DB54">
              <w:rPr>
                <w:b/>
                <w:bCs/>
              </w:rPr>
              <w:t>Key Variations/Notes</w:t>
            </w:r>
          </w:p>
        </w:tc>
      </w:tr>
      <w:tr w:rsidR="00415A7E" w:rsidRPr="005674D6" w14:paraId="2AF0C9CC" w14:textId="77777777" w:rsidTr="52B404F0">
        <w:trPr>
          <w:trHeight w:val="564"/>
        </w:trPr>
        <w:tc>
          <w:tcPr>
            <w:tcW w:w="937" w:type="pct"/>
          </w:tcPr>
          <w:p w14:paraId="42AB3D99" w14:textId="77777777" w:rsidR="00415A7E" w:rsidRPr="005674D6" w:rsidRDefault="00415A7E" w:rsidP="00646036">
            <w:r w:rsidRPr="005674D6">
              <w:t>Colorado</w:t>
            </w:r>
          </w:p>
        </w:tc>
        <w:tc>
          <w:tcPr>
            <w:tcW w:w="1917" w:type="pct"/>
          </w:tcPr>
          <w:p w14:paraId="3E66DE83" w14:textId="1ABCD1F0" w:rsidR="00415A7E" w:rsidRPr="005674D6" w:rsidRDefault="00415A7E" w:rsidP="00646036">
            <w:r w:rsidRPr="005674D6">
              <w:t>Annual review by insurance carriers, restrictions o</w:t>
            </w:r>
            <w:r w:rsidR="005B33CE">
              <w:t>n</w:t>
            </w:r>
            <w:r w:rsidRPr="005674D6">
              <w:t xml:space="preserve"> use for chronic maintenance drugs (August 7, 2024); Program to remove administrative burden (January 1, 2026)</w:t>
            </w:r>
          </w:p>
        </w:tc>
        <w:tc>
          <w:tcPr>
            <w:tcW w:w="2146" w:type="pct"/>
          </w:tcPr>
          <w:p w14:paraId="0B732FD2" w14:textId="77777777" w:rsidR="00415A7E" w:rsidRPr="005674D6" w:rsidRDefault="00415A7E" w:rsidP="00646036">
            <w:r w:rsidRPr="005674D6">
              <w:t>Requires insurance carriers to:</w:t>
            </w:r>
          </w:p>
          <w:p w14:paraId="5CFE31CD" w14:textId="77777777" w:rsidR="00415A7E" w:rsidRPr="005674D6" w:rsidRDefault="00415A7E" w:rsidP="00646036">
            <w:r w:rsidRPr="005674D6">
              <w:t xml:space="preserve">Perform annual reviews of the list of health care services, including prescription drugs, that require prior authorization and eliminate requirements that do not “promote health care quality or equity” or “substantially reduce health care spending” </w:t>
            </w:r>
          </w:p>
          <w:p w14:paraId="1EC96D40" w14:textId="77777777" w:rsidR="00415A7E" w:rsidRPr="005674D6" w:rsidRDefault="00415A7E" w:rsidP="00646036"/>
          <w:p w14:paraId="3070F9AE" w14:textId="77777777" w:rsidR="00415A7E" w:rsidRPr="005674D6" w:rsidRDefault="00415A7E" w:rsidP="00646036">
            <w:r w:rsidRPr="005674D6">
              <w:t>Adopt programs to eliminate or substantially modify prior auth requirements to remove the administrative burden for qualified providers.</w:t>
            </w:r>
          </w:p>
          <w:p w14:paraId="79276259" w14:textId="77777777" w:rsidR="00415A7E" w:rsidRPr="005674D6" w:rsidRDefault="00415A7E" w:rsidP="00646036"/>
          <w:p w14:paraId="76F4DDE0" w14:textId="77777777" w:rsidR="00415A7E" w:rsidRPr="005674D6" w:rsidRDefault="00415A7E" w:rsidP="00646036">
            <w:r w:rsidRPr="005674D6">
              <w:t xml:space="preserve">Prohibits insurance carriers or pharmacy benefit managers from imposing prior authorization requirements more than once every three years for FDA-approved chronic maintenance drugs if the carrier or PBM has previously approved a prior authorization for the covered person. </w:t>
            </w:r>
            <w:r w:rsidRPr="005674D6">
              <w:rPr>
                <w:rFonts w:ascii="Arial" w:hAnsi="Arial" w:cs="Arial"/>
              </w:rPr>
              <w:t>​</w:t>
            </w:r>
          </w:p>
        </w:tc>
      </w:tr>
      <w:tr w:rsidR="00415A7E" w:rsidRPr="005674D6" w14:paraId="2AB12128" w14:textId="77777777" w:rsidTr="52B404F0">
        <w:trPr>
          <w:trHeight w:val="564"/>
        </w:trPr>
        <w:tc>
          <w:tcPr>
            <w:tcW w:w="937" w:type="pct"/>
          </w:tcPr>
          <w:p w14:paraId="727A4E7B" w14:textId="77777777" w:rsidR="00415A7E" w:rsidRPr="005674D6" w:rsidRDefault="00415A7E" w:rsidP="00646036">
            <w:r w:rsidRPr="005674D6">
              <w:t>Iowa</w:t>
            </w:r>
          </w:p>
        </w:tc>
        <w:tc>
          <w:tcPr>
            <w:tcW w:w="1917" w:type="pct"/>
          </w:tcPr>
          <w:p w14:paraId="5921A770" w14:textId="77777777" w:rsidR="00415A7E" w:rsidRPr="005674D6" w:rsidRDefault="00415A7E" w:rsidP="00646036">
            <w:r w:rsidRPr="005674D6">
              <w:t>Prohibition on prior authorization: January 1, 2027; Annual review by insurance carriers: 2025</w:t>
            </w:r>
          </w:p>
        </w:tc>
        <w:tc>
          <w:tcPr>
            <w:tcW w:w="2146" w:type="pct"/>
          </w:tcPr>
          <w:p w14:paraId="7B215D1C" w14:textId="6ED9FEA9" w:rsidR="00415A7E" w:rsidRPr="005674D6" w:rsidRDefault="7E6F830E" w:rsidP="00646036">
            <w:r>
              <w:t>Prohibits prior authorization for: cancer-related screenings recommended by the person’s health care provider based on the most recently updated national comprehensive cancer network clinical practice guidelines in oncology which are designated as category 2A or lower; the diagnosis and treatment of an emergency medical conditions that develops or becomes evident while the person is in inpatient care that meets inpatient care standard</w:t>
            </w:r>
            <w:r w:rsidR="43D5FF53">
              <w:t>;</w:t>
            </w:r>
            <w:r>
              <w:t xml:space="preserve"> if the emergency medical condition is reasonably determined by a health care professional to be a life-threatening condition unless the covered person receives immediate assessment and treatment. </w:t>
            </w:r>
          </w:p>
          <w:p w14:paraId="49FDEAD1" w14:textId="77777777" w:rsidR="00415A7E" w:rsidRPr="005674D6" w:rsidRDefault="00415A7E" w:rsidP="00646036"/>
          <w:p w14:paraId="2D262047" w14:textId="77777777" w:rsidR="00415A7E" w:rsidRPr="005674D6" w:rsidRDefault="00415A7E" w:rsidP="00646036">
            <w:r w:rsidRPr="005674D6">
              <w:t>Requires insurance carriers to conduct an annual review and report on prior authorization, eliminate prior authorization requirements for services that are routinely approved and report on this, and justify any prior authorization that is in place where more than 80% were approved in the previous 12 months in their annual reporting.</w:t>
            </w:r>
          </w:p>
        </w:tc>
      </w:tr>
      <w:tr w:rsidR="00415A7E" w:rsidRPr="005674D6" w14:paraId="2AA1384D" w14:textId="77777777" w:rsidTr="52B404F0">
        <w:trPr>
          <w:trHeight w:val="564"/>
        </w:trPr>
        <w:tc>
          <w:tcPr>
            <w:tcW w:w="937" w:type="pct"/>
          </w:tcPr>
          <w:p w14:paraId="6851BB71" w14:textId="77777777" w:rsidR="00415A7E" w:rsidRPr="005674D6" w:rsidRDefault="00415A7E" w:rsidP="00646036">
            <w:r w:rsidRPr="005674D6">
              <w:t>Maine</w:t>
            </w:r>
          </w:p>
        </w:tc>
        <w:tc>
          <w:tcPr>
            <w:tcW w:w="1917" w:type="pct"/>
          </w:tcPr>
          <w:p w14:paraId="2290DBEF" w14:textId="77777777" w:rsidR="00415A7E" w:rsidRPr="005674D6" w:rsidRDefault="00415A7E" w:rsidP="00646036">
            <w:r w:rsidRPr="005674D6">
              <w:t>2023</w:t>
            </w:r>
          </w:p>
        </w:tc>
        <w:tc>
          <w:tcPr>
            <w:tcW w:w="2146" w:type="pct"/>
          </w:tcPr>
          <w:p w14:paraId="2A52194C" w14:textId="77777777" w:rsidR="00415A7E" w:rsidRPr="005674D6" w:rsidRDefault="00415A7E" w:rsidP="00646036">
            <w:r w:rsidRPr="005674D6">
              <w:t>Prohibits prior authorization for: 12 visits of rehabilitative or habilitative services</w:t>
            </w:r>
          </w:p>
        </w:tc>
      </w:tr>
      <w:tr w:rsidR="00415A7E" w:rsidRPr="005674D6" w14:paraId="17068F93" w14:textId="77777777" w:rsidTr="52B404F0">
        <w:trPr>
          <w:trHeight w:val="564"/>
        </w:trPr>
        <w:tc>
          <w:tcPr>
            <w:tcW w:w="937" w:type="pct"/>
          </w:tcPr>
          <w:p w14:paraId="05F9A496" w14:textId="77777777" w:rsidR="00415A7E" w:rsidRPr="005674D6" w:rsidRDefault="00415A7E" w:rsidP="00646036">
            <w:r w:rsidRPr="005674D6">
              <w:t>Massachusetts</w:t>
            </w:r>
          </w:p>
        </w:tc>
        <w:tc>
          <w:tcPr>
            <w:tcW w:w="1917" w:type="pct"/>
          </w:tcPr>
          <w:p w14:paraId="552BD453" w14:textId="77777777" w:rsidR="00415A7E" w:rsidRPr="005674D6" w:rsidRDefault="00415A7E" w:rsidP="00646036">
            <w:r w:rsidRPr="005674D6">
              <w:t>June 5, 2026</w:t>
            </w:r>
          </w:p>
        </w:tc>
        <w:tc>
          <w:tcPr>
            <w:tcW w:w="2146" w:type="pct"/>
          </w:tcPr>
          <w:p w14:paraId="0D7D5916" w14:textId="7EC73F86" w:rsidR="00415A7E" w:rsidRPr="005674D6" w:rsidRDefault="7E6F830E" w:rsidP="00646036">
            <w:r>
              <w:t>Prohibits prior authorization for: emergency services, inpatient acute care services (including inpatient acute mental health treatment), post-acute care services provided on weekends or holidays, urgent care services, primary care services, preventive health services and vaccinations, abortion and abortion-related care, maternity services, physical therapy, occupational therapy, and speech therapy, outpatient substance use disorder services, medications for serious, persistent mental illness, specific chronic care medications identified (diabetes, heart disease, asthma, specific post-cancer diagnosis radiology imaging used to stage or determine treatment efficacy.</w:t>
            </w:r>
          </w:p>
          <w:p w14:paraId="1CCF47CF" w14:textId="77777777" w:rsidR="00415A7E" w:rsidRPr="005674D6" w:rsidRDefault="00415A7E" w:rsidP="00646036"/>
          <w:p w14:paraId="5702871F" w14:textId="155D4775" w:rsidR="00415A7E" w:rsidRPr="005674D6" w:rsidRDefault="7E6F830E" w:rsidP="00646036">
            <w:r>
              <w:t xml:space="preserve">Requires insurance carriers to annually review their prior authorization lists and survey patients about their experiences, giving the DOI additional data to evaluate progress, reduce waste, and improve patient experience. </w:t>
            </w:r>
          </w:p>
        </w:tc>
      </w:tr>
      <w:tr w:rsidR="00415A7E" w:rsidRPr="005674D6" w14:paraId="325EAD9B" w14:textId="77777777" w:rsidTr="52B404F0">
        <w:trPr>
          <w:trHeight w:val="564"/>
        </w:trPr>
        <w:tc>
          <w:tcPr>
            <w:tcW w:w="937" w:type="pct"/>
          </w:tcPr>
          <w:p w14:paraId="71BEAFAC" w14:textId="77777777" w:rsidR="00415A7E" w:rsidRPr="005674D6" w:rsidRDefault="00415A7E" w:rsidP="00646036">
            <w:r w:rsidRPr="005674D6">
              <w:t>Michigan</w:t>
            </w:r>
          </w:p>
        </w:tc>
        <w:tc>
          <w:tcPr>
            <w:tcW w:w="1917" w:type="pct"/>
          </w:tcPr>
          <w:p w14:paraId="3B665F4F" w14:textId="77777777" w:rsidR="00415A7E" w:rsidRPr="005674D6" w:rsidRDefault="00415A7E" w:rsidP="00646036">
            <w:r w:rsidRPr="005674D6">
              <w:t>July 1, 2016</w:t>
            </w:r>
          </w:p>
        </w:tc>
        <w:tc>
          <w:tcPr>
            <w:tcW w:w="2146" w:type="pct"/>
          </w:tcPr>
          <w:p w14:paraId="61631D0F" w14:textId="7D99E739" w:rsidR="00415A7E" w:rsidRPr="005674D6" w:rsidRDefault="00415A7E" w:rsidP="00646036">
            <w:r w:rsidRPr="005674D6">
              <w:t xml:space="preserve">Prohibits prior authorization for: pediatricians for general pediatric care services; emergency health services; </w:t>
            </w:r>
            <w:r w:rsidR="009D799A">
              <w:t>w</w:t>
            </w:r>
            <w:r w:rsidRPr="005674D6">
              <w:t>ell woman visits.</w:t>
            </w:r>
          </w:p>
        </w:tc>
      </w:tr>
      <w:tr w:rsidR="00415A7E" w:rsidRPr="005674D6" w14:paraId="4AC40289" w14:textId="77777777" w:rsidTr="52B404F0">
        <w:trPr>
          <w:trHeight w:val="564"/>
        </w:trPr>
        <w:tc>
          <w:tcPr>
            <w:tcW w:w="937" w:type="pct"/>
          </w:tcPr>
          <w:p w14:paraId="7536CF06" w14:textId="77777777" w:rsidR="00415A7E" w:rsidRPr="005674D6" w:rsidRDefault="00415A7E" w:rsidP="00646036">
            <w:r w:rsidRPr="005674D6">
              <w:t>Minnesota</w:t>
            </w:r>
          </w:p>
        </w:tc>
        <w:tc>
          <w:tcPr>
            <w:tcW w:w="1917" w:type="pct"/>
          </w:tcPr>
          <w:p w14:paraId="52B11077" w14:textId="77777777" w:rsidR="00415A7E" w:rsidRPr="005674D6" w:rsidRDefault="00415A7E" w:rsidP="00646036">
            <w:r w:rsidRPr="005674D6">
              <w:t>January 1, 2026</w:t>
            </w:r>
          </w:p>
        </w:tc>
        <w:tc>
          <w:tcPr>
            <w:tcW w:w="2146" w:type="pct"/>
          </w:tcPr>
          <w:p w14:paraId="1A019BD5" w14:textId="3D3119EB" w:rsidR="00415A7E" w:rsidRPr="005674D6" w:rsidRDefault="2ABA1D62" w:rsidP="00646036">
            <w:r>
              <w:t>Prohibits prior authorization for: outpatient mental health treatment or outpatient substance use disorder treatment, not including medications; antineoplastic cancer treatment consistent with National Comprehensive Cancer Network guidelines, not including medications; certain preventive services and immunizations; pediatric hospice</w:t>
            </w:r>
            <w:r w:rsidRPr="52B404F0">
              <w:rPr>
                <w:rFonts w:ascii="Arial" w:hAnsi="Arial" w:cs="Arial"/>
              </w:rPr>
              <w:t> </w:t>
            </w:r>
            <w:r>
              <w:t>services; and</w:t>
            </w:r>
            <w:r w:rsidRPr="52B404F0">
              <w:rPr>
                <w:rFonts w:ascii="Arial" w:hAnsi="Arial" w:cs="Arial"/>
              </w:rPr>
              <w:t> </w:t>
            </w:r>
            <w:r>
              <w:t>treatment delivered through a neonatal abstinence program.</w:t>
            </w:r>
          </w:p>
        </w:tc>
      </w:tr>
      <w:tr w:rsidR="00415A7E" w:rsidRPr="005674D6" w14:paraId="5544CD55" w14:textId="77777777" w:rsidTr="52B404F0">
        <w:trPr>
          <w:trHeight w:val="564"/>
        </w:trPr>
        <w:tc>
          <w:tcPr>
            <w:tcW w:w="937" w:type="pct"/>
          </w:tcPr>
          <w:p w14:paraId="5CA21889" w14:textId="77777777" w:rsidR="00415A7E" w:rsidRPr="005674D6" w:rsidRDefault="00415A7E" w:rsidP="00646036">
            <w:r w:rsidRPr="005674D6">
              <w:t>Missouri</w:t>
            </w:r>
          </w:p>
        </w:tc>
        <w:tc>
          <w:tcPr>
            <w:tcW w:w="1917" w:type="pct"/>
          </w:tcPr>
          <w:p w14:paraId="519426A5" w14:textId="77777777" w:rsidR="00415A7E" w:rsidRPr="005674D6" w:rsidRDefault="00415A7E" w:rsidP="00646036">
            <w:r w:rsidRPr="005674D6">
              <w:t>Emergency services (2018); MAT (2021)</w:t>
            </w:r>
          </w:p>
        </w:tc>
        <w:tc>
          <w:tcPr>
            <w:tcW w:w="2146" w:type="pct"/>
          </w:tcPr>
          <w:p w14:paraId="3B9B70D7" w14:textId="3B191C86" w:rsidR="00415A7E" w:rsidRPr="005674D6" w:rsidRDefault="7E6F830E" w:rsidP="00646036">
            <w:r>
              <w:t xml:space="preserve">Prohibits </w:t>
            </w:r>
            <w:bookmarkStart w:id="5" w:name="_Int_CenEyc5u"/>
            <w:r>
              <w:t>prior</w:t>
            </w:r>
            <w:bookmarkEnd w:id="5"/>
            <w:r>
              <w:t xml:space="preserve"> authorization for: emergency services, stabilization services, medication-assisted treatments (including pharmacological therapies). </w:t>
            </w:r>
          </w:p>
        </w:tc>
      </w:tr>
      <w:tr w:rsidR="00415A7E" w:rsidRPr="005674D6" w14:paraId="0C2AB05C" w14:textId="77777777" w:rsidTr="52B404F0">
        <w:trPr>
          <w:trHeight w:val="564"/>
        </w:trPr>
        <w:tc>
          <w:tcPr>
            <w:tcW w:w="937" w:type="pct"/>
          </w:tcPr>
          <w:p w14:paraId="4B861EEE" w14:textId="77777777" w:rsidR="00415A7E" w:rsidRPr="005674D6" w:rsidRDefault="00415A7E" w:rsidP="00646036">
            <w:r w:rsidRPr="005674D6">
              <w:t xml:space="preserve">New Hampshire </w:t>
            </w:r>
          </w:p>
        </w:tc>
        <w:tc>
          <w:tcPr>
            <w:tcW w:w="1917" w:type="pct"/>
          </w:tcPr>
          <w:p w14:paraId="735D5D42" w14:textId="77777777" w:rsidR="00415A7E" w:rsidRPr="005674D6" w:rsidRDefault="00415A7E" w:rsidP="00646036">
            <w:r w:rsidRPr="005674D6">
              <w:t>SUD: January 1, 2017; Data: January 1, 2025</w:t>
            </w:r>
          </w:p>
        </w:tc>
        <w:tc>
          <w:tcPr>
            <w:tcW w:w="2146" w:type="pct"/>
          </w:tcPr>
          <w:p w14:paraId="5FCFB425" w14:textId="77777777" w:rsidR="00415A7E" w:rsidRPr="005674D6" w:rsidRDefault="00415A7E" w:rsidP="00646036">
            <w:r w:rsidRPr="005674D6">
              <w:t>Prohibits prior authorization for: medically necessary interfacility transports for services related to the treatment and diagnosis of mental illnesses, treatment of an emergency medical condition as defined in RSA 420-J:3, XV, at least one medication-assisted treatment therapy for treatment of substance use disorders, the first 2 routine outpatient visits of an episode of care for assessment and care relating to a substance use disorder, the first 24 hours of short-term inpatient withdrawal management and clinical stabilization services.</w:t>
            </w:r>
          </w:p>
          <w:p w14:paraId="3E3EE35B" w14:textId="77777777" w:rsidR="00415A7E" w:rsidRPr="005674D6" w:rsidRDefault="00415A7E" w:rsidP="00646036"/>
          <w:p w14:paraId="0DA4F3D3" w14:textId="77777777" w:rsidR="00415A7E" w:rsidRPr="005674D6" w:rsidRDefault="00415A7E" w:rsidP="00646036">
            <w:r w:rsidRPr="005674D6">
              <w:t>Collects prior authorization metrics and posts them publicly by insurer.</w:t>
            </w:r>
          </w:p>
        </w:tc>
      </w:tr>
      <w:tr w:rsidR="00415A7E" w:rsidRPr="005674D6" w14:paraId="061C6608" w14:textId="77777777" w:rsidTr="52B404F0">
        <w:trPr>
          <w:trHeight w:val="564"/>
        </w:trPr>
        <w:tc>
          <w:tcPr>
            <w:tcW w:w="937" w:type="pct"/>
          </w:tcPr>
          <w:p w14:paraId="5CBC7091" w14:textId="77777777" w:rsidR="00415A7E" w:rsidRPr="005674D6" w:rsidRDefault="00415A7E" w:rsidP="00646036">
            <w:r w:rsidRPr="005674D6">
              <w:t>New Mexico</w:t>
            </w:r>
          </w:p>
        </w:tc>
        <w:tc>
          <w:tcPr>
            <w:tcW w:w="1917" w:type="pct"/>
          </w:tcPr>
          <w:p w14:paraId="44375EE4" w14:textId="77777777" w:rsidR="00415A7E" w:rsidRPr="005674D6" w:rsidRDefault="00415A7E" w:rsidP="00646036">
            <w:r w:rsidRPr="005674D6">
              <w:t>Medication treatment of an autoimmune disorder, cancer, a rare disease or condition, a serious mental illness or a substance use disorder, except in cases in which a biosimilar (2026); Gynecological and obstetric ultrasounds (2025); Mental health disorder and substance use disorder services, prescription drugs for SUD services (2023)</w:t>
            </w:r>
          </w:p>
        </w:tc>
        <w:tc>
          <w:tcPr>
            <w:tcW w:w="2146" w:type="pct"/>
          </w:tcPr>
          <w:p w14:paraId="1B40201B" w14:textId="77777777" w:rsidR="00415A7E" w:rsidRPr="005674D6" w:rsidRDefault="00415A7E" w:rsidP="00646036">
            <w:r w:rsidRPr="005674D6">
              <w:t>Prohibits prior authorization for: mental health and substance use disorder services, medication treatment of an autoimmune disorder, cancer, a rare disease or condition, a serious mental illness or a substance use disorder, except in cases in which a biosimilar, interchangeable biologic or generic version is available, emergency care, contraception, coverage for individuals with diabetes, and gynecologic and obstetric ultrasounds.</w:t>
            </w:r>
          </w:p>
        </w:tc>
      </w:tr>
      <w:tr w:rsidR="00415A7E" w:rsidRPr="005674D6" w14:paraId="42002F81" w14:textId="77777777" w:rsidTr="52B404F0">
        <w:trPr>
          <w:trHeight w:val="564"/>
        </w:trPr>
        <w:tc>
          <w:tcPr>
            <w:tcW w:w="937" w:type="pct"/>
          </w:tcPr>
          <w:p w14:paraId="0A82F98E" w14:textId="77777777" w:rsidR="00415A7E" w:rsidRPr="005674D6" w:rsidRDefault="00415A7E" w:rsidP="00646036">
            <w:r w:rsidRPr="005674D6">
              <w:t>Nebraska</w:t>
            </w:r>
          </w:p>
        </w:tc>
        <w:tc>
          <w:tcPr>
            <w:tcW w:w="1917" w:type="pct"/>
          </w:tcPr>
          <w:p w14:paraId="5DAC7C59" w14:textId="77777777" w:rsidR="00415A7E" w:rsidRPr="005674D6" w:rsidRDefault="00415A7E" w:rsidP="00646036">
            <w:r w:rsidRPr="005674D6">
              <w:t>January 1, 2026</w:t>
            </w:r>
          </w:p>
        </w:tc>
        <w:tc>
          <w:tcPr>
            <w:tcW w:w="2146" w:type="pct"/>
          </w:tcPr>
          <w:p w14:paraId="3D2B5247" w14:textId="46797FBE" w:rsidR="00415A7E" w:rsidRPr="005674D6" w:rsidRDefault="7E6F830E" w:rsidP="00646036">
            <w:r>
              <w:t>Prohibits prior authorization for: emergency confinement; pre-hospital transport for emergency health services or transfers between facilities as required by federal EMTLA; or services that have an A or B rating from the US Preventive Task Force, immunizations recommended Advisory Committee on Immunization Practices of the Centers for Disease Control and Prevention, or preventive services and screening provided to women as required by</w:t>
            </w:r>
            <w:r w:rsidR="387779AD">
              <w:t xml:space="preserve"> </w:t>
            </w:r>
            <w:r>
              <w:t>45 C.F.R. 147.130.</w:t>
            </w:r>
          </w:p>
        </w:tc>
      </w:tr>
      <w:tr w:rsidR="00415A7E" w:rsidRPr="005674D6" w14:paraId="3E521324" w14:textId="77777777" w:rsidTr="52B404F0">
        <w:trPr>
          <w:trHeight w:val="564"/>
        </w:trPr>
        <w:tc>
          <w:tcPr>
            <w:tcW w:w="937" w:type="pct"/>
          </w:tcPr>
          <w:p w14:paraId="1C2B4D2B" w14:textId="77777777" w:rsidR="00415A7E" w:rsidRPr="005674D6" w:rsidRDefault="00415A7E" w:rsidP="00646036">
            <w:r w:rsidRPr="005674D6">
              <w:t xml:space="preserve">North Dakota </w:t>
            </w:r>
          </w:p>
        </w:tc>
        <w:tc>
          <w:tcPr>
            <w:tcW w:w="1917" w:type="pct"/>
          </w:tcPr>
          <w:p w14:paraId="443C3447" w14:textId="77777777" w:rsidR="00415A7E" w:rsidRPr="005674D6" w:rsidRDefault="00415A7E" w:rsidP="00646036">
            <w:r w:rsidRPr="005674D6">
              <w:t>December 31, 2025</w:t>
            </w:r>
          </w:p>
        </w:tc>
        <w:tc>
          <w:tcPr>
            <w:tcW w:w="2146" w:type="pct"/>
          </w:tcPr>
          <w:p w14:paraId="54AE5079" w14:textId="77777777" w:rsidR="00415A7E" w:rsidRPr="005674D6" w:rsidRDefault="00415A7E" w:rsidP="00646036">
            <w:r w:rsidRPr="005674D6">
              <w:t>Prohibits prior authorization for: medication-assisted treatment of opioid use disorder; prehospital transportation or for the provision of emergency health care services for an emergency medical condition.</w:t>
            </w:r>
          </w:p>
        </w:tc>
      </w:tr>
      <w:tr w:rsidR="00415A7E" w:rsidRPr="005674D6" w14:paraId="0D245648" w14:textId="77777777" w:rsidTr="52B404F0">
        <w:trPr>
          <w:trHeight w:val="564"/>
        </w:trPr>
        <w:tc>
          <w:tcPr>
            <w:tcW w:w="937" w:type="pct"/>
          </w:tcPr>
          <w:p w14:paraId="6DB5161B" w14:textId="77777777" w:rsidR="00415A7E" w:rsidRPr="005674D6" w:rsidRDefault="00415A7E" w:rsidP="00646036">
            <w:r w:rsidRPr="005674D6">
              <w:t>Oregon</w:t>
            </w:r>
          </w:p>
        </w:tc>
        <w:tc>
          <w:tcPr>
            <w:tcW w:w="1917" w:type="pct"/>
          </w:tcPr>
          <w:p w14:paraId="571DF554" w14:textId="77777777" w:rsidR="00415A7E" w:rsidRPr="005674D6" w:rsidRDefault="00415A7E" w:rsidP="00646036">
            <w:r w:rsidRPr="005674D6">
              <w:t>January 1, 2018</w:t>
            </w:r>
          </w:p>
        </w:tc>
        <w:tc>
          <w:tcPr>
            <w:tcW w:w="2146" w:type="pct"/>
          </w:tcPr>
          <w:p w14:paraId="33598A88" w14:textId="77777777" w:rsidR="00415A7E" w:rsidRPr="005674D6" w:rsidRDefault="00415A7E" w:rsidP="00646036">
            <w:r w:rsidRPr="005674D6">
              <w:t>Prohibits prior authorization for: the first 60 days of treatment for medication assisted treatment for opioid or opiate withdrawal, HIV treatment and prevention medications, FDA approved medications for substance use disorder, additional medically necessary procedures discovered during an already authorized surgery.</w:t>
            </w:r>
          </w:p>
        </w:tc>
      </w:tr>
      <w:tr w:rsidR="00415A7E" w:rsidRPr="005674D6" w14:paraId="12BE15ED" w14:textId="77777777" w:rsidTr="52B404F0">
        <w:trPr>
          <w:trHeight w:val="564"/>
        </w:trPr>
        <w:tc>
          <w:tcPr>
            <w:tcW w:w="937" w:type="pct"/>
          </w:tcPr>
          <w:p w14:paraId="460EB796" w14:textId="77777777" w:rsidR="00415A7E" w:rsidRPr="005674D6" w:rsidRDefault="00415A7E" w:rsidP="00646036">
            <w:r w:rsidRPr="005674D6">
              <w:t>Washington</w:t>
            </w:r>
          </w:p>
        </w:tc>
        <w:tc>
          <w:tcPr>
            <w:tcW w:w="1917" w:type="pct"/>
          </w:tcPr>
          <w:p w14:paraId="49BD9B6B" w14:textId="433DF346" w:rsidR="00C21CD2" w:rsidRDefault="00415A7E" w:rsidP="00646036">
            <w:r w:rsidRPr="005674D6">
              <w:t>O</w:t>
            </w:r>
            <w:r w:rsidR="00B0469A">
              <w:t>pioid use disorder</w:t>
            </w:r>
            <w:r w:rsidRPr="005674D6">
              <w:t>: January 1, 2020; S</w:t>
            </w:r>
            <w:r w:rsidR="00B0469A">
              <w:t>ubstance use disorder</w:t>
            </w:r>
            <w:r w:rsidRPr="005674D6">
              <w:t>: January 1, 202</w:t>
            </w:r>
            <w:r w:rsidR="00C21CD2">
              <w:t>1</w:t>
            </w:r>
            <w:r w:rsidRPr="005674D6">
              <w:t xml:space="preserve">; </w:t>
            </w:r>
          </w:p>
          <w:p w14:paraId="3DA5CE82" w14:textId="7BDC33D6" w:rsidR="00415A7E" w:rsidRPr="005674D6" w:rsidRDefault="00C21CD2" w:rsidP="00646036">
            <w:r>
              <w:t>H</w:t>
            </w:r>
            <w:r w:rsidRPr="005674D6">
              <w:t>uman immunodeficiency virus</w:t>
            </w:r>
            <w:r>
              <w:t xml:space="preserve"> (HIV)</w:t>
            </w:r>
            <w:r w:rsidRPr="005674D6">
              <w:t xml:space="preserve"> postexposure prophylaxis</w:t>
            </w:r>
            <w:r w:rsidR="00415A7E" w:rsidRPr="005674D6">
              <w:t>: January 1, 2025</w:t>
            </w:r>
          </w:p>
        </w:tc>
        <w:tc>
          <w:tcPr>
            <w:tcW w:w="2146" w:type="pct"/>
          </w:tcPr>
          <w:p w14:paraId="1CF022FA" w14:textId="09409ABF" w:rsidR="00415A7E" w:rsidRPr="005674D6" w:rsidRDefault="7E6F830E" w:rsidP="00646036">
            <w:r>
              <w:t xml:space="preserve">Prohibits the use of prior authorization for at least one federal food and drug administration approved product for the treatment of opioid use disorder in the drug </w:t>
            </w:r>
            <w:r w:rsidR="6881830E">
              <w:t>classes of</w:t>
            </w:r>
            <w:r>
              <w:t xml:space="preserve"> opioid agonists, opioid antagonists, and opioid partial agonists. </w:t>
            </w:r>
          </w:p>
          <w:p w14:paraId="437A8AD1" w14:textId="77777777" w:rsidR="00415A7E" w:rsidRPr="005674D6" w:rsidRDefault="00415A7E" w:rsidP="00646036"/>
          <w:p w14:paraId="4F2C3E07" w14:textId="77777777" w:rsidR="00415A7E" w:rsidRPr="005674D6" w:rsidRDefault="00415A7E" w:rsidP="00646036">
            <w:r w:rsidRPr="005674D6">
              <w:t>Prohibits the use of prior authorization for withdrawal management services or inpatient or residential substance use disorder services in a behavioral health agency.</w:t>
            </w:r>
          </w:p>
          <w:p w14:paraId="6F548508" w14:textId="77777777" w:rsidR="00415A7E" w:rsidRPr="005674D6" w:rsidRDefault="00415A7E" w:rsidP="00646036"/>
          <w:p w14:paraId="188072BA" w14:textId="77777777" w:rsidR="00415A7E" w:rsidRPr="005674D6" w:rsidRDefault="00415A7E" w:rsidP="00646036">
            <w:r w:rsidRPr="005674D6">
              <w:t>Prohibits prior authorization for drugs that comprise at least one regimen recommended by the centers for disease control and prevention for human immunodeficiency virus postexposure prophylaxis.</w:t>
            </w:r>
          </w:p>
        </w:tc>
      </w:tr>
    </w:tbl>
    <w:p w14:paraId="4C09A08C" w14:textId="35999C17" w:rsidR="00415A7E" w:rsidRDefault="00415A7E" w:rsidP="008B0A5B">
      <w:pPr>
        <w:pStyle w:val="NonTOCHeading"/>
      </w:pPr>
    </w:p>
    <w:p w14:paraId="69D72874" w14:textId="77777777" w:rsidR="008B0A5B" w:rsidRPr="005674D6" w:rsidRDefault="008B0A5B" w:rsidP="008B0A5B">
      <w:pPr>
        <w:pStyle w:val="NonTOCHeading"/>
      </w:pPr>
    </w:p>
    <w:p w14:paraId="5C176AFF" w14:textId="317D1C5B" w:rsidR="00415A7E" w:rsidRPr="005674D6" w:rsidRDefault="7487C0F1" w:rsidP="008B0A5B">
      <w:pPr>
        <w:pStyle w:val="NonTOCHeading"/>
      </w:pPr>
      <w:r>
        <w:t xml:space="preserve">States with the Policy: Standardized forms for prior authorization </w:t>
      </w:r>
    </w:p>
    <w:tbl>
      <w:tblPr>
        <w:tblW w:w="10080" w:type="dxa"/>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2091"/>
        <w:gridCol w:w="3624"/>
        <w:gridCol w:w="4365"/>
      </w:tblGrid>
      <w:tr w:rsidR="00415A7E" w:rsidRPr="005674D6" w14:paraId="041FB1B4" w14:textId="77777777" w:rsidTr="52B404F0">
        <w:trPr>
          <w:trHeight w:val="375"/>
          <w:tblHeader/>
        </w:trPr>
        <w:tc>
          <w:tcPr>
            <w:tcW w:w="2091" w:type="dxa"/>
            <w:shd w:val="clear" w:color="auto" w:fill="F2F2F2" w:themeFill="background2" w:themeFillShade="F2"/>
          </w:tcPr>
          <w:p w14:paraId="09709028" w14:textId="77777777" w:rsidR="00415A7E" w:rsidRPr="005674D6" w:rsidRDefault="7487C0F1" w:rsidP="7D95DB54">
            <w:pPr>
              <w:rPr>
                <w:b/>
                <w:bCs/>
              </w:rPr>
            </w:pPr>
            <w:r w:rsidRPr="7D95DB54">
              <w:rPr>
                <w:b/>
                <w:bCs/>
              </w:rPr>
              <w:t>State</w:t>
            </w:r>
          </w:p>
        </w:tc>
        <w:tc>
          <w:tcPr>
            <w:tcW w:w="3624" w:type="dxa"/>
            <w:shd w:val="clear" w:color="auto" w:fill="F2F2F2" w:themeFill="background2" w:themeFillShade="F2"/>
          </w:tcPr>
          <w:p w14:paraId="3E570800" w14:textId="77777777" w:rsidR="00415A7E" w:rsidRPr="005674D6" w:rsidRDefault="7487C0F1" w:rsidP="7D95DB54">
            <w:pPr>
              <w:rPr>
                <w:b/>
                <w:bCs/>
              </w:rPr>
            </w:pPr>
            <w:r w:rsidRPr="7D95DB54">
              <w:rPr>
                <w:b/>
                <w:bCs/>
              </w:rPr>
              <w:t>Implementation Date</w:t>
            </w:r>
          </w:p>
        </w:tc>
        <w:tc>
          <w:tcPr>
            <w:tcW w:w="4365" w:type="dxa"/>
            <w:shd w:val="clear" w:color="auto" w:fill="F2F2F2" w:themeFill="background2" w:themeFillShade="F2"/>
          </w:tcPr>
          <w:p w14:paraId="2BDACE0E" w14:textId="77777777" w:rsidR="00415A7E" w:rsidRPr="005674D6" w:rsidRDefault="7487C0F1" w:rsidP="7D95DB54">
            <w:pPr>
              <w:rPr>
                <w:b/>
                <w:bCs/>
              </w:rPr>
            </w:pPr>
            <w:r w:rsidRPr="7D95DB54">
              <w:rPr>
                <w:b/>
                <w:bCs/>
              </w:rPr>
              <w:t>Key Variations/Notes</w:t>
            </w:r>
          </w:p>
        </w:tc>
      </w:tr>
      <w:tr w:rsidR="00415A7E" w:rsidRPr="005674D6" w14:paraId="0D79E6CD" w14:textId="77777777" w:rsidTr="52B404F0">
        <w:trPr>
          <w:trHeight w:val="564"/>
        </w:trPr>
        <w:tc>
          <w:tcPr>
            <w:tcW w:w="2091" w:type="dxa"/>
          </w:tcPr>
          <w:p w14:paraId="4EF0E5DC" w14:textId="77777777" w:rsidR="00415A7E" w:rsidRPr="005674D6" w:rsidRDefault="00415A7E" w:rsidP="00646036">
            <w:r w:rsidRPr="005674D6">
              <w:t>Arizona</w:t>
            </w:r>
          </w:p>
        </w:tc>
        <w:tc>
          <w:tcPr>
            <w:tcW w:w="3624" w:type="dxa"/>
          </w:tcPr>
          <w:p w14:paraId="0AAF0DDB" w14:textId="77777777" w:rsidR="00415A7E" w:rsidRPr="005674D6" w:rsidRDefault="00415A7E" w:rsidP="00646036">
            <w:r w:rsidRPr="005674D6">
              <w:t>January 1, 2023</w:t>
            </w:r>
          </w:p>
        </w:tc>
        <w:tc>
          <w:tcPr>
            <w:tcW w:w="4365" w:type="dxa"/>
          </w:tcPr>
          <w:p w14:paraId="78B3315E" w14:textId="77777777" w:rsidR="00415A7E" w:rsidRPr="005674D6" w:rsidRDefault="00415A7E" w:rsidP="00646036">
            <w:r w:rsidRPr="005674D6">
              <w:t>Requires DOI to approve a uniform request form for prescription drugs, devices or durable medical equipment and a uniform prior authorization request form for all other health care procedures, treatments and services. The forms must be 2 pages or less and meet the electronic submission and acceptance requirements prescribed under the law. Requires use by providers/plans.</w:t>
            </w:r>
          </w:p>
        </w:tc>
      </w:tr>
      <w:tr w:rsidR="00415A7E" w:rsidRPr="005674D6" w14:paraId="67C32459" w14:textId="77777777" w:rsidTr="52B404F0">
        <w:trPr>
          <w:trHeight w:val="564"/>
        </w:trPr>
        <w:tc>
          <w:tcPr>
            <w:tcW w:w="2091" w:type="dxa"/>
          </w:tcPr>
          <w:p w14:paraId="1897FF7F" w14:textId="77777777" w:rsidR="00415A7E" w:rsidRPr="005674D6" w:rsidRDefault="00415A7E" w:rsidP="00646036">
            <w:r w:rsidRPr="005674D6">
              <w:t>Colorado</w:t>
            </w:r>
          </w:p>
        </w:tc>
        <w:tc>
          <w:tcPr>
            <w:tcW w:w="3624" w:type="dxa"/>
          </w:tcPr>
          <w:p w14:paraId="1A316762" w14:textId="77777777" w:rsidR="00415A7E" w:rsidRPr="005674D6" w:rsidRDefault="00415A7E" w:rsidP="00646036">
            <w:r w:rsidRPr="005674D6">
              <w:t>2013</w:t>
            </w:r>
          </w:p>
        </w:tc>
        <w:tc>
          <w:tcPr>
            <w:tcW w:w="4365" w:type="dxa"/>
          </w:tcPr>
          <w:p w14:paraId="7457CF93" w14:textId="77777777" w:rsidR="00415A7E" w:rsidRPr="005674D6" w:rsidRDefault="00415A7E" w:rsidP="00646036">
            <w:r w:rsidRPr="005674D6">
              <w:t>Requires commissioner to develop, by rule, a standardized drug benefit prior authorization form, not to exceed two pages in length, for use in submitting electronic and nonelectronic drug benefit prior authorization requests. In developing the form, the commissioner shall take into consideration existing forms, including existing prior authorization forms established by CMS or the department of health care policy and financing.</w:t>
            </w:r>
          </w:p>
        </w:tc>
      </w:tr>
      <w:tr w:rsidR="00415A7E" w:rsidRPr="005674D6" w14:paraId="622A480E" w14:textId="77777777" w:rsidTr="52B404F0">
        <w:trPr>
          <w:trHeight w:val="564"/>
        </w:trPr>
        <w:tc>
          <w:tcPr>
            <w:tcW w:w="2091" w:type="dxa"/>
          </w:tcPr>
          <w:p w14:paraId="4456648A" w14:textId="77777777" w:rsidR="00415A7E" w:rsidRPr="005674D6" w:rsidRDefault="00415A7E" w:rsidP="00646036">
            <w:r w:rsidRPr="005674D6">
              <w:t>Massachusetts</w:t>
            </w:r>
          </w:p>
        </w:tc>
        <w:tc>
          <w:tcPr>
            <w:tcW w:w="3624" w:type="dxa"/>
          </w:tcPr>
          <w:p w14:paraId="415BE5CA" w14:textId="77777777" w:rsidR="00415A7E" w:rsidRPr="005674D6" w:rsidRDefault="00415A7E" w:rsidP="00646036">
            <w:r w:rsidRPr="005674D6">
              <w:t>2012</w:t>
            </w:r>
          </w:p>
        </w:tc>
        <w:tc>
          <w:tcPr>
            <w:tcW w:w="4365" w:type="dxa"/>
          </w:tcPr>
          <w:p w14:paraId="7D8B402F" w14:textId="261A0C26" w:rsidR="00415A7E" w:rsidRPr="005674D6" w:rsidRDefault="7E6F830E" w:rsidP="00646036">
            <w:r>
              <w:t xml:space="preserve">Requires DOI to develop and implement uniform prior authorization forms for different health care services and benefits, including but not limited to post-acute care admissions and home health transitions. The forms must be 2 pages or less, be made electronically </w:t>
            </w:r>
            <w:r w:rsidR="2162AAF3">
              <w:t>available,</w:t>
            </w:r>
            <w:r>
              <w:t xml:space="preserve"> and be capable of being electronically accepted by the insurer after being completed. Requires insurance carriers to use and accept these forms.</w:t>
            </w:r>
          </w:p>
        </w:tc>
      </w:tr>
      <w:tr w:rsidR="00415A7E" w:rsidRPr="005674D6" w14:paraId="608127CB" w14:textId="77777777" w:rsidTr="52B404F0">
        <w:trPr>
          <w:trHeight w:val="564"/>
        </w:trPr>
        <w:tc>
          <w:tcPr>
            <w:tcW w:w="2091" w:type="dxa"/>
          </w:tcPr>
          <w:p w14:paraId="0B1B1A08" w14:textId="77777777" w:rsidR="00415A7E" w:rsidRPr="005674D6" w:rsidRDefault="00415A7E" w:rsidP="00646036">
            <w:r w:rsidRPr="005674D6">
              <w:t>Michigan</w:t>
            </w:r>
          </w:p>
        </w:tc>
        <w:tc>
          <w:tcPr>
            <w:tcW w:w="3624" w:type="dxa"/>
          </w:tcPr>
          <w:p w14:paraId="29C24953" w14:textId="77777777" w:rsidR="00415A7E" w:rsidRPr="005674D6" w:rsidRDefault="00415A7E" w:rsidP="00646036">
            <w:r w:rsidRPr="005674D6">
              <w:t>January 1, 2016</w:t>
            </w:r>
          </w:p>
        </w:tc>
        <w:tc>
          <w:tcPr>
            <w:tcW w:w="4365" w:type="dxa"/>
          </w:tcPr>
          <w:p w14:paraId="1D83B345" w14:textId="77777777" w:rsidR="00415A7E" w:rsidRPr="005674D6" w:rsidRDefault="00415A7E" w:rsidP="00646036">
            <w:r w:rsidRPr="005674D6">
              <w:t>Requires the use of a standard prior authorization form when a policy, certificate or contract requires prior authorization for prescription drug benefits. This form is made available on the DIFS website to simplify exchanges of information between prescribers and health insurance carriers as part of the prior authorization process.</w:t>
            </w:r>
          </w:p>
        </w:tc>
      </w:tr>
      <w:tr w:rsidR="00415A7E" w:rsidRPr="005674D6" w14:paraId="073C6AC6" w14:textId="77777777" w:rsidTr="52B404F0">
        <w:trPr>
          <w:trHeight w:val="564"/>
        </w:trPr>
        <w:tc>
          <w:tcPr>
            <w:tcW w:w="2091" w:type="dxa"/>
          </w:tcPr>
          <w:p w14:paraId="55E08CC2" w14:textId="77777777" w:rsidR="00415A7E" w:rsidRPr="005674D6" w:rsidRDefault="00415A7E" w:rsidP="00646036">
            <w:r w:rsidRPr="005674D6">
              <w:t>Nebraska</w:t>
            </w:r>
          </w:p>
        </w:tc>
        <w:tc>
          <w:tcPr>
            <w:tcW w:w="3624" w:type="dxa"/>
          </w:tcPr>
          <w:p w14:paraId="2284CB8A" w14:textId="77777777" w:rsidR="00415A7E" w:rsidRPr="005674D6" w:rsidRDefault="00415A7E" w:rsidP="00646036">
            <w:r w:rsidRPr="005674D6">
              <w:t>November 1, 2025</w:t>
            </w:r>
          </w:p>
        </w:tc>
        <w:tc>
          <w:tcPr>
            <w:tcW w:w="4365" w:type="dxa"/>
          </w:tcPr>
          <w:p w14:paraId="5B813789" w14:textId="69C010E7" w:rsidR="00415A7E" w:rsidRPr="005674D6" w:rsidRDefault="00415A7E" w:rsidP="00646036">
            <w:r w:rsidRPr="005674D6">
              <w:t>Require</w:t>
            </w:r>
            <w:r w:rsidR="009A2E3C">
              <w:t>s</w:t>
            </w:r>
            <w:r w:rsidRPr="005674D6">
              <w:t xml:space="preserve"> department to approve a single uniform prior authorization request form for prescription drugs, devices, and durable medical equipment and a single uniform prior authorization request form for all other health care services. </w:t>
            </w:r>
          </w:p>
        </w:tc>
      </w:tr>
      <w:tr w:rsidR="00415A7E" w:rsidRPr="005674D6" w14:paraId="381DAECC" w14:textId="77777777" w:rsidTr="52B404F0">
        <w:trPr>
          <w:trHeight w:val="564"/>
        </w:trPr>
        <w:tc>
          <w:tcPr>
            <w:tcW w:w="2091" w:type="dxa"/>
          </w:tcPr>
          <w:p w14:paraId="33D8E5E7" w14:textId="77777777" w:rsidR="00415A7E" w:rsidRPr="005674D6" w:rsidRDefault="00415A7E" w:rsidP="00646036">
            <w:r w:rsidRPr="005674D6">
              <w:t>New Hampshire</w:t>
            </w:r>
          </w:p>
        </w:tc>
        <w:tc>
          <w:tcPr>
            <w:tcW w:w="3624" w:type="dxa"/>
          </w:tcPr>
          <w:p w14:paraId="22F89CB2" w14:textId="77777777" w:rsidR="00415A7E" w:rsidRPr="005674D6" w:rsidRDefault="00415A7E" w:rsidP="00646036">
            <w:r w:rsidRPr="005674D6">
              <w:t>2017</w:t>
            </w:r>
          </w:p>
        </w:tc>
        <w:tc>
          <w:tcPr>
            <w:tcW w:w="4365" w:type="dxa"/>
          </w:tcPr>
          <w:p w14:paraId="36A020F9" w14:textId="77777777" w:rsidR="00415A7E" w:rsidRPr="005674D6" w:rsidRDefault="00415A7E" w:rsidP="00646036">
            <w:r w:rsidRPr="005674D6">
              <w:t>Requires insurance carriers that require prior authorization for prescription drugs to use and accept the state’s standard prior authorization forms (or the approved electronic standard).</w:t>
            </w:r>
          </w:p>
        </w:tc>
      </w:tr>
      <w:tr w:rsidR="00415A7E" w:rsidRPr="005674D6" w14:paraId="7BF64A52" w14:textId="77777777" w:rsidTr="52B404F0">
        <w:trPr>
          <w:trHeight w:val="564"/>
        </w:trPr>
        <w:tc>
          <w:tcPr>
            <w:tcW w:w="2091" w:type="dxa"/>
          </w:tcPr>
          <w:p w14:paraId="65C7A6BE" w14:textId="77777777" w:rsidR="00415A7E" w:rsidRPr="005674D6" w:rsidRDefault="00415A7E" w:rsidP="00646036">
            <w:r w:rsidRPr="005674D6">
              <w:t>New Mexico</w:t>
            </w:r>
          </w:p>
        </w:tc>
        <w:tc>
          <w:tcPr>
            <w:tcW w:w="3624" w:type="dxa"/>
          </w:tcPr>
          <w:p w14:paraId="3754B0AC" w14:textId="77777777" w:rsidR="00415A7E" w:rsidRPr="005674D6" w:rsidRDefault="00415A7E" w:rsidP="00646036">
            <w:r w:rsidRPr="005674D6">
              <w:t>2019</w:t>
            </w:r>
          </w:p>
        </w:tc>
        <w:tc>
          <w:tcPr>
            <w:tcW w:w="4365" w:type="dxa"/>
          </w:tcPr>
          <w:p w14:paraId="470A94AB" w14:textId="77777777" w:rsidR="00415A7E" w:rsidRPr="005674D6" w:rsidRDefault="00415A7E" w:rsidP="00646036">
            <w:r w:rsidRPr="005674D6">
              <w:t>Requires DOI to adopt and insurance carriers to use a streamlined and uniform prior authorization form for medical care, pharmaceutical benefits or related benefits.</w:t>
            </w:r>
          </w:p>
        </w:tc>
      </w:tr>
      <w:tr w:rsidR="00415A7E" w:rsidRPr="005674D6" w14:paraId="64FC184F" w14:textId="77777777" w:rsidTr="52B404F0">
        <w:trPr>
          <w:trHeight w:val="564"/>
        </w:trPr>
        <w:tc>
          <w:tcPr>
            <w:tcW w:w="2091" w:type="dxa"/>
          </w:tcPr>
          <w:p w14:paraId="328E22B4" w14:textId="77777777" w:rsidR="00415A7E" w:rsidRPr="005674D6" w:rsidRDefault="00415A7E" w:rsidP="00646036">
            <w:r w:rsidRPr="005674D6">
              <w:t>Oregon</w:t>
            </w:r>
          </w:p>
        </w:tc>
        <w:tc>
          <w:tcPr>
            <w:tcW w:w="3624" w:type="dxa"/>
          </w:tcPr>
          <w:p w14:paraId="11D6110F" w14:textId="77777777" w:rsidR="00415A7E" w:rsidRPr="005674D6" w:rsidRDefault="00415A7E" w:rsidP="00646036">
            <w:r w:rsidRPr="005674D6">
              <w:t>July 1, 2015</w:t>
            </w:r>
          </w:p>
        </w:tc>
        <w:tc>
          <w:tcPr>
            <w:tcW w:w="4365" w:type="dxa"/>
          </w:tcPr>
          <w:p w14:paraId="5C5932BB" w14:textId="1D57E14D" w:rsidR="00415A7E" w:rsidRPr="005674D6" w:rsidRDefault="7E6F830E" w:rsidP="00646036">
            <w:r>
              <w:t xml:space="preserve">Requires DOI to develop by rule a uniform form that providers must use to request a prior authorization for a prescription drug benefit. The form must not exceed 2 pages and be electronically available and transmissible and include a provision under which additional information may be requested and provided. </w:t>
            </w:r>
          </w:p>
        </w:tc>
      </w:tr>
      <w:tr w:rsidR="00415A7E" w:rsidRPr="005674D6" w14:paraId="2BAA2915" w14:textId="77777777" w:rsidTr="52B404F0">
        <w:trPr>
          <w:trHeight w:val="564"/>
        </w:trPr>
        <w:tc>
          <w:tcPr>
            <w:tcW w:w="2091" w:type="dxa"/>
          </w:tcPr>
          <w:p w14:paraId="363D6983" w14:textId="77777777" w:rsidR="00415A7E" w:rsidRPr="005674D6" w:rsidRDefault="00415A7E" w:rsidP="00646036">
            <w:r w:rsidRPr="005674D6">
              <w:t>Texas</w:t>
            </w:r>
          </w:p>
        </w:tc>
        <w:tc>
          <w:tcPr>
            <w:tcW w:w="3624" w:type="dxa"/>
          </w:tcPr>
          <w:p w14:paraId="6D05A61F" w14:textId="77777777" w:rsidR="00415A7E" w:rsidRPr="005674D6" w:rsidRDefault="00415A7E" w:rsidP="00646036">
            <w:r w:rsidRPr="005674D6">
              <w:t>2013; revised 2022</w:t>
            </w:r>
          </w:p>
        </w:tc>
        <w:tc>
          <w:tcPr>
            <w:tcW w:w="4365" w:type="dxa"/>
          </w:tcPr>
          <w:p w14:paraId="0CC2E3CF" w14:textId="77777777" w:rsidR="00415A7E" w:rsidRPr="005674D6" w:rsidRDefault="00415A7E" w:rsidP="00646036">
            <w:r w:rsidRPr="005674D6">
              <w:t>Requires DOI to prescribe a single, standard prior authorization request form and require issuers to accept and use this standard form.</w:t>
            </w:r>
          </w:p>
        </w:tc>
      </w:tr>
      <w:tr w:rsidR="00415A7E" w:rsidRPr="005674D6" w14:paraId="07F0127F" w14:textId="77777777" w:rsidTr="52B404F0">
        <w:trPr>
          <w:trHeight w:val="405"/>
        </w:trPr>
        <w:tc>
          <w:tcPr>
            <w:tcW w:w="2091" w:type="dxa"/>
          </w:tcPr>
          <w:p w14:paraId="39F6DCE7" w14:textId="77777777" w:rsidR="00415A7E" w:rsidRPr="005674D6" w:rsidRDefault="00415A7E" w:rsidP="00646036">
            <w:r w:rsidRPr="005674D6">
              <w:t>Washington</w:t>
            </w:r>
          </w:p>
        </w:tc>
        <w:tc>
          <w:tcPr>
            <w:tcW w:w="3624" w:type="dxa"/>
          </w:tcPr>
          <w:p w14:paraId="4E854E54" w14:textId="77777777" w:rsidR="00415A7E" w:rsidRPr="005674D6" w:rsidRDefault="00415A7E" w:rsidP="00646036">
            <w:r w:rsidRPr="005674D6">
              <w:t>2024</w:t>
            </w:r>
          </w:p>
        </w:tc>
        <w:tc>
          <w:tcPr>
            <w:tcW w:w="4365" w:type="dxa"/>
          </w:tcPr>
          <w:p w14:paraId="365C2479" w14:textId="5A3EBA10" w:rsidR="00415A7E" w:rsidRPr="005674D6" w:rsidRDefault="7487C0F1" w:rsidP="00646036">
            <w:r>
              <w:t>Requires Health Care Authority and OIC to develop a universal format accepted by all health insurance carriers and Medicaid managed care organizations for behavioral health agencies to use for service authorization requests with common data requirements and a standardized form and simplified electronic process.</w:t>
            </w:r>
          </w:p>
        </w:tc>
      </w:tr>
    </w:tbl>
    <w:p w14:paraId="22E1605D" w14:textId="76822B2E" w:rsidR="52B404F0" w:rsidRDefault="52B404F0" w:rsidP="00C94932">
      <w:pPr>
        <w:rPr>
          <w:rStyle w:val="Heading3Char"/>
          <w:sz w:val="20"/>
          <w:szCs w:val="20"/>
        </w:rPr>
      </w:pPr>
    </w:p>
    <w:p w14:paraId="20025221" w14:textId="07B2462D" w:rsidR="00415A7E" w:rsidRPr="005674D6" w:rsidRDefault="2ABA1D62" w:rsidP="00C94932">
      <w:bookmarkStart w:id="6" w:name="_ph66sjhru5in"/>
      <w:bookmarkEnd w:id="6"/>
      <w:r w:rsidRPr="00C94932">
        <w:rPr>
          <w:rStyle w:val="NonTOCHeadingChar"/>
        </w:rPr>
        <w:t>Premium Impact and Savings Analysis</w:t>
      </w:r>
      <w:r w:rsidR="00415A7E">
        <w:br/>
      </w:r>
      <w:r w:rsidR="617B93D4" w:rsidRPr="52B404F0">
        <w:t xml:space="preserve">According to the </w:t>
      </w:r>
      <w:hyperlink r:id="rId16">
        <w:r w:rsidR="617B93D4" w:rsidRPr="52B404F0">
          <w:t>2023 CAQH Index</w:t>
        </w:r>
      </w:hyperlink>
      <w:r w:rsidR="617B93D4" w:rsidRPr="52B404F0">
        <w:t>,</w:t>
      </w:r>
      <w:r w:rsidR="617B93D4">
        <w:t xml:space="preserve"> </w:t>
      </w:r>
      <w:r w:rsidRPr="52B404F0">
        <w:t>there is about $494 million per year in additional savings for the U.S. medical industry if prior authorization becomes fully electronic. Current evidence suggests that API-enabled electronic prior authorization generates meaningful administrative savings and workflow efficiencies. Any premium impact is expected to be modest and indirect, with the primary benefits accruing through reduced administrative burden, faster care, and improved interoperability.</w:t>
      </w:r>
      <w:bookmarkStart w:id="7" w:name="_9kmediouvr5n"/>
      <w:bookmarkEnd w:id="7"/>
    </w:p>
    <w:p w14:paraId="65A5CC5B" w14:textId="56AF0FAB" w:rsidR="7D95DB54" w:rsidRDefault="7D95DB54" w:rsidP="7D95DB54"/>
    <w:p w14:paraId="1415741D" w14:textId="77777777" w:rsidR="00415A7E" w:rsidRPr="005674D6" w:rsidRDefault="7487C0F1" w:rsidP="008B0A5B">
      <w:pPr>
        <w:pStyle w:val="NonTOCHeading"/>
      </w:pPr>
      <w:r>
        <w:t>Conclusion</w:t>
      </w:r>
    </w:p>
    <w:p w14:paraId="161431E3" w14:textId="611E9109" w:rsidR="00415A7E" w:rsidRPr="005B55C1" w:rsidRDefault="7E6F830E" w:rsidP="00646036">
      <w:pPr>
        <w:rPr>
          <w:color w:val="auto"/>
        </w:rPr>
      </w:pPr>
      <w:r>
        <w:t xml:space="preserve">These policy approaches demonstrate that states can pursue prior authorization reforms that reduce cost, administrative </w:t>
      </w:r>
      <w:r w:rsidR="63B6FFB9">
        <w:t>burden,</w:t>
      </w:r>
      <w:r>
        <w:t xml:space="preserve"> and improve timely access to care while preserving appropriate utilization review. As states continue to implement and evaluate these reforms, policymakers should consider how best to balance </w:t>
      </w:r>
      <w:r w:rsidRPr="52B404F0">
        <w:rPr>
          <w:color w:val="auto"/>
        </w:rPr>
        <w:t>administrative efficiency, affordability, patient access, and safeguards that support safe, evidence-based care.</w:t>
      </w:r>
      <w:r w:rsidR="00415A7E">
        <w:br/>
      </w:r>
    </w:p>
    <w:p w14:paraId="1FCA9188" w14:textId="77777777" w:rsidR="00415A7E" w:rsidRPr="005B55C1" w:rsidRDefault="7487C0F1" w:rsidP="008B0A5B">
      <w:pPr>
        <w:pStyle w:val="NonTOCHeading"/>
        <w:rPr>
          <w:color w:val="auto"/>
        </w:rPr>
      </w:pPr>
      <w:bookmarkStart w:id="8" w:name="_x3vcmys0lev4"/>
      <w:bookmarkEnd w:id="8"/>
      <w:r>
        <w:t>Sources</w:t>
      </w:r>
    </w:p>
    <w:p w14:paraId="393DCD7F" w14:textId="76CE9CD9" w:rsidR="00415A7E" w:rsidRPr="005B55C1" w:rsidRDefault="7E6F830E" w:rsidP="00932C4D">
      <w:pPr>
        <w:pStyle w:val="ListParagraph"/>
        <w:numPr>
          <w:ilvl w:val="0"/>
          <w:numId w:val="34"/>
        </w:numPr>
        <w:rPr>
          <w:color w:val="auto"/>
        </w:rPr>
      </w:pPr>
      <w:bookmarkStart w:id="9" w:name="_ie94ygfgbdwj"/>
      <w:bookmarkEnd w:id="9"/>
      <w:r w:rsidRPr="52B404F0">
        <w:rPr>
          <w:color w:val="auto"/>
        </w:rPr>
        <w:t xml:space="preserve">For information relating to the </w:t>
      </w:r>
      <w:r w:rsidR="00A0153F">
        <w:rPr>
          <w:color w:val="auto"/>
        </w:rPr>
        <w:t>AHIP’s</w:t>
      </w:r>
      <w:r w:rsidRPr="52B404F0">
        <w:rPr>
          <w:color w:val="auto"/>
        </w:rPr>
        <w:t xml:space="preserve"> and Blue Cross Blue Shield Association’s initiative to accelerate patient access to care and reduce administrative burdens for providers by having participating plans adopt a standardized approach for providers submitting electronic prior authorization requests for the majority of medical services. </w:t>
      </w:r>
      <w:hyperlink r:id="rId17">
        <w:r w:rsidRPr="00A0153F">
          <w:rPr>
            <w:rStyle w:val="Hyperlink"/>
            <w:color w:val="0070C0"/>
          </w:rPr>
          <w:t>https://www.ahip.org/news/articles/health-plans-take-next-step-to-streamline-and-simplify-prior-authorization-for-patients-and-providers</w:t>
        </w:r>
      </w:hyperlink>
      <w:r w:rsidRPr="52B404F0">
        <w:rPr>
          <w:color w:val="auto"/>
        </w:rPr>
        <w:t xml:space="preserve">; </w:t>
      </w:r>
      <w:hyperlink r:id="rId18">
        <w:r w:rsidRPr="00A0153F">
          <w:rPr>
            <w:rStyle w:val="Hyperlink"/>
            <w:color w:val="0070C0"/>
          </w:rPr>
          <w:t>https://www.ahip.org/news/articles/health-plans-reduce-prior-authorization-support-continuity-of-care-and-enhanced-consumer-communications</w:t>
        </w:r>
      </w:hyperlink>
    </w:p>
    <w:p w14:paraId="130158BB" w14:textId="77777777" w:rsidR="00415A7E" w:rsidRPr="005B55C1" w:rsidRDefault="00415A7E" w:rsidP="00932C4D">
      <w:pPr>
        <w:pStyle w:val="ListParagraph"/>
        <w:numPr>
          <w:ilvl w:val="0"/>
          <w:numId w:val="34"/>
        </w:numPr>
        <w:rPr>
          <w:color w:val="auto"/>
        </w:rPr>
      </w:pPr>
      <w:r w:rsidRPr="005B55C1">
        <w:rPr>
          <w:color w:val="auto"/>
        </w:rPr>
        <w:t xml:space="preserve">For information relating to federal policies relating to APIs and relevant standards and implementation guides. </w:t>
      </w:r>
      <w:hyperlink r:id="rId19" w:history="1">
        <w:r w:rsidRPr="00A0153F">
          <w:rPr>
            <w:rStyle w:val="Hyperlink"/>
            <w:color w:val="0070C0"/>
          </w:rPr>
          <w:t>https://www.cms.gov/priorities/burden-reduction/overview/interoperability/implementation-guides-standards/application-programming-interfaces-apis-relevant-standards-implementation-guides-igs</w:t>
        </w:r>
      </w:hyperlink>
      <w:r w:rsidRPr="005B55C1">
        <w:rPr>
          <w:color w:val="auto"/>
        </w:rPr>
        <w:t xml:space="preserve"> </w:t>
      </w:r>
    </w:p>
    <w:p w14:paraId="35B5BE5F" w14:textId="77777777" w:rsidR="00415A7E" w:rsidRPr="005B55C1" w:rsidRDefault="00415A7E" w:rsidP="00932C4D">
      <w:pPr>
        <w:pStyle w:val="ListParagraph"/>
        <w:numPr>
          <w:ilvl w:val="0"/>
          <w:numId w:val="34"/>
        </w:numPr>
        <w:rPr>
          <w:color w:val="auto"/>
        </w:rPr>
      </w:pPr>
      <w:r w:rsidRPr="005B55C1">
        <w:rPr>
          <w:color w:val="auto"/>
        </w:rPr>
        <w:t>For information relating to the affordability implications of inappropriate prior authorization, as well as the affordability benefits of various prior authorization reforms see:</w:t>
      </w:r>
    </w:p>
    <w:p w14:paraId="18552472" w14:textId="77777777" w:rsidR="00415A7E" w:rsidRPr="005B55C1" w:rsidRDefault="00415A7E" w:rsidP="00932C4D">
      <w:pPr>
        <w:pStyle w:val="ListParagraph"/>
        <w:numPr>
          <w:ilvl w:val="1"/>
          <w:numId w:val="34"/>
        </w:numPr>
        <w:rPr>
          <w:color w:val="auto"/>
        </w:rPr>
      </w:pPr>
      <w:r w:rsidRPr="005B55C1">
        <w:rPr>
          <w:color w:val="auto"/>
        </w:rPr>
        <w:t>Lorraine T. Dean, Amy Stewart Nunn, Hsien-Yeb Chang, et al., Estimating The Impact Of Out-Of-Pocket Cost Changes On Abandonment Of HIV PreExposure Prophylaxis. Health Aff (Millwood). 2024 Jan;43(1):36-45. Doi: 10.1377/hlthaff.2023.00808. Researchers found patients facing a high out-of-pocket cost for a medication that was denied prior authorization approval is likely to abandon the prescription at the pharmacy.</w:t>
      </w:r>
    </w:p>
    <w:p w14:paraId="1563EC67" w14:textId="15354F29" w:rsidR="00415A7E" w:rsidRPr="005B55C1" w:rsidRDefault="7E6F830E" w:rsidP="00932C4D">
      <w:pPr>
        <w:pStyle w:val="ListParagraph"/>
        <w:numPr>
          <w:ilvl w:val="1"/>
          <w:numId w:val="34"/>
        </w:numPr>
        <w:rPr>
          <w:color w:val="auto"/>
        </w:rPr>
      </w:pPr>
      <w:r w:rsidRPr="52B404F0">
        <w:rPr>
          <w:color w:val="auto"/>
        </w:rPr>
        <w:t xml:space="preserve">Tami L. Mark, William J. Parish, and Gary A. Zarkin, Association of Formulary Prior Authorization Policies With Buprenorphine-Naloxone Prescriptions and Hospital and Emergency Department Use Among Medicare Beneficiaries. JAMA Netw. Open. 2020 Apr 1;3(4). doi: 10.1001/jamanetworkopen.2020.3132. Removing prior authorization for buprenorphinenaloxone (a medication used to treat opioid use disorders) in Medicare was associated with an increase in the medication use and decreases in health care utilization and expenditures. </w:t>
      </w:r>
    </w:p>
    <w:p w14:paraId="3570EDBB" w14:textId="77777777" w:rsidR="00415A7E" w:rsidRPr="005B55C1" w:rsidRDefault="00415A7E" w:rsidP="00932C4D">
      <w:pPr>
        <w:pStyle w:val="ListParagraph"/>
        <w:numPr>
          <w:ilvl w:val="1"/>
          <w:numId w:val="34"/>
        </w:numPr>
        <w:rPr>
          <w:color w:val="auto"/>
        </w:rPr>
      </w:pPr>
      <w:r w:rsidRPr="005B55C1">
        <w:rPr>
          <w:color w:val="auto"/>
        </w:rPr>
        <w:t>Zachary S. Wallace, Tyler Harkness, Xiaoqing Fu, et al., Treatment Delays Associated With Prior Authorization for Infusible Medications: A Cohort Study. Arthritis Care Res (Hoboken). 2020 Nov;72(11):1543-1549. doi: 10.1002/acr.24062. Prior authorization requirements are associated with treatment delays and denials are associated with greater glucocorticoid exposure.</w:t>
      </w:r>
    </w:p>
    <w:p w14:paraId="033EF30F" w14:textId="7CFAB105" w:rsidR="00236CA4" w:rsidRPr="005674D6" w:rsidRDefault="00236CA4" w:rsidP="001973C6">
      <w:pPr>
        <w:spacing w:line="280" w:lineRule="atLeast"/>
        <w:rPr>
          <w:lang w:val="en"/>
        </w:rPr>
        <w:sectPr w:rsidR="00236CA4" w:rsidRPr="005674D6" w:rsidSect="00B875F3">
          <w:headerReference w:type="default" r:id="rId20"/>
          <w:headerReference w:type="first" r:id="rId21"/>
          <w:footerReference w:type="first" r:id="rId22"/>
          <w:pgSz w:w="12240" w:h="15840" w:code="1"/>
          <w:pgMar w:top="1080" w:right="1080" w:bottom="1080" w:left="1080" w:header="720" w:footer="720" w:gutter="0"/>
          <w:cols w:space="708"/>
          <w:titlePg/>
          <w:docGrid w:linePitch="360"/>
        </w:sectPr>
      </w:pPr>
    </w:p>
    <w:p w14:paraId="63D8CC6B" w14:textId="252033A4" w:rsidR="00943041" w:rsidRPr="008B0A5B" w:rsidRDefault="00A0153F" w:rsidP="008B0A5B">
      <w:pPr>
        <w:pStyle w:val="Heading1"/>
      </w:pPr>
      <w:bookmarkStart w:id="10" w:name="_Toc243048301"/>
      <w:r w:rsidRPr="008B0A5B">
        <w:t xml:space="preserve">Section 2: </w:t>
      </w:r>
      <w:r w:rsidR="7AF28A49" w:rsidRPr="008B0A5B">
        <w:t>Horizontal and Vertical Integration in Health Care</w:t>
      </w:r>
      <w:bookmarkEnd w:id="10"/>
    </w:p>
    <w:p w14:paraId="357E5D10" w14:textId="77777777" w:rsidR="00D946F8" w:rsidRPr="005674D6" w:rsidRDefault="00D946F8" w:rsidP="008B0A5B">
      <w:pPr>
        <w:pStyle w:val="NonTOCHeading"/>
        <w:rPr>
          <w:bCs/>
          <w:lang w:val="en"/>
        </w:rPr>
      </w:pPr>
      <w:r w:rsidRPr="005674D6">
        <w:rPr>
          <w:lang w:val="en"/>
        </w:rPr>
        <w:t>Contributors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2"/>
        <w:gridCol w:w="4365"/>
        <w:gridCol w:w="3393"/>
      </w:tblGrid>
      <w:tr w:rsidR="00761B1E" w:rsidRPr="005674D6" w14:paraId="6F13B9D2" w14:textId="77777777" w:rsidTr="7D95DB54">
        <w:trPr>
          <w:trHeight w:val="450"/>
        </w:trPr>
        <w:tc>
          <w:tcPr>
            <w:tcW w:w="1152"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1067C136" w14:textId="77777777" w:rsidR="00761B1E" w:rsidRPr="005674D6" w:rsidRDefault="17DB251D" w:rsidP="7D95DB54">
            <w:pPr>
              <w:rPr>
                <w:b/>
                <w:bCs/>
              </w:rPr>
            </w:pPr>
            <w:r w:rsidRPr="7D95DB54">
              <w:rPr>
                <w:b/>
                <w:bCs/>
                <w:lang w:val="en"/>
              </w:rPr>
              <w:t>Contributors</w:t>
            </w:r>
            <w:r w:rsidRPr="7D95DB54">
              <w:rPr>
                <w:b/>
                <w:bCs/>
              </w:rPr>
              <w:t> </w:t>
            </w:r>
          </w:p>
        </w:tc>
        <w:tc>
          <w:tcPr>
            <w:tcW w:w="2165"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776BFF51" w14:textId="77777777" w:rsidR="00761B1E" w:rsidRPr="005674D6" w:rsidRDefault="17DB251D" w:rsidP="7D95DB54">
            <w:pPr>
              <w:rPr>
                <w:b/>
                <w:bCs/>
              </w:rPr>
            </w:pPr>
            <w:r w:rsidRPr="7D95DB54">
              <w:rPr>
                <w:b/>
                <w:bCs/>
                <w:lang w:val="en"/>
              </w:rPr>
              <w:t>Titles of Contributors</w:t>
            </w:r>
            <w:r w:rsidRPr="7D95DB54">
              <w:rPr>
                <w:b/>
                <w:bCs/>
              </w:rPr>
              <w:t> </w:t>
            </w:r>
          </w:p>
        </w:tc>
        <w:tc>
          <w:tcPr>
            <w:tcW w:w="1683"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052ECA4E" w14:textId="77777777" w:rsidR="00761B1E" w:rsidRPr="005674D6" w:rsidRDefault="17DB251D" w:rsidP="7D95DB54">
            <w:pPr>
              <w:rPr>
                <w:b/>
                <w:bCs/>
              </w:rPr>
            </w:pPr>
            <w:r w:rsidRPr="7D95DB54">
              <w:rPr>
                <w:b/>
                <w:bCs/>
                <w:lang w:val="en"/>
              </w:rPr>
              <w:t>States of Contributors</w:t>
            </w:r>
            <w:r w:rsidRPr="7D95DB54">
              <w:rPr>
                <w:b/>
                <w:bCs/>
              </w:rPr>
              <w:t> </w:t>
            </w:r>
          </w:p>
        </w:tc>
      </w:tr>
      <w:tr w:rsidR="00761B1E" w:rsidRPr="005674D6" w14:paraId="6F9B0995"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5F933ED4" w14:textId="689EAE62" w:rsidR="00761B1E" w:rsidRPr="005674D6" w:rsidRDefault="17DB251D" w:rsidP="7D95DB54">
            <w:pPr>
              <w:rPr>
                <w:lang w:val="en"/>
              </w:rPr>
            </w:pPr>
            <w:r w:rsidRPr="7D95DB54">
              <w:rPr>
                <w:lang w:val="en"/>
              </w:rPr>
              <w:t>Gabrielle Lessard</w:t>
            </w:r>
          </w:p>
        </w:tc>
        <w:tc>
          <w:tcPr>
            <w:tcW w:w="2165" w:type="pct"/>
            <w:tcBorders>
              <w:top w:val="single" w:sz="6" w:space="0" w:color="000000" w:themeColor="text1"/>
              <w:left w:val="nil"/>
              <w:bottom w:val="single" w:sz="6" w:space="0" w:color="000000" w:themeColor="text1"/>
              <w:right w:val="nil"/>
            </w:tcBorders>
            <w:vAlign w:val="center"/>
          </w:tcPr>
          <w:p w14:paraId="1E15B641" w14:textId="26BFB6A2" w:rsidR="00761B1E" w:rsidRPr="005674D6" w:rsidRDefault="17DB251D" w:rsidP="7D95DB54">
            <w:r>
              <w:t>Attorney, Health Equity and Access Office</w:t>
            </w:r>
          </w:p>
        </w:tc>
        <w:tc>
          <w:tcPr>
            <w:tcW w:w="1683" w:type="pct"/>
            <w:tcBorders>
              <w:top w:val="single" w:sz="6" w:space="0" w:color="000000" w:themeColor="text1"/>
              <w:left w:val="nil"/>
              <w:bottom w:val="single" w:sz="6" w:space="0" w:color="000000" w:themeColor="text1"/>
              <w:right w:val="nil"/>
            </w:tcBorders>
            <w:vAlign w:val="center"/>
          </w:tcPr>
          <w:p w14:paraId="3AD3EF95" w14:textId="4A382F00" w:rsidR="00761B1E" w:rsidRPr="005674D6" w:rsidRDefault="17DB251D" w:rsidP="7D95DB54">
            <w:pPr>
              <w:rPr>
                <w:lang w:val="en"/>
              </w:rPr>
            </w:pPr>
            <w:r w:rsidRPr="7D95DB54">
              <w:rPr>
                <w:lang w:val="en"/>
              </w:rPr>
              <w:t>California</w:t>
            </w:r>
          </w:p>
        </w:tc>
      </w:tr>
      <w:tr w:rsidR="00761B1E" w:rsidRPr="005674D6" w14:paraId="23B9B860"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00E8F919" w14:textId="01DE53FA" w:rsidR="00761B1E" w:rsidRPr="005674D6" w:rsidRDefault="17DB251D" w:rsidP="7D95DB54">
            <w:pPr>
              <w:rPr>
                <w:lang w:val="en"/>
              </w:rPr>
            </w:pPr>
            <w:r w:rsidRPr="7D95DB54">
              <w:rPr>
                <w:lang w:val="en"/>
              </w:rPr>
              <w:t>Stesha Hodges</w:t>
            </w:r>
          </w:p>
        </w:tc>
        <w:tc>
          <w:tcPr>
            <w:tcW w:w="2165" w:type="pct"/>
            <w:tcBorders>
              <w:top w:val="single" w:sz="6" w:space="0" w:color="000000" w:themeColor="text1"/>
              <w:left w:val="nil"/>
              <w:bottom w:val="single" w:sz="6" w:space="0" w:color="000000" w:themeColor="text1"/>
              <w:right w:val="nil"/>
            </w:tcBorders>
            <w:vAlign w:val="center"/>
          </w:tcPr>
          <w:p w14:paraId="5ECB0A7E" w14:textId="683A0296" w:rsidR="00761B1E" w:rsidRPr="005674D6" w:rsidRDefault="17DB251D" w:rsidP="7D95DB54">
            <w:r>
              <w:t>Assistant Chief Counsel and Chief, Health Equity and Access Office</w:t>
            </w:r>
          </w:p>
        </w:tc>
        <w:tc>
          <w:tcPr>
            <w:tcW w:w="1683" w:type="pct"/>
            <w:tcBorders>
              <w:top w:val="single" w:sz="6" w:space="0" w:color="000000" w:themeColor="text1"/>
              <w:left w:val="nil"/>
              <w:bottom w:val="single" w:sz="6" w:space="0" w:color="000000" w:themeColor="text1"/>
              <w:right w:val="nil"/>
            </w:tcBorders>
            <w:vAlign w:val="center"/>
          </w:tcPr>
          <w:p w14:paraId="7643D7C6" w14:textId="5C2C462E" w:rsidR="00761B1E" w:rsidRPr="005674D6" w:rsidRDefault="17DB251D" w:rsidP="7D95DB54">
            <w:pPr>
              <w:rPr>
                <w:lang w:val="en"/>
              </w:rPr>
            </w:pPr>
            <w:r w:rsidRPr="7D95DB54">
              <w:rPr>
                <w:lang w:val="en"/>
              </w:rPr>
              <w:t>California</w:t>
            </w:r>
          </w:p>
        </w:tc>
      </w:tr>
      <w:tr w:rsidR="00761B1E" w:rsidRPr="005674D6" w14:paraId="1C31743F"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26E2EEA7" w14:textId="77777777" w:rsidR="00761B1E" w:rsidRPr="005674D6" w:rsidRDefault="17DB251D" w:rsidP="7D95DB54">
            <w:pPr>
              <w:rPr>
                <w:lang w:val="en"/>
              </w:rPr>
            </w:pPr>
            <w:r w:rsidRPr="7D95DB54">
              <w:rPr>
                <w:lang w:val="en"/>
              </w:rPr>
              <w:t>Julie Holmes</w:t>
            </w:r>
          </w:p>
        </w:tc>
        <w:tc>
          <w:tcPr>
            <w:tcW w:w="2165" w:type="pct"/>
            <w:tcBorders>
              <w:top w:val="single" w:sz="6" w:space="0" w:color="000000" w:themeColor="text1"/>
              <w:left w:val="nil"/>
              <w:bottom w:val="single" w:sz="6" w:space="0" w:color="000000" w:themeColor="text1"/>
              <w:right w:val="nil"/>
            </w:tcBorders>
            <w:vAlign w:val="center"/>
          </w:tcPr>
          <w:p w14:paraId="6AEA43D9" w14:textId="77777777" w:rsidR="00761B1E" w:rsidRPr="005674D6" w:rsidRDefault="17DB251D" w:rsidP="7D95DB54">
            <w:pPr>
              <w:rPr>
                <w:lang w:val="en"/>
              </w:rPr>
            </w:pPr>
            <w:r w:rsidRPr="7D95DB54">
              <w:rPr>
                <w:lang w:val="en"/>
              </w:rPr>
              <w:t>Director, Rate and Form Compliance (retired)</w:t>
            </w:r>
          </w:p>
        </w:tc>
        <w:tc>
          <w:tcPr>
            <w:tcW w:w="1683" w:type="pct"/>
            <w:tcBorders>
              <w:top w:val="single" w:sz="6" w:space="0" w:color="000000" w:themeColor="text1"/>
              <w:left w:val="nil"/>
              <w:bottom w:val="single" w:sz="6" w:space="0" w:color="000000" w:themeColor="text1"/>
              <w:right w:val="nil"/>
            </w:tcBorders>
            <w:vAlign w:val="center"/>
          </w:tcPr>
          <w:p w14:paraId="3839CB1A" w14:textId="77777777" w:rsidR="00761B1E" w:rsidRPr="005674D6" w:rsidRDefault="17DB251D" w:rsidP="7D95DB54">
            <w:pPr>
              <w:rPr>
                <w:lang w:val="en"/>
              </w:rPr>
            </w:pPr>
            <w:r w:rsidRPr="7D95DB54">
              <w:rPr>
                <w:lang w:val="en"/>
              </w:rPr>
              <w:t>Kansas</w:t>
            </w:r>
          </w:p>
        </w:tc>
      </w:tr>
      <w:tr w:rsidR="00761B1E" w:rsidRPr="005674D6" w14:paraId="01DC2D1C"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6F882BD7" w14:textId="79F80D38" w:rsidR="00761B1E" w:rsidRPr="005674D6" w:rsidRDefault="17DB251D" w:rsidP="7D95DB54">
            <w:pPr>
              <w:rPr>
                <w:lang w:val="en"/>
              </w:rPr>
            </w:pPr>
            <w:r w:rsidRPr="7D95DB54">
              <w:rPr>
                <w:lang w:val="en"/>
              </w:rPr>
              <w:t>Megan Mason</w:t>
            </w:r>
          </w:p>
        </w:tc>
        <w:tc>
          <w:tcPr>
            <w:tcW w:w="2165" w:type="pct"/>
            <w:tcBorders>
              <w:top w:val="single" w:sz="6" w:space="0" w:color="000000" w:themeColor="text1"/>
              <w:left w:val="nil"/>
              <w:bottom w:val="single" w:sz="6" w:space="0" w:color="000000" w:themeColor="text1"/>
              <w:right w:val="nil"/>
            </w:tcBorders>
            <w:vAlign w:val="center"/>
          </w:tcPr>
          <w:p w14:paraId="5BFB0C00" w14:textId="58B6B8C3" w:rsidR="00761B1E" w:rsidRPr="005674D6" w:rsidRDefault="17DB251D" w:rsidP="7D95DB54">
            <w:pPr>
              <w:rPr>
                <w:lang w:val="en"/>
              </w:rPr>
            </w:pPr>
            <w:r w:rsidRPr="7D95DB54">
              <w:rPr>
                <w:lang w:val="en"/>
              </w:rPr>
              <w:t>Associate Commissioner, Life &amp; Health</w:t>
            </w:r>
          </w:p>
        </w:tc>
        <w:tc>
          <w:tcPr>
            <w:tcW w:w="1683" w:type="pct"/>
            <w:tcBorders>
              <w:top w:val="single" w:sz="6" w:space="0" w:color="000000" w:themeColor="text1"/>
              <w:left w:val="nil"/>
              <w:bottom w:val="single" w:sz="6" w:space="0" w:color="000000" w:themeColor="text1"/>
              <w:right w:val="nil"/>
            </w:tcBorders>
            <w:vAlign w:val="center"/>
          </w:tcPr>
          <w:p w14:paraId="5AE0EC75" w14:textId="6BB33EA2" w:rsidR="00761B1E" w:rsidRPr="005674D6" w:rsidRDefault="17DB251D" w:rsidP="7D95DB54">
            <w:pPr>
              <w:rPr>
                <w:lang w:val="en"/>
              </w:rPr>
            </w:pPr>
            <w:r w:rsidRPr="7D95DB54">
              <w:rPr>
                <w:lang w:val="en"/>
              </w:rPr>
              <w:t>Maryland</w:t>
            </w:r>
          </w:p>
        </w:tc>
      </w:tr>
      <w:tr w:rsidR="00761B1E" w:rsidRPr="005674D6" w14:paraId="6EEF0220" w14:textId="77777777" w:rsidTr="7D95DB54">
        <w:trPr>
          <w:trHeight w:val="450"/>
        </w:trPr>
        <w:tc>
          <w:tcPr>
            <w:tcW w:w="1152" w:type="pct"/>
            <w:tcBorders>
              <w:top w:val="single" w:sz="6" w:space="0" w:color="000000" w:themeColor="text1"/>
              <w:left w:val="nil"/>
              <w:bottom w:val="single" w:sz="6" w:space="0" w:color="000000" w:themeColor="text1"/>
              <w:right w:val="nil"/>
            </w:tcBorders>
            <w:vAlign w:val="center"/>
          </w:tcPr>
          <w:p w14:paraId="05E6D46F" w14:textId="1DD98753" w:rsidR="00761B1E" w:rsidRPr="005674D6" w:rsidRDefault="17DB251D" w:rsidP="7D95DB54">
            <w:pPr>
              <w:rPr>
                <w:lang w:val="en"/>
              </w:rPr>
            </w:pPr>
            <w:r w:rsidRPr="7D95DB54">
              <w:rPr>
                <w:lang w:val="en"/>
              </w:rPr>
              <w:t>Kristin Cly</w:t>
            </w:r>
          </w:p>
        </w:tc>
        <w:tc>
          <w:tcPr>
            <w:tcW w:w="2165" w:type="pct"/>
            <w:tcBorders>
              <w:top w:val="single" w:sz="6" w:space="0" w:color="000000" w:themeColor="text1"/>
              <w:left w:val="nil"/>
              <w:bottom w:val="single" w:sz="6" w:space="0" w:color="000000" w:themeColor="text1"/>
              <w:right w:val="nil"/>
            </w:tcBorders>
            <w:vAlign w:val="center"/>
          </w:tcPr>
          <w:p w14:paraId="09799068" w14:textId="0CE1287C" w:rsidR="00761B1E" w:rsidRPr="005674D6" w:rsidRDefault="17DB251D" w:rsidP="7D95DB54">
            <w:pPr>
              <w:rPr>
                <w:lang w:val="en"/>
              </w:rPr>
            </w:pPr>
            <w:r w:rsidRPr="7D95DB54">
              <w:rPr>
                <w:lang w:val="en"/>
              </w:rPr>
              <w:t>Senior Legal Counsel, Health</w:t>
            </w:r>
          </w:p>
        </w:tc>
        <w:tc>
          <w:tcPr>
            <w:tcW w:w="1683" w:type="pct"/>
            <w:tcBorders>
              <w:top w:val="single" w:sz="6" w:space="0" w:color="000000" w:themeColor="text1"/>
              <w:left w:val="nil"/>
              <w:bottom w:val="single" w:sz="6" w:space="0" w:color="000000" w:themeColor="text1"/>
              <w:right w:val="nil"/>
            </w:tcBorders>
            <w:vAlign w:val="center"/>
          </w:tcPr>
          <w:p w14:paraId="4579DBB8" w14:textId="178517D2" w:rsidR="00761B1E" w:rsidRPr="005674D6" w:rsidRDefault="17DB251D" w:rsidP="7D95DB54">
            <w:pPr>
              <w:rPr>
                <w:lang w:val="en"/>
              </w:rPr>
            </w:pPr>
            <w:r w:rsidRPr="7D95DB54">
              <w:rPr>
                <w:lang w:val="en"/>
              </w:rPr>
              <w:t>Ohio</w:t>
            </w:r>
          </w:p>
        </w:tc>
      </w:tr>
    </w:tbl>
    <w:p w14:paraId="431356F8" w14:textId="77777777" w:rsidR="00D946F8" w:rsidRPr="005674D6" w:rsidRDefault="00D946F8" w:rsidP="00646036">
      <w:pPr>
        <w:rPr>
          <w:lang w:val="en"/>
        </w:rPr>
      </w:pPr>
    </w:p>
    <w:p w14:paraId="57FC4A19" w14:textId="77777777" w:rsidR="00D946F8" w:rsidRPr="005674D6" w:rsidRDefault="00D946F8" w:rsidP="008B0A5B">
      <w:pPr>
        <w:pStyle w:val="NonTOCHeading"/>
        <w:rPr>
          <w:bCs/>
          <w:lang w:val="en"/>
        </w:rPr>
      </w:pPr>
      <w:r w:rsidRPr="005674D6">
        <w:rPr>
          <w:lang w:val="en"/>
        </w:rPr>
        <w:t xml:space="preserve">Connection to Affordability </w:t>
      </w:r>
    </w:p>
    <w:p w14:paraId="04B39167" w14:textId="1D11F7FF" w:rsidR="00D946F8" w:rsidRDefault="100A53A0" w:rsidP="00646036">
      <w:r>
        <w:t>Vertical and horizontal integration of insurers with other parts of the health</w:t>
      </w:r>
      <w:r w:rsidR="00A0153F">
        <w:t xml:space="preserve"> </w:t>
      </w:r>
      <w:r>
        <w:t>care delivery system has the potential to reduce administrative costs, make the system more efficient, and coordinate care. It may also lead to improved data sharing, alignment with financial and clinical incentives, increased population health management, and support for value-based care arrangements. However, there is a concern that the health</w:t>
      </w:r>
      <w:r w:rsidR="00A0153F">
        <w:t xml:space="preserve"> </w:t>
      </w:r>
      <w:r>
        <w:t>care market is becoming increasingly consolidated and uncompetitive. Horizontal and vertical integration among health</w:t>
      </w:r>
      <w:r w:rsidR="007C1C4E">
        <w:t xml:space="preserve"> </w:t>
      </w:r>
      <w:r>
        <w:t>care entities such as providers, hospitals, pharmacy benefit managers</w:t>
      </w:r>
      <w:r w:rsidR="41D6BA3B">
        <w:t>,</w:t>
      </w:r>
      <w:r>
        <w:t xml:space="preserve"> and insurers may create incentives that encourage anticompetitive practices, decreased competition, monopolistic pricing, and self-dealing, which drive up the cost of care, including premiums and out-of-pocket costs for consumers. Each form of integration raises different economic, clinical, and regulatory considerations.</w:t>
      </w:r>
    </w:p>
    <w:p w14:paraId="3C396B26" w14:textId="77777777" w:rsidR="009D6514" w:rsidRPr="005674D6" w:rsidRDefault="009D6514" w:rsidP="00646036"/>
    <w:p w14:paraId="77DDDA9B" w14:textId="77777777" w:rsidR="00D946F8" w:rsidRPr="005674D6" w:rsidRDefault="00D946F8" w:rsidP="008B0A5B">
      <w:pPr>
        <w:pStyle w:val="NonTOCHeading"/>
        <w:rPr>
          <w:lang w:val="en"/>
        </w:rPr>
      </w:pPr>
      <w:r w:rsidRPr="005674D6">
        <w:rPr>
          <w:lang w:val="en"/>
        </w:rPr>
        <w:t>Introduction</w:t>
      </w:r>
    </w:p>
    <w:p w14:paraId="1518635F" w14:textId="3FF9FEF3" w:rsidR="00D946F8" w:rsidRPr="005674D6" w:rsidRDefault="00D946F8" w:rsidP="00646036">
      <w:r w:rsidRPr="005674D6">
        <w:t>This brief examines the increasing prevalence of horizontal and vertical consolidation within the health</w:t>
      </w:r>
      <w:r w:rsidR="007C1C4E">
        <w:t xml:space="preserve"> </w:t>
      </w:r>
      <w:r w:rsidRPr="005674D6">
        <w:t>care industry and analyzes how these organizational models affect health</w:t>
      </w:r>
      <w:r w:rsidR="007C1C4E">
        <w:t xml:space="preserve"> </w:t>
      </w:r>
      <w:r w:rsidRPr="005674D6">
        <w:t xml:space="preserve">care affordability, market competition, and regulatory oversight. It also identifies enacted laws and legislative proposals that illustrate how states are attempting to mitigate rising </w:t>
      </w:r>
      <w:r w:rsidR="007C1C4E">
        <w:t>health care</w:t>
      </w:r>
      <w:r w:rsidRPr="005674D6">
        <w:t xml:space="preserve"> costs associated with industry integration.</w:t>
      </w:r>
    </w:p>
    <w:p w14:paraId="63A8FF1D" w14:textId="77777777" w:rsidR="00D946F8" w:rsidRPr="005674D6" w:rsidRDefault="00D946F8" w:rsidP="00646036">
      <w:pPr>
        <w:rPr>
          <w:lang w:val="en"/>
        </w:rPr>
      </w:pPr>
    </w:p>
    <w:p w14:paraId="654FDFF0" w14:textId="77777777" w:rsidR="00D946F8" w:rsidRPr="005674D6" w:rsidRDefault="00D946F8" w:rsidP="008B0A5B">
      <w:pPr>
        <w:pStyle w:val="NonTOCHeading"/>
        <w:rPr>
          <w:rFonts w:eastAsia="Inter" w:cs="Inter"/>
          <w:bCs/>
          <w:sz w:val="28"/>
          <w:szCs w:val="28"/>
          <w:lang w:val="en"/>
        </w:rPr>
      </w:pPr>
      <w:bookmarkStart w:id="11" w:name="_4rjvkmapvtgh"/>
      <w:bookmarkEnd w:id="11"/>
      <w:r w:rsidRPr="005674D6">
        <w:rPr>
          <w:lang w:val="en"/>
        </w:rPr>
        <w:t>Definitions</w:t>
      </w:r>
    </w:p>
    <w:p w14:paraId="444EE350" w14:textId="62B1597F" w:rsidR="00D946F8" w:rsidRPr="005674D6" w:rsidRDefault="100A53A0" w:rsidP="00932C4D">
      <w:pPr>
        <w:pStyle w:val="ListParagraph"/>
        <w:numPr>
          <w:ilvl w:val="0"/>
          <w:numId w:val="35"/>
        </w:numPr>
      </w:pPr>
      <w:r w:rsidRPr="52B404F0">
        <w:rPr>
          <w:u w:val="single"/>
        </w:rPr>
        <w:t>Medical Loss Ratio or “MLR</w:t>
      </w:r>
      <w:r>
        <w:t xml:space="preserve">” is a ratio of how much </w:t>
      </w:r>
      <w:r w:rsidR="00BB108B">
        <w:t>insurer spending</w:t>
      </w:r>
      <w:r>
        <w:t xml:space="preserve"> goes toward paying medical claims and activities that improve the quality of care compared to how much the insurer collects in premiums minus any taxes and regulatory fees. The difference may be used to pay administrative expenses such as marketing, salaries, profits, and commissions. The Affordable Care Act requires insurance companies covering individuals or small groups to meet or exceed an 80% MLR. Large groups must meet or exceed an 85% MLR</w:t>
      </w:r>
      <w:r w:rsidR="0BD0A0F6">
        <w:t>.</w:t>
      </w:r>
    </w:p>
    <w:p w14:paraId="217347D6" w14:textId="1A814B34" w:rsidR="00D946F8" w:rsidRPr="005674D6" w:rsidRDefault="00D946F8" w:rsidP="00932C4D">
      <w:pPr>
        <w:pStyle w:val="ListParagraph"/>
        <w:numPr>
          <w:ilvl w:val="0"/>
          <w:numId w:val="35"/>
        </w:numPr>
      </w:pPr>
      <w:r w:rsidRPr="005674D6">
        <w:rPr>
          <w:u w:val="single"/>
        </w:rPr>
        <w:t>Organizational integration</w:t>
      </w:r>
      <w:r w:rsidRPr="005674D6">
        <w:t xml:space="preserve"> refers to the common ownership or control of entities in the </w:t>
      </w:r>
      <w:r w:rsidR="007C1C4E">
        <w:t>health care</w:t>
      </w:r>
      <w:r w:rsidRPr="005674D6">
        <w:t xml:space="preserve"> ecosystem. It is accomplished via common ownership, contractional relationships, and company mergers.</w:t>
      </w:r>
    </w:p>
    <w:p w14:paraId="5E979310" w14:textId="77777777" w:rsidR="00D946F8" w:rsidRPr="005674D6" w:rsidRDefault="00D946F8" w:rsidP="00932C4D">
      <w:pPr>
        <w:pStyle w:val="ListParagraph"/>
        <w:numPr>
          <w:ilvl w:val="1"/>
          <w:numId w:val="35"/>
        </w:numPr>
      </w:pPr>
      <w:r w:rsidRPr="005674D6">
        <w:rPr>
          <w:u w:val="single"/>
        </w:rPr>
        <w:t>Horizontal integration</w:t>
      </w:r>
      <w:r w:rsidRPr="005674D6">
        <w:t xml:space="preserve">: refers to integrated organizations at the </w:t>
      </w:r>
      <w:r w:rsidRPr="005674D6">
        <w:rPr>
          <w:i/>
          <w:iCs/>
        </w:rPr>
        <w:t>same stage</w:t>
      </w:r>
      <w:r w:rsidRPr="005674D6">
        <w:t xml:space="preserve"> in the supply chain.</w:t>
      </w:r>
    </w:p>
    <w:p w14:paraId="77F1C119" w14:textId="77777777" w:rsidR="00D946F8" w:rsidRPr="005674D6" w:rsidRDefault="00D946F8" w:rsidP="00932C4D">
      <w:pPr>
        <w:pStyle w:val="ListParagraph"/>
        <w:numPr>
          <w:ilvl w:val="1"/>
          <w:numId w:val="35"/>
        </w:numPr>
      </w:pPr>
      <w:r w:rsidRPr="005674D6">
        <w:rPr>
          <w:u w:val="single"/>
        </w:rPr>
        <w:t>Vertical integration</w:t>
      </w:r>
      <w:r w:rsidRPr="005674D6">
        <w:t xml:space="preserve"> refers to integrated organizations at </w:t>
      </w:r>
      <w:r w:rsidRPr="005674D6">
        <w:rPr>
          <w:i/>
          <w:iCs/>
        </w:rPr>
        <w:t>different stages</w:t>
      </w:r>
      <w:r w:rsidRPr="005674D6">
        <w:t xml:space="preserve"> of the supply chain.</w:t>
      </w:r>
    </w:p>
    <w:p w14:paraId="1089D8B1" w14:textId="77777777" w:rsidR="00D946F8" w:rsidRPr="005674D6" w:rsidRDefault="00D946F8" w:rsidP="00646036">
      <w:pPr>
        <w:rPr>
          <w:lang w:val="en"/>
        </w:rPr>
      </w:pPr>
    </w:p>
    <w:p w14:paraId="134AB47A" w14:textId="5DEBA256" w:rsidR="00D946F8" w:rsidRPr="005674D6" w:rsidRDefault="00D946F8" w:rsidP="008B0A5B">
      <w:pPr>
        <w:pStyle w:val="NonTOCHeading"/>
        <w:rPr>
          <w:bCs/>
          <w:lang w:val="en"/>
        </w:rPr>
      </w:pPr>
      <w:r w:rsidRPr="005674D6">
        <w:rPr>
          <w:lang w:val="en"/>
        </w:rPr>
        <w:t xml:space="preserve">Examples of </w:t>
      </w:r>
      <w:r w:rsidR="00893358">
        <w:rPr>
          <w:lang w:val="en"/>
        </w:rPr>
        <w:t>I</w:t>
      </w:r>
      <w:r w:rsidRPr="005674D6">
        <w:rPr>
          <w:lang w:val="en"/>
        </w:rPr>
        <w:t>ntegration:</w:t>
      </w:r>
    </w:p>
    <w:p w14:paraId="4CA17CF6" w14:textId="18AA739D" w:rsidR="00D946F8" w:rsidRPr="005674D6" w:rsidRDefault="393C94BA" w:rsidP="00932C4D">
      <w:pPr>
        <w:pStyle w:val="ListParagraph"/>
        <w:numPr>
          <w:ilvl w:val="0"/>
          <w:numId w:val="5"/>
        </w:numPr>
        <w:rPr>
          <w:color w:val="000000" w:themeColor="text1"/>
        </w:rPr>
      </w:pPr>
      <w:r w:rsidRPr="52B404F0">
        <w:rPr>
          <w:u w:val="single"/>
        </w:rPr>
        <w:t>Health Maintenance Organizations (HMOs) (Vertical Integration)</w:t>
      </w:r>
      <w:r>
        <w:t xml:space="preserve">: HMOs are one of the longest-standing forms of integration, in which the </w:t>
      </w:r>
      <w:r w:rsidR="00A82FCE">
        <w:t>payer</w:t>
      </w:r>
      <w:r>
        <w:t xml:space="preserve"> and providers are combined in a single </w:t>
      </w:r>
      <w:r w:rsidR="00E10EB1">
        <w:t>corporate structure</w:t>
      </w:r>
      <w:r>
        <w:t>, subject to state laws that require a separate legal entity for physicians. Members receive services from a select group of physicians, who see patients in the HMO’s facilities</w:t>
      </w:r>
      <w:r w:rsidR="3D9839F1">
        <w:t>.</w:t>
      </w:r>
      <w:r>
        <w:t xml:space="preserve"> </w:t>
      </w:r>
      <w:r w:rsidR="58A60FC3">
        <w:t>There are no special or different MLR reporting rules for issuers that operate a staff-model HMO, so it is important to be sensitive to the opportunities that these carriers have to inflate their MLRs through claims and Quality Improvement Activities.</w:t>
      </w:r>
      <w:r w:rsidR="00D946F8">
        <w:br/>
      </w:r>
      <w:r w:rsidR="00D946F8">
        <w:br/>
      </w:r>
      <w:r>
        <w:t>HMOs have been a successful model for certain carriers, including Kaiser Permanente. Kaiser is the largest private, non-profit integrated health care delivery system in the United States, delivering health care to members in nine states and the District of Columbia. Kaiser comprises Kaiser Foundation Health Plan, Inc., its health plan subsidiaries outside California and Hawaii; the not-for-profit Kaiser Foundation Hospitals; and the Permanente Medical Groups, which are self-governed physician group practices that exclusively contract with Kaiser Foundation Health Plan and its health plan subsidiaries.</w:t>
      </w:r>
      <w:r w:rsidRPr="52B404F0">
        <w:rPr>
          <w:rFonts w:eastAsia="Inter" w:cs="Inter"/>
        </w:rPr>
        <w:t xml:space="preserve"> </w:t>
      </w:r>
      <w:r w:rsidR="00D946F8">
        <w:br/>
      </w:r>
      <w:r w:rsidR="00D946F8">
        <w:br/>
      </w:r>
      <w:r>
        <w:t xml:space="preserve">In its home state of California, Kaiser is regulated by multiple agencies, which presents complex oversight issues. </w:t>
      </w:r>
      <w:r w:rsidRPr="52B404F0">
        <w:rPr>
          <w:rFonts w:eastAsia="Segoe UI" w:cs="Segoe UI"/>
        </w:rPr>
        <w:t>Kaiser Foundation Health Plan</w:t>
      </w:r>
      <w:r>
        <w:t xml:space="preserve"> is licensed as a health care service plan regulated by California’s Department of Managed Health </w:t>
      </w:r>
      <w:r w:rsidR="120A6663">
        <w:t>Care;</w:t>
      </w:r>
      <w:r>
        <w:t xml:space="preserve"> hospital facilities are generally regulated by California’s Department of Public Health and California licensed physicians are regulated by the Medical Board of California. </w:t>
      </w:r>
    </w:p>
    <w:p w14:paraId="6A43CB4C" w14:textId="77777777" w:rsidR="00D946F8" w:rsidRPr="005674D6" w:rsidRDefault="00D946F8" w:rsidP="00646036"/>
    <w:p w14:paraId="45DB0BF5" w14:textId="1842D064" w:rsidR="00D946F8" w:rsidRPr="005674D6" w:rsidRDefault="77454CF4" w:rsidP="00932C4D">
      <w:pPr>
        <w:pStyle w:val="ListParagraph"/>
        <w:numPr>
          <w:ilvl w:val="0"/>
          <w:numId w:val="5"/>
        </w:numPr>
        <w:rPr>
          <w:color w:val="000000" w:themeColor="text1"/>
        </w:rPr>
      </w:pPr>
      <w:r w:rsidRPr="7D95DB54">
        <w:rPr>
          <w:u w:val="single"/>
        </w:rPr>
        <w:t>Provider Sponsored/Provider Owned Health Plans (Vertical Integration)</w:t>
      </w:r>
      <w:r>
        <w:t xml:space="preserve">: These are health insurance plans that are owned, operated, or significantly controlled by </w:t>
      </w:r>
      <w:r w:rsidR="007C1C4E">
        <w:t>health care</w:t>
      </w:r>
      <w:r>
        <w:t xml:space="preserve"> providers, such as hospitals or integrated health systems. In these arrangements, the </w:t>
      </w:r>
      <w:r w:rsidR="007C1C4E">
        <w:t>health care</w:t>
      </w:r>
      <w:r>
        <w:t xml:space="preserve"> providers function not only as a care delivery network but also as the payer. </w:t>
      </w:r>
      <w:r w:rsidR="00D946F8">
        <w:br/>
      </w:r>
    </w:p>
    <w:p w14:paraId="7F669EAD" w14:textId="6FBADCEE" w:rsidR="00D946F8" w:rsidRPr="005674D6" w:rsidRDefault="393C94BA" w:rsidP="00932C4D">
      <w:pPr>
        <w:pStyle w:val="ListParagraph"/>
        <w:numPr>
          <w:ilvl w:val="0"/>
          <w:numId w:val="5"/>
        </w:numPr>
        <w:rPr>
          <w:color w:val="000000" w:themeColor="text1"/>
        </w:rPr>
      </w:pPr>
      <w:r w:rsidRPr="005674D6">
        <w:rPr>
          <w:u w:val="single"/>
        </w:rPr>
        <w:t>Insurance Companies that own P</w:t>
      </w:r>
      <w:r w:rsidR="446EFEB2">
        <w:rPr>
          <w:u w:val="single"/>
        </w:rPr>
        <w:t xml:space="preserve">harmacy </w:t>
      </w:r>
      <w:r w:rsidRPr="005674D6">
        <w:rPr>
          <w:u w:val="single"/>
        </w:rPr>
        <w:t>B</w:t>
      </w:r>
      <w:r w:rsidR="446EFEB2">
        <w:rPr>
          <w:u w:val="single"/>
        </w:rPr>
        <w:t xml:space="preserve">enefit </w:t>
      </w:r>
      <w:r w:rsidRPr="005674D6">
        <w:rPr>
          <w:u w:val="single"/>
        </w:rPr>
        <w:t>M</w:t>
      </w:r>
      <w:r w:rsidR="446EFEB2">
        <w:rPr>
          <w:u w:val="single"/>
        </w:rPr>
        <w:t>anager</w:t>
      </w:r>
      <w:r w:rsidRPr="005674D6">
        <w:rPr>
          <w:u w:val="single"/>
        </w:rPr>
        <w:t>s</w:t>
      </w:r>
      <w:r w:rsidR="446EFEB2">
        <w:rPr>
          <w:u w:val="single"/>
        </w:rPr>
        <w:t xml:space="preserve"> (PBMs)</w:t>
      </w:r>
      <w:r w:rsidRPr="005674D6">
        <w:rPr>
          <w:u w:val="single"/>
        </w:rPr>
        <w:t xml:space="preserve"> and Pharmacies (Vertical Integration)</w:t>
      </w:r>
      <w:r w:rsidRPr="005674D6">
        <w:t xml:space="preserve">: According to </w:t>
      </w:r>
      <w:r w:rsidR="00BA47BC">
        <w:t>a</w:t>
      </w:r>
      <w:r w:rsidRPr="005674D6">
        <w:t xml:space="preserve"> 2024 Federal Trade Commission (FTC) interim report, five of the six largest PBMs are “vertically integrated with some of the largest health insurers in the country,” and include Aetna (CVS Caremark), Cigna (Express Scripts), UnitedHealth Group (OptumRx), Humana (Humana Pharmacy Solutions) and Blue Cross Blue Shield Plans (Prime).</w:t>
      </w:r>
      <w:r w:rsidR="00D946F8" w:rsidRPr="00817E6C">
        <w:rPr>
          <w:rFonts w:eastAsia="Inter" w:cs="Inter"/>
          <w:vertAlign w:val="superscript"/>
        </w:rPr>
        <w:footnoteReference w:id="4"/>
      </w:r>
      <w:r w:rsidRPr="005674D6">
        <w:t xml:space="preserve"> That same interim staff report noted the top three PBMs processed almost 80% of prescription claims in the United States, while the top six processed more than 90% of prescription claims in the United States. As PBMs and insurers become more integrated, the financial results become bundled, masking the profit margins of PBMs.</w:t>
      </w:r>
      <w:r w:rsidR="00D946F8" w:rsidRPr="005674D6">
        <w:rPr>
          <w:vertAlign w:val="superscript"/>
        </w:rPr>
        <w:footnoteReference w:id="5"/>
      </w:r>
      <w:r w:rsidRPr="005674D6">
        <w:t xml:space="preserve"> Regulation of PBMs is further complicated by </w:t>
      </w:r>
      <w:r w:rsidR="2ADF4321" w:rsidRPr="00142235">
        <w:t>Employee Retirement Income Security Act</w:t>
      </w:r>
      <w:r w:rsidR="2ADF4321">
        <w:t xml:space="preserve"> </w:t>
      </w:r>
      <w:r w:rsidRPr="005674D6">
        <w:t>preemption issues and conflicting federal circuit court opinions.</w:t>
      </w:r>
      <w:r w:rsidR="00D946F8" w:rsidRPr="005674D6">
        <w:rPr>
          <w:vertAlign w:val="superscript"/>
        </w:rPr>
        <w:footnoteReference w:id="6"/>
      </w:r>
    </w:p>
    <w:p w14:paraId="1EE24989" w14:textId="77777777" w:rsidR="00D946F8" w:rsidRPr="005674D6" w:rsidRDefault="00D946F8" w:rsidP="00646036"/>
    <w:p w14:paraId="6A2BDBD1" w14:textId="77777777" w:rsidR="00D946F8" w:rsidRPr="005674D6" w:rsidRDefault="77454CF4" w:rsidP="00932C4D">
      <w:pPr>
        <w:pStyle w:val="ListParagraph"/>
        <w:numPr>
          <w:ilvl w:val="0"/>
          <w:numId w:val="5"/>
        </w:numPr>
        <w:rPr>
          <w:rFonts w:eastAsia="Inter" w:cs="Inter"/>
        </w:rPr>
      </w:pPr>
      <w:r w:rsidRPr="005674D6">
        <w:rPr>
          <w:u w:val="single"/>
        </w:rPr>
        <w:t>Insurance Companies that Own Drug Manufacturing Companies (Vertical Integration)</w:t>
      </w:r>
      <w:r w:rsidRPr="005674D6">
        <w:t>: CVS Health, a conglomerate that owns Aetna insurance and Caremark PBM,</w:t>
      </w:r>
      <w:r w:rsidRPr="005674D6">
        <w:rPr>
          <w:rFonts w:eastAsia="Inter" w:cs="Inter"/>
        </w:rPr>
        <w:t xml:space="preserve"> has established a wholly owned subsidiary pharmaceutical supplier called Cordavis. Based in Ireland, Cordavis works with manufacturers to commercialize and/or co-produce biosimilar products for the U.S. pharmaceutical market.</w:t>
      </w:r>
      <w:r w:rsidR="00D946F8" w:rsidRPr="005674D6">
        <w:rPr>
          <w:rFonts w:eastAsia="Inter" w:cs="Inter"/>
          <w:vertAlign w:val="superscript"/>
        </w:rPr>
        <w:footnoteReference w:id="7"/>
      </w:r>
      <w:r w:rsidRPr="005674D6">
        <w:rPr>
          <w:rFonts w:eastAsia="Inter" w:cs="Inter"/>
        </w:rPr>
        <w:t xml:space="preserve"> </w:t>
      </w:r>
    </w:p>
    <w:p w14:paraId="2F9CD2F8" w14:textId="77777777" w:rsidR="00D946F8" w:rsidRPr="005674D6" w:rsidRDefault="00D946F8" w:rsidP="00646036"/>
    <w:p w14:paraId="2E56391B" w14:textId="78647980" w:rsidR="00D946F8" w:rsidRPr="005674D6" w:rsidRDefault="393C94BA" w:rsidP="00932C4D">
      <w:pPr>
        <w:pStyle w:val="ListParagraph"/>
        <w:numPr>
          <w:ilvl w:val="0"/>
          <w:numId w:val="5"/>
        </w:numPr>
        <w:rPr>
          <w:rFonts w:eastAsia="Inter" w:cs="Inter"/>
        </w:rPr>
      </w:pPr>
      <w:r w:rsidRPr="005674D6">
        <w:rPr>
          <w:u w:val="single"/>
        </w:rPr>
        <w:t>Hospital System and Provider Consolidation (Vertical Integration)</w:t>
      </w:r>
      <w:r w:rsidRPr="005674D6">
        <w:t>: Hospital systems are increasingly purchasing private provider practices. The U.S. Government Accountability Office noted the number of physicians consolidated under a hospital system increased from 20% in 2012 to 47% in 2024.</w:t>
      </w:r>
      <w:r w:rsidR="00D946F8" w:rsidRPr="00F7732E">
        <w:rPr>
          <w:rFonts w:eastAsia="Inter" w:cs="Inter"/>
          <w:vertAlign w:val="superscript"/>
        </w:rPr>
        <w:footnoteReference w:id="8"/>
      </w:r>
      <w:r w:rsidRPr="005674D6">
        <w:t xml:space="preserve"> A recent survey by the American Medical Association reported that physicians most often sell their practices to strengthen their negotiating leverage with insurers, gain access to expensive resources, or lessen administrative and regulatory pressures.</w:t>
      </w:r>
      <w:r w:rsidR="00D946F8" w:rsidRPr="005674D6">
        <w:rPr>
          <w:vertAlign w:val="superscript"/>
        </w:rPr>
        <w:footnoteReference w:id="9"/>
      </w:r>
      <w:r w:rsidRPr="005674D6">
        <w:t xml:space="preserve"> Consolidation between hospitals and physicians can lead to higher payments when provider services occur in a hospital setting and facility fees apply.</w:t>
      </w:r>
      <w:r w:rsidR="00D946F8" w:rsidRPr="005674D6">
        <w:rPr>
          <w:vertAlign w:val="superscript"/>
        </w:rPr>
        <w:footnoteReference w:id="10"/>
      </w:r>
      <w:r w:rsidRPr="005674D6">
        <w:t xml:space="preserve"> </w:t>
      </w:r>
    </w:p>
    <w:p w14:paraId="3CD97F73" w14:textId="77777777" w:rsidR="00D946F8" w:rsidRPr="005674D6" w:rsidRDefault="00D946F8" w:rsidP="00646036">
      <w:pPr>
        <w:rPr>
          <w:vertAlign w:val="superscript"/>
        </w:rPr>
      </w:pPr>
    </w:p>
    <w:p w14:paraId="04A5126D" w14:textId="7B5D3C56" w:rsidR="001973C6" w:rsidRPr="005674D6" w:rsidRDefault="393C94BA" w:rsidP="00932C4D">
      <w:pPr>
        <w:pStyle w:val="ListParagraph"/>
        <w:numPr>
          <w:ilvl w:val="0"/>
          <w:numId w:val="5"/>
        </w:numPr>
      </w:pPr>
      <w:r w:rsidRPr="005674D6">
        <w:rPr>
          <w:u w:val="single"/>
        </w:rPr>
        <w:t>Hospital Consolidation (Horizontal Integration):</w:t>
      </w:r>
      <w:r w:rsidRPr="005674D6">
        <w:t xml:space="preserve"> Two or more independent hospitals or </w:t>
      </w:r>
      <w:r w:rsidR="007C1C4E">
        <w:t>health care</w:t>
      </w:r>
      <w:r w:rsidRPr="005674D6">
        <w:t xml:space="preserve"> systems can combine their corporate structures, assets, or operations into a single combined facility or a newly formed corporate entity. Between 2012 and </w:t>
      </w:r>
      <w:r w:rsidR="12A8A94F" w:rsidRPr="005674D6">
        <w:t>2021,</w:t>
      </w:r>
      <w:r w:rsidRPr="005674D6">
        <w:t xml:space="preserve"> the share of independent general acute care hospitals decreased from 31.5% to 22.3%.</w:t>
      </w:r>
      <w:r w:rsidR="00D946F8" w:rsidRPr="005674D6">
        <w:rPr>
          <w:vertAlign w:val="superscript"/>
        </w:rPr>
        <w:footnoteReference w:id="11"/>
      </w:r>
      <w:r w:rsidRPr="005674D6">
        <w:t xml:space="preserve"> During that same </w:t>
      </w:r>
      <w:r w:rsidR="03EE3AD6" w:rsidRPr="005674D6">
        <w:t>period,</w:t>
      </w:r>
      <w:r w:rsidRPr="005674D6">
        <w:t xml:space="preserve"> the share of system-affiliated hospitals rose 23.4%, from 50.6% to 62.5%.</w:t>
      </w:r>
      <w:r w:rsidR="00D946F8" w:rsidRPr="00F7732E">
        <w:rPr>
          <w:vertAlign w:val="superscript"/>
        </w:rPr>
        <w:footnoteReference w:id="12"/>
      </w:r>
      <w:r w:rsidRPr="005674D6">
        <w:t xml:space="preserve"> Another study found that a large majority of hospitals and hospital services are being provided by large health systems. During that same period, inpatient prices among affiliated non-profit hospitals grew at a faster pace (45.2%) than affiliated for-profit hospitals (35.8%) and independent hospitals (35.2%).</w:t>
      </w:r>
    </w:p>
    <w:p w14:paraId="06D06AFD" w14:textId="77777777" w:rsidR="001973C6" w:rsidRPr="005674D6" w:rsidRDefault="001973C6" w:rsidP="001973C6">
      <w:pPr>
        <w:pStyle w:val="ListParagraph"/>
      </w:pPr>
    </w:p>
    <w:p w14:paraId="05DD60E7" w14:textId="77777777" w:rsidR="00D946F8" w:rsidRPr="005674D6" w:rsidRDefault="00D946F8" w:rsidP="008B0A5B">
      <w:pPr>
        <w:pStyle w:val="NonTOCHeading"/>
        <w:rPr>
          <w:bCs/>
        </w:rPr>
      </w:pPr>
      <w:r w:rsidRPr="005674D6">
        <w:t xml:space="preserve">Policy Options for States </w:t>
      </w:r>
    </w:p>
    <w:p w14:paraId="18DB3764" w14:textId="77777777" w:rsidR="00D946F8" w:rsidRPr="005674D6" w:rsidRDefault="77454CF4" w:rsidP="00932C4D">
      <w:pPr>
        <w:pStyle w:val="ListParagraph"/>
        <w:numPr>
          <w:ilvl w:val="0"/>
          <w:numId w:val="6"/>
        </w:numPr>
      </w:pPr>
      <w:r>
        <w:t xml:space="preserve">Regulating anti-competitive contracting terms: Anti-competitive contracting terms enable dominant providers or insurers to distort market competition and inflate prices. </w:t>
      </w:r>
    </w:p>
    <w:p w14:paraId="2CE8B705" w14:textId="77777777" w:rsidR="00D946F8" w:rsidRPr="005674D6" w:rsidRDefault="77454CF4" w:rsidP="00932C4D">
      <w:pPr>
        <w:pStyle w:val="ListParagraph"/>
        <w:numPr>
          <w:ilvl w:val="0"/>
          <w:numId w:val="6"/>
        </w:numPr>
      </w:pPr>
      <w:r>
        <w:t xml:space="preserve">Transparency disclosures: To understand how consolidation is operating, access to data on ownership of health care entities is critical for policymakers and regulators. </w:t>
      </w:r>
    </w:p>
    <w:p w14:paraId="76C1FD6D" w14:textId="3DAC7D22" w:rsidR="00D946F8" w:rsidRPr="005674D6" w:rsidRDefault="393C94BA" w:rsidP="00932C4D">
      <w:pPr>
        <w:pStyle w:val="ListParagraph"/>
        <w:numPr>
          <w:ilvl w:val="0"/>
          <w:numId w:val="6"/>
        </w:numPr>
        <w:rPr>
          <w:rFonts w:eastAsia="Inter" w:cs="Inter"/>
          <w:lang w:val="en"/>
        </w:rPr>
      </w:pPr>
      <w:r>
        <w:t xml:space="preserve">Enhanced pre-merger notification and review requirements: Requiring </w:t>
      </w:r>
      <w:r w:rsidR="007C1C4E">
        <w:t>health care</w:t>
      </w:r>
      <w:r>
        <w:t xml:space="preserve"> entities to notify the appropriate state regulators of planned mergers and putting in place guardrails for review of those mergers could prevent consolidation that ultimately creates monopolies and impacts patient access and affordability. </w:t>
      </w:r>
    </w:p>
    <w:p w14:paraId="0B242ACC" w14:textId="7942CE4E" w:rsidR="00D946F8" w:rsidRPr="005674D6" w:rsidRDefault="77454CF4" w:rsidP="00932C4D">
      <w:pPr>
        <w:pStyle w:val="ListParagraph"/>
        <w:numPr>
          <w:ilvl w:val="0"/>
          <w:numId w:val="6"/>
        </w:numPr>
        <w:rPr>
          <w:lang w:val="en"/>
        </w:rPr>
      </w:pPr>
      <w:r>
        <w:t xml:space="preserve">Unique National Provider Identifiers (NPIs): To ensure that off-campus hospital outpatient departments are not being billed as hospital charges, </w:t>
      </w:r>
      <w:r w:rsidR="00513951">
        <w:t xml:space="preserve">a </w:t>
      </w:r>
      <w:r>
        <w:t>state could adopt requirements that providers use unique NPIs when billing.</w:t>
      </w:r>
    </w:p>
    <w:p w14:paraId="058A92AE" w14:textId="0C3B616F" w:rsidR="00D946F8" w:rsidRPr="005674D6" w:rsidRDefault="393C94BA" w:rsidP="00932C4D">
      <w:pPr>
        <w:pStyle w:val="ListParagraph"/>
        <w:numPr>
          <w:ilvl w:val="0"/>
          <w:numId w:val="6"/>
        </w:numPr>
      </w:pPr>
      <w:r w:rsidRPr="005674D6">
        <w:rPr>
          <w:lang w:val="en"/>
        </w:rPr>
        <w:t xml:space="preserve">Restrict </w:t>
      </w:r>
      <w:r w:rsidR="00CE0523">
        <w:rPr>
          <w:lang w:val="en"/>
        </w:rPr>
        <w:t>f</w:t>
      </w:r>
      <w:r w:rsidRPr="005674D6">
        <w:rPr>
          <w:lang w:val="en"/>
        </w:rPr>
        <w:t xml:space="preserve">acility </w:t>
      </w:r>
      <w:r w:rsidR="00CE0523">
        <w:rPr>
          <w:lang w:val="en"/>
        </w:rPr>
        <w:t>f</w:t>
      </w:r>
      <w:r w:rsidRPr="005674D6">
        <w:rPr>
          <w:lang w:val="en"/>
        </w:rPr>
        <w:t>ees:</w:t>
      </w:r>
      <w:r w:rsidRPr="005674D6">
        <w:t xml:space="preserve"> Adopt laws to restrict the settings and services for which facility fees may be charged.</w:t>
      </w:r>
      <w:r w:rsidR="00D946F8" w:rsidRPr="005674D6">
        <w:rPr>
          <w:vertAlign w:val="superscript"/>
        </w:rPr>
        <w:footnoteReference w:id="13"/>
      </w:r>
    </w:p>
    <w:p w14:paraId="3029C406" w14:textId="22C96258" w:rsidR="00D946F8" w:rsidRPr="005674D6" w:rsidRDefault="393C94BA" w:rsidP="00932C4D">
      <w:pPr>
        <w:pStyle w:val="ListParagraph"/>
        <w:numPr>
          <w:ilvl w:val="0"/>
          <w:numId w:val="6"/>
        </w:numPr>
        <w:rPr>
          <w:color w:val="000000" w:themeColor="text1"/>
        </w:rPr>
      </w:pPr>
      <w:r w:rsidRPr="005674D6">
        <w:t>Adopt site-neutral payment reforms: Site-neutral payment reforms require hospitals be paid no more than a set amount for services that can be provided safely and effectively in non-hospital settings. Site-neutral reforms remove incentives for hospitals to acquire independent physician practices.</w:t>
      </w:r>
      <w:r w:rsidR="00D946F8" w:rsidRPr="005674D6">
        <w:rPr>
          <w:vertAlign w:val="superscript"/>
        </w:rPr>
        <w:footnoteReference w:id="14"/>
      </w:r>
      <w:r w:rsidRPr="005674D6">
        <w:t xml:space="preserve"> </w:t>
      </w:r>
    </w:p>
    <w:p w14:paraId="64F01C76" w14:textId="77777777" w:rsidR="001973C6" w:rsidRPr="005674D6" w:rsidRDefault="001973C6" w:rsidP="001973C6">
      <w:pPr>
        <w:pStyle w:val="ListParagraph"/>
      </w:pPr>
    </w:p>
    <w:p w14:paraId="5C8F6F8A" w14:textId="0F1D14C7" w:rsidR="00D946F8" w:rsidRPr="005674D6" w:rsidRDefault="00D946F8" w:rsidP="008B0A5B">
      <w:pPr>
        <w:pStyle w:val="NonTOCHeading"/>
        <w:rPr>
          <w:bCs/>
          <w:lang w:val="en"/>
        </w:rPr>
      </w:pPr>
      <w:r w:rsidRPr="005674D6">
        <w:rPr>
          <w:lang w:val="en"/>
        </w:rPr>
        <w:t>States Efforts to Regulate Vertical Integration</w:t>
      </w:r>
    </w:p>
    <w:tbl>
      <w:tblPr>
        <w:tblW w:w="5000" w:type="pct"/>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2704"/>
        <w:gridCol w:w="2703"/>
        <w:gridCol w:w="4673"/>
      </w:tblGrid>
      <w:tr w:rsidR="00D946F8" w:rsidRPr="005674D6" w14:paraId="44348F54" w14:textId="77777777" w:rsidTr="52B404F0">
        <w:trPr>
          <w:trHeight w:val="313"/>
          <w:tblHeader/>
        </w:trPr>
        <w:tc>
          <w:tcPr>
            <w:tcW w:w="1341" w:type="pct"/>
            <w:shd w:val="clear" w:color="auto" w:fill="F2F2F2" w:themeFill="background2" w:themeFillShade="F2"/>
          </w:tcPr>
          <w:p w14:paraId="05B6DCC6" w14:textId="77777777" w:rsidR="00D946F8" w:rsidRPr="005674D6" w:rsidRDefault="77454CF4" w:rsidP="7D95DB54">
            <w:pPr>
              <w:rPr>
                <w:b/>
                <w:bCs/>
                <w:lang w:val="en"/>
              </w:rPr>
            </w:pPr>
            <w:r w:rsidRPr="7D95DB54">
              <w:rPr>
                <w:b/>
                <w:bCs/>
                <w:lang w:val="en"/>
              </w:rPr>
              <w:t>State</w:t>
            </w:r>
          </w:p>
        </w:tc>
        <w:tc>
          <w:tcPr>
            <w:tcW w:w="1341" w:type="pct"/>
            <w:shd w:val="clear" w:color="auto" w:fill="F2F2F2" w:themeFill="background2" w:themeFillShade="F2"/>
          </w:tcPr>
          <w:p w14:paraId="53405106" w14:textId="77777777" w:rsidR="00D946F8" w:rsidRPr="005674D6" w:rsidRDefault="77454CF4" w:rsidP="7D95DB54">
            <w:pPr>
              <w:rPr>
                <w:b/>
                <w:bCs/>
                <w:lang w:val="en"/>
              </w:rPr>
            </w:pPr>
            <w:r w:rsidRPr="7D95DB54">
              <w:rPr>
                <w:b/>
                <w:bCs/>
                <w:lang w:val="en"/>
              </w:rPr>
              <w:t>Implementation Date</w:t>
            </w:r>
          </w:p>
        </w:tc>
        <w:tc>
          <w:tcPr>
            <w:tcW w:w="2318" w:type="pct"/>
            <w:shd w:val="clear" w:color="auto" w:fill="F2F2F2" w:themeFill="background2" w:themeFillShade="F2"/>
          </w:tcPr>
          <w:p w14:paraId="65713CC0" w14:textId="77777777" w:rsidR="00D946F8" w:rsidRPr="005674D6" w:rsidRDefault="77454CF4" w:rsidP="7D95DB54">
            <w:pPr>
              <w:rPr>
                <w:b/>
                <w:bCs/>
                <w:lang w:val="en"/>
              </w:rPr>
            </w:pPr>
            <w:r w:rsidRPr="7D95DB54">
              <w:rPr>
                <w:b/>
                <w:bCs/>
                <w:lang w:val="en"/>
              </w:rPr>
              <w:t>Key Variations/Notes</w:t>
            </w:r>
          </w:p>
        </w:tc>
      </w:tr>
      <w:tr w:rsidR="00D946F8" w:rsidRPr="005674D6" w14:paraId="5F131E2B" w14:textId="77777777" w:rsidTr="52B404F0">
        <w:trPr>
          <w:trHeight w:val="564"/>
        </w:trPr>
        <w:tc>
          <w:tcPr>
            <w:tcW w:w="1341" w:type="pct"/>
          </w:tcPr>
          <w:p w14:paraId="2F6B73D7" w14:textId="77777777" w:rsidR="00D946F8" w:rsidRPr="005674D6" w:rsidRDefault="00D946F8" w:rsidP="00646036">
            <w:pPr>
              <w:rPr>
                <w:lang w:val="en"/>
              </w:rPr>
            </w:pPr>
            <w:r w:rsidRPr="005674D6">
              <w:rPr>
                <w:lang w:val="en"/>
              </w:rPr>
              <w:t>Arkansas</w:t>
            </w:r>
          </w:p>
        </w:tc>
        <w:tc>
          <w:tcPr>
            <w:tcW w:w="1341" w:type="pct"/>
          </w:tcPr>
          <w:p w14:paraId="4847CF47" w14:textId="77777777" w:rsidR="00D946F8" w:rsidRPr="005674D6" w:rsidRDefault="00D946F8" w:rsidP="00646036">
            <w:pPr>
              <w:rPr>
                <w:lang w:val="en"/>
              </w:rPr>
            </w:pPr>
            <w:r w:rsidRPr="005674D6">
              <w:rPr>
                <w:lang w:val="en"/>
              </w:rPr>
              <w:t xml:space="preserve">January 1, 2026 </w:t>
            </w:r>
          </w:p>
        </w:tc>
        <w:tc>
          <w:tcPr>
            <w:tcW w:w="2318" w:type="pct"/>
          </w:tcPr>
          <w:p w14:paraId="267B30FD" w14:textId="7ABC9D43" w:rsidR="00D946F8" w:rsidRPr="005674D6" w:rsidRDefault="100A53A0" w:rsidP="52B404F0">
            <w:pPr>
              <w:rPr>
                <w:rFonts w:eastAsia="Inter" w:cs="Inter"/>
                <w:lang w:val="en"/>
              </w:rPr>
            </w:pPr>
            <w:r>
              <w:t xml:space="preserve">Prohibits PBMs from owning or operating pharmacies in the state, but enforcement of this statute is stayed pending the outcome of litigation. </w:t>
            </w:r>
            <w:r w:rsidR="134A0FCD">
              <w:t>(</w:t>
            </w:r>
            <w:r>
              <w:t>Act 624</w:t>
            </w:r>
            <w:r w:rsidR="07837A1D">
              <w:t>)</w:t>
            </w:r>
          </w:p>
        </w:tc>
      </w:tr>
      <w:tr w:rsidR="00D946F8" w:rsidRPr="005674D6" w14:paraId="5BE4641F" w14:textId="77777777" w:rsidTr="52B404F0">
        <w:trPr>
          <w:trHeight w:val="564"/>
        </w:trPr>
        <w:tc>
          <w:tcPr>
            <w:tcW w:w="1341" w:type="pct"/>
          </w:tcPr>
          <w:p w14:paraId="7B7943AA" w14:textId="77777777" w:rsidR="00D946F8" w:rsidRPr="005674D6" w:rsidRDefault="00D946F8" w:rsidP="00646036">
            <w:pPr>
              <w:rPr>
                <w:lang w:val="en"/>
              </w:rPr>
            </w:pPr>
            <w:r w:rsidRPr="005674D6">
              <w:rPr>
                <w:lang w:val="en"/>
              </w:rPr>
              <w:t>Arizona</w:t>
            </w:r>
          </w:p>
        </w:tc>
        <w:tc>
          <w:tcPr>
            <w:tcW w:w="1341" w:type="pct"/>
          </w:tcPr>
          <w:p w14:paraId="7625CE1C" w14:textId="77777777" w:rsidR="00D946F8" w:rsidRPr="005674D6" w:rsidRDefault="00D946F8" w:rsidP="00646036">
            <w:pPr>
              <w:rPr>
                <w:lang w:val="en"/>
              </w:rPr>
            </w:pPr>
            <w:r w:rsidRPr="005674D6">
              <w:rPr>
                <w:lang w:val="en"/>
              </w:rPr>
              <w:t>Pending: December 31, 2026</w:t>
            </w:r>
          </w:p>
        </w:tc>
        <w:tc>
          <w:tcPr>
            <w:tcW w:w="2318" w:type="pct"/>
          </w:tcPr>
          <w:p w14:paraId="23610408" w14:textId="2E916305" w:rsidR="00D946F8" w:rsidRPr="005674D6" w:rsidRDefault="100A53A0" w:rsidP="00646036">
            <w:r w:rsidRPr="52B404F0">
              <w:rPr>
                <w:i/>
                <w:iCs/>
              </w:rPr>
              <w:t>Proposed</w:t>
            </w:r>
            <w:r>
              <w:t xml:space="preserve">: Prohibits PBMs from owning or holding, directly or indirectly, pharmacy permits in the state. </w:t>
            </w:r>
            <w:r w:rsidR="0F8EA336">
              <w:t>(</w:t>
            </w:r>
            <w:r>
              <w:t>SB 1545</w:t>
            </w:r>
            <w:r w:rsidR="16B661CB">
              <w:t>)</w:t>
            </w:r>
          </w:p>
        </w:tc>
      </w:tr>
      <w:tr w:rsidR="00D946F8" w:rsidRPr="005674D6" w14:paraId="110CE4D4" w14:textId="77777777" w:rsidTr="52B404F0">
        <w:trPr>
          <w:trHeight w:val="564"/>
        </w:trPr>
        <w:tc>
          <w:tcPr>
            <w:tcW w:w="1341" w:type="pct"/>
          </w:tcPr>
          <w:p w14:paraId="63E1E276" w14:textId="77777777" w:rsidR="00D946F8" w:rsidRPr="005674D6" w:rsidRDefault="00D946F8" w:rsidP="00646036">
            <w:pPr>
              <w:rPr>
                <w:lang w:val="en"/>
              </w:rPr>
            </w:pPr>
            <w:r w:rsidRPr="005674D6">
              <w:rPr>
                <w:lang w:val="en"/>
              </w:rPr>
              <w:t>Indiana</w:t>
            </w:r>
          </w:p>
        </w:tc>
        <w:tc>
          <w:tcPr>
            <w:tcW w:w="1341" w:type="pct"/>
          </w:tcPr>
          <w:p w14:paraId="6BB9A39A" w14:textId="77777777" w:rsidR="00D946F8" w:rsidRPr="005674D6" w:rsidRDefault="00D946F8" w:rsidP="00646036">
            <w:pPr>
              <w:rPr>
                <w:lang w:val="en"/>
              </w:rPr>
            </w:pPr>
            <w:r w:rsidRPr="005674D6">
              <w:rPr>
                <w:lang w:val="en"/>
              </w:rPr>
              <w:t>January 1, 2026</w:t>
            </w:r>
          </w:p>
        </w:tc>
        <w:tc>
          <w:tcPr>
            <w:tcW w:w="2318" w:type="pct"/>
          </w:tcPr>
          <w:p w14:paraId="4BC649E0" w14:textId="75C5ED1B" w:rsidR="00D946F8" w:rsidRPr="005674D6" w:rsidRDefault="100A53A0" w:rsidP="00646036">
            <w:r>
              <w:t xml:space="preserve">Prohibits insurers and </w:t>
            </w:r>
            <w:r w:rsidR="0145A940">
              <w:t>third-party administrators</w:t>
            </w:r>
            <w:r>
              <w:t xml:space="preserve"> from requiring an employer plan to contract with a particular PBM. </w:t>
            </w:r>
          </w:p>
        </w:tc>
      </w:tr>
      <w:tr w:rsidR="00D946F8" w:rsidRPr="005674D6" w14:paraId="1B6AAC84" w14:textId="77777777" w:rsidTr="52B404F0">
        <w:trPr>
          <w:trHeight w:val="25"/>
        </w:trPr>
        <w:tc>
          <w:tcPr>
            <w:tcW w:w="1341" w:type="pct"/>
          </w:tcPr>
          <w:p w14:paraId="36B35350" w14:textId="77777777" w:rsidR="00D946F8" w:rsidRPr="005674D6" w:rsidRDefault="00D946F8" w:rsidP="00646036">
            <w:pPr>
              <w:rPr>
                <w:lang w:val="en"/>
              </w:rPr>
            </w:pPr>
            <w:r w:rsidRPr="005674D6">
              <w:rPr>
                <w:lang w:val="en"/>
              </w:rPr>
              <w:t>Tennessee</w:t>
            </w:r>
          </w:p>
        </w:tc>
        <w:tc>
          <w:tcPr>
            <w:tcW w:w="1341" w:type="pct"/>
          </w:tcPr>
          <w:p w14:paraId="188FE3AE" w14:textId="77777777" w:rsidR="00D946F8" w:rsidRPr="005674D6" w:rsidRDefault="00D946F8" w:rsidP="00646036">
            <w:pPr>
              <w:rPr>
                <w:lang w:val="en"/>
              </w:rPr>
            </w:pPr>
            <w:r w:rsidRPr="005674D6">
              <w:rPr>
                <w:lang w:val="en"/>
              </w:rPr>
              <w:t>Pending: July 1, 2028</w:t>
            </w:r>
          </w:p>
        </w:tc>
        <w:tc>
          <w:tcPr>
            <w:tcW w:w="2318" w:type="pct"/>
          </w:tcPr>
          <w:p w14:paraId="631E45DA" w14:textId="20EFBBB7" w:rsidR="00D946F8" w:rsidRPr="005674D6" w:rsidRDefault="100A53A0" w:rsidP="00646036">
            <w:r>
              <w:t xml:space="preserve">Prohibits a PBM from directly or indirectly acquiring, holding, controlling, or otherwise possessing any ownership or beneficial interest in, or exercising control over, a pharmacy license or a pharmacy license holder, including through any contract or arrangement that transfers operational control or economic benefit to the pharmacy benefits manager. This prohibition applies regardless of the percentage of ownership interest. Compliance with the prohibition is a condition of the issuance, renewal, and continued validity of a pharmacy license. </w:t>
            </w:r>
            <w:r w:rsidR="5A90C422">
              <w:t>(</w:t>
            </w:r>
            <w:r>
              <w:t>Pub. Ch. 1111</w:t>
            </w:r>
            <w:r w:rsidR="0149E6EB">
              <w:t>)</w:t>
            </w:r>
          </w:p>
        </w:tc>
      </w:tr>
      <w:tr w:rsidR="00D946F8" w:rsidRPr="005674D6" w14:paraId="46D2CDBE" w14:textId="77777777" w:rsidTr="52B404F0">
        <w:trPr>
          <w:trHeight w:val="25"/>
        </w:trPr>
        <w:tc>
          <w:tcPr>
            <w:tcW w:w="1341" w:type="pct"/>
          </w:tcPr>
          <w:p w14:paraId="66690224" w14:textId="77777777" w:rsidR="00D946F8" w:rsidRPr="005674D6" w:rsidRDefault="00D946F8" w:rsidP="00646036">
            <w:pPr>
              <w:rPr>
                <w:lang w:val="en"/>
              </w:rPr>
            </w:pPr>
            <w:r w:rsidRPr="005674D6">
              <w:rPr>
                <w:lang w:val="en"/>
              </w:rPr>
              <w:t>Washington</w:t>
            </w:r>
          </w:p>
        </w:tc>
        <w:tc>
          <w:tcPr>
            <w:tcW w:w="1341" w:type="pct"/>
          </w:tcPr>
          <w:p w14:paraId="65841623" w14:textId="77777777" w:rsidR="00D946F8" w:rsidRPr="005674D6" w:rsidRDefault="00D946F8" w:rsidP="00646036">
            <w:pPr>
              <w:rPr>
                <w:lang w:val="en"/>
              </w:rPr>
            </w:pPr>
            <w:r w:rsidRPr="005674D6">
              <w:rPr>
                <w:lang w:val="en"/>
              </w:rPr>
              <w:t>January 1, 2013</w:t>
            </w:r>
          </w:p>
        </w:tc>
        <w:tc>
          <w:tcPr>
            <w:tcW w:w="2318" w:type="pct"/>
          </w:tcPr>
          <w:p w14:paraId="17522E9C" w14:textId="354F1514" w:rsidR="00D946F8" w:rsidRPr="005674D6" w:rsidRDefault="100A53A0" w:rsidP="00646036">
            <w:pPr>
              <w:rPr>
                <w:lang w:val="en"/>
              </w:rPr>
            </w:pPr>
            <w:r w:rsidRPr="52B404F0">
              <w:rPr>
                <w:lang w:val="en"/>
              </w:rPr>
              <w:t xml:space="preserve">Requires disclosure and reporting of hospital facility fees and has adopted policies addressing facility fee practices in provider-based clinics. </w:t>
            </w:r>
            <w:r w:rsidR="6A088A4B" w:rsidRPr="52B404F0">
              <w:rPr>
                <w:lang w:val="en"/>
              </w:rPr>
              <w:t>(</w:t>
            </w:r>
            <w:r w:rsidRPr="52B404F0">
              <w:rPr>
                <w:lang w:val="en"/>
              </w:rPr>
              <w:t>WA RCW 70.01.040</w:t>
            </w:r>
            <w:r w:rsidR="394A0965" w:rsidRPr="52B404F0">
              <w:rPr>
                <w:lang w:val="en"/>
              </w:rPr>
              <w:t>)</w:t>
            </w:r>
          </w:p>
        </w:tc>
      </w:tr>
    </w:tbl>
    <w:p w14:paraId="5FC22633" w14:textId="77777777" w:rsidR="001973C6" w:rsidRPr="005674D6" w:rsidRDefault="001973C6" w:rsidP="00646036">
      <w:pPr>
        <w:rPr>
          <w:lang w:val="en"/>
        </w:rPr>
      </w:pPr>
      <w:bookmarkStart w:id="12" w:name="_ac9hmpy9dwy6"/>
      <w:bookmarkEnd w:id="12"/>
    </w:p>
    <w:p w14:paraId="4E212D76" w14:textId="6BCAD7B5" w:rsidR="00D946F8" w:rsidRPr="005674D6" w:rsidRDefault="00D946F8" w:rsidP="008B0A5B">
      <w:pPr>
        <w:pStyle w:val="NonTOCHeading"/>
        <w:rPr>
          <w:bCs/>
          <w:lang w:val="en"/>
        </w:rPr>
      </w:pPr>
      <w:r w:rsidRPr="005674D6">
        <w:rPr>
          <w:lang w:val="en"/>
        </w:rPr>
        <w:t>States Efforts to Regulate Horizontal Integration</w:t>
      </w:r>
    </w:p>
    <w:tbl>
      <w:tblPr>
        <w:tblW w:w="5000" w:type="pct"/>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2704"/>
        <w:gridCol w:w="2699"/>
        <w:gridCol w:w="4677"/>
      </w:tblGrid>
      <w:tr w:rsidR="00D946F8" w:rsidRPr="005674D6" w14:paraId="3C49AD5F" w14:textId="77777777" w:rsidTr="52B404F0">
        <w:trPr>
          <w:trHeight w:val="340"/>
          <w:tblHeader/>
        </w:trPr>
        <w:tc>
          <w:tcPr>
            <w:tcW w:w="1341" w:type="pct"/>
            <w:shd w:val="clear" w:color="auto" w:fill="F2F2F2" w:themeFill="background2" w:themeFillShade="F2"/>
          </w:tcPr>
          <w:p w14:paraId="69D9E813" w14:textId="77777777" w:rsidR="00D946F8" w:rsidRPr="005674D6" w:rsidRDefault="77454CF4" w:rsidP="7D95DB54">
            <w:pPr>
              <w:rPr>
                <w:b/>
                <w:bCs/>
                <w:lang w:val="en"/>
              </w:rPr>
            </w:pPr>
            <w:r w:rsidRPr="7D95DB54">
              <w:rPr>
                <w:b/>
                <w:bCs/>
                <w:lang w:val="en"/>
              </w:rPr>
              <w:t>State</w:t>
            </w:r>
          </w:p>
        </w:tc>
        <w:tc>
          <w:tcPr>
            <w:tcW w:w="1339" w:type="pct"/>
            <w:shd w:val="clear" w:color="auto" w:fill="F2F2F2" w:themeFill="background2" w:themeFillShade="F2"/>
          </w:tcPr>
          <w:p w14:paraId="67A9036E" w14:textId="77777777" w:rsidR="00D946F8" w:rsidRPr="005674D6" w:rsidRDefault="77454CF4" w:rsidP="7D95DB54">
            <w:pPr>
              <w:rPr>
                <w:b/>
                <w:bCs/>
                <w:lang w:val="en"/>
              </w:rPr>
            </w:pPr>
            <w:r w:rsidRPr="7D95DB54">
              <w:rPr>
                <w:b/>
                <w:bCs/>
                <w:lang w:val="en"/>
              </w:rPr>
              <w:t>Implementation Date</w:t>
            </w:r>
          </w:p>
        </w:tc>
        <w:tc>
          <w:tcPr>
            <w:tcW w:w="2320" w:type="pct"/>
            <w:shd w:val="clear" w:color="auto" w:fill="F2F2F2" w:themeFill="background2" w:themeFillShade="F2"/>
          </w:tcPr>
          <w:p w14:paraId="59F58DB1" w14:textId="77777777" w:rsidR="00D946F8" w:rsidRPr="005674D6" w:rsidRDefault="77454CF4" w:rsidP="7D95DB54">
            <w:pPr>
              <w:rPr>
                <w:b/>
                <w:bCs/>
                <w:lang w:val="en"/>
              </w:rPr>
            </w:pPr>
            <w:r w:rsidRPr="7D95DB54">
              <w:rPr>
                <w:b/>
                <w:bCs/>
                <w:lang w:val="en"/>
              </w:rPr>
              <w:t>Key Variations/Notes</w:t>
            </w:r>
          </w:p>
        </w:tc>
      </w:tr>
      <w:tr w:rsidR="00D946F8" w:rsidRPr="005674D6" w14:paraId="092DD697" w14:textId="77777777" w:rsidTr="52B404F0">
        <w:trPr>
          <w:trHeight w:val="564"/>
        </w:trPr>
        <w:tc>
          <w:tcPr>
            <w:tcW w:w="1341" w:type="pct"/>
          </w:tcPr>
          <w:p w14:paraId="718CE8D4" w14:textId="77777777" w:rsidR="00D946F8" w:rsidRPr="005674D6" w:rsidRDefault="00D946F8" w:rsidP="00646036">
            <w:pPr>
              <w:rPr>
                <w:lang w:val="en"/>
              </w:rPr>
            </w:pPr>
            <w:r w:rsidRPr="005674D6">
              <w:rPr>
                <w:lang w:val="en"/>
              </w:rPr>
              <w:t>Maine</w:t>
            </w:r>
          </w:p>
        </w:tc>
        <w:tc>
          <w:tcPr>
            <w:tcW w:w="1339" w:type="pct"/>
          </w:tcPr>
          <w:p w14:paraId="45CD0C9E" w14:textId="77777777" w:rsidR="00D946F8" w:rsidRPr="005674D6" w:rsidRDefault="00D946F8" w:rsidP="00646036">
            <w:pPr>
              <w:rPr>
                <w:lang w:val="en"/>
              </w:rPr>
            </w:pPr>
            <w:r w:rsidRPr="005674D6">
              <w:rPr>
                <w:lang w:val="en"/>
              </w:rPr>
              <w:t>Effective January 1, 2027</w:t>
            </w:r>
          </w:p>
        </w:tc>
        <w:tc>
          <w:tcPr>
            <w:tcW w:w="2320" w:type="pct"/>
          </w:tcPr>
          <w:p w14:paraId="6669F020" w14:textId="20EBB6F1" w:rsidR="00D946F8" w:rsidRPr="005674D6" w:rsidRDefault="100A53A0" w:rsidP="00646036">
            <w:r>
              <w:t xml:space="preserve">Requires health care entities with a threshold presence in Maine to file copies of any premerger notifications required under the Hart-Scott-Rodino (HSR) Act with the Maine Attorney General Provides. </w:t>
            </w:r>
            <w:r w:rsidR="3F0D36F3">
              <w:t>(</w:t>
            </w:r>
            <w:r>
              <w:t>H.P. 1481, 2026</w:t>
            </w:r>
            <w:r w:rsidR="657A328A">
              <w:t>)</w:t>
            </w:r>
          </w:p>
        </w:tc>
      </w:tr>
    </w:tbl>
    <w:p w14:paraId="2A7FA38B" w14:textId="77777777" w:rsidR="001973C6" w:rsidRPr="005674D6" w:rsidRDefault="001973C6" w:rsidP="00646036">
      <w:pPr>
        <w:rPr>
          <w:lang w:val="en"/>
        </w:rPr>
      </w:pPr>
    </w:p>
    <w:p w14:paraId="3E8E25F6" w14:textId="410651DF" w:rsidR="00D946F8" w:rsidRPr="005674D6" w:rsidRDefault="00D946F8" w:rsidP="008B0A5B">
      <w:pPr>
        <w:pStyle w:val="NonTOCHeading"/>
        <w:rPr>
          <w:bCs/>
          <w:lang w:val="en"/>
        </w:rPr>
      </w:pPr>
      <w:r w:rsidRPr="005674D6">
        <w:rPr>
          <w:lang w:val="en"/>
        </w:rPr>
        <w:t>Premium Impact and Savings Analysis</w:t>
      </w:r>
    </w:p>
    <w:p w14:paraId="6E5336AA" w14:textId="11D86842" w:rsidR="00D946F8" w:rsidRPr="005674D6" w:rsidRDefault="393C94BA" w:rsidP="00646036">
      <w:pPr>
        <w:rPr>
          <w:rFonts w:eastAsia="Inter" w:cs="Inter"/>
        </w:rPr>
      </w:pPr>
      <w:r w:rsidRPr="005674D6">
        <w:rPr>
          <w:rFonts w:eastAsia="Inter" w:cs="Inter"/>
        </w:rPr>
        <w:t>While vertical integration could lead to improvements in efficiency and care coordination</w:t>
      </w:r>
      <w:r w:rsidR="5EA3BA94">
        <w:rPr>
          <w:rFonts w:eastAsia="Inter" w:cs="Inter"/>
        </w:rPr>
        <w:t>,</w:t>
      </w:r>
      <w:r w:rsidR="00D946F8" w:rsidRPr="005674D6">
        <w:rPr>
          <w:rFonts w:eastAsia="Inter" w:cs="Inter"/>
          <w:vertAlign w:val="superscript"/>
        </w:rPr>
        <w:footnoteReference w:id="15"/>
      </w:r>
      <w:r w:rsidRPr="005674D6">
        <w:t xml:space="preserve"> it has been criticized for limiting consumer choice, increasing the cost of care, creating significant challenges for independent pharmacists,</w:t>
      </w:r>
      <w:r w:rsidRPr="005674D6">
        <w:rPr>
          <w:rFonts w:eastAsia="Inter" w:cs="Inter"/>
        </w:rPr>
        <w:t xml:space="preserve"> and ultimately increasing health care spending</w:t>
      </w:r>
      <w:r w:rsidRPr="005674D6">
        <w:t>.</w:t>
      </w:r>
      <w:r w:rsidR="00D946F8" w:rsidRPr="005674D6">
        <w:rPr>
          <w:vertAlign w:val="superscript"/>
        </w:rPr>
        <w:footnoteReference w:id="16"/>
      </w:r>
      <w:r w:rsidRPr="7D95DB54">
        <w:rPr>
          <w:rFonts w:eastAsia="Inter" w:cs="Inter"/>
        </w:rPr>
        <w:t xml:space="preserve"> In addition, research suggests integration often enables profit extraction through self-dealing and higher prices.</w:t>
      </w:r>
      <w:r w:rsidR="00D946F8" w:rsidRPr="005674D6">
        <w:rPr>
          <w:rFonts w:eastAsia="Inter" w:cs="Inter"/>
          <w:vertAlign w:val="superscript"/>
        </w:rPr>
        <w:footnoteReference w:id="17"/>
      </w:r>
      <w:r w:rsidRPr="005674D6">
        <w:rPr>
          <w:rFonts w:eastAsia="Inter" w:cs="Inter"/>
        </w:rPr>
        <w:t xml:space="preserve"> A Health Affairs study found a direct impact on physician prices at medium and large systems (</w:t>
      </w:r>
      <w:r w:rsidR="00120086">
        <w:rPr>
          <w:rFonts w:eastAsia="Inter" w:cs="Inter"/>
        </w:rPr>
        <w:t xml:space="preserve">consolidation into a </w:t>
      </w:r>
      <w:r w:rsidRPr="005674D6">
        <w:rPr>
          <w:rFonts w:eastAsia="Inter" w:cs="Inter"/>
        </w:rPr>
        <w:t xml:space="preserve">medium system led to a price increase of 7.7% for primary care physicians and 2.4% for specialists; </w:t>
      </w:r>
      <w:r w:rsidR="00120086">
        <w:rPr>
          <w:rFonts w:eastAsia="Inter" w:cs="Inter"/>
        </w:rPr>
        <w:t xml:space="preserve">into a </w:t>
      </w:r>
      <w:r w:rsidRPr="005674D6">
        <w:rPr>
          <w:rFonts w:eastAsia="Inter" w:cs="Inter"/>
        </w:rPr>
        <w:t>large system led to a price increase of 12.0% for primary care physicians and 6.0% for specialists).</w:t>
      </w:r>
      <w:r w:rsidR="00D946F8" w:rsidRPr="005674D6">
        <w:rPr>
          <w:rFonts w:eastAsia="Inter" w:cs="Inter"/>
          <w:vertAlign w:val="superscript"/>
        </w:rPr>
        <w:footnoteReference w:id="18"/>
      </w:r>
      <w:r w:rsidRPr="005674D6">
        <w:rPr>
          <w:rFonts w:eastAsia="Inter" w:cs="Inter"/>
        </w:rPr>
        <w:t xml:space="preserve"> </w:t>
      </w:r>
    </w:p>
    <w:p w14:paraId="096511F8" w14:textId="77777777" w:rsidR="00D946F8" w:rsidRPr="005674D6" w:rsidRDefault="00D946F8" w:rsidP="00646036"/>
    <w:p w14:paraId="056F1477" w14:textId="77777777" w:rsidR="00D946F8" w:rsidRDefault="00D946F8" w:rsidP="00646036">
      <w:r w:rsidRPr="005674D6">
        <w:t>Horizontal integration can generate economies of scale that lower costs, but research shows it may also expand market power and drive prices upward. For instance, one study found that hospitals without competitors within 15 miles charge 12% more than hospitals facing four or more competitors.</w:t>
      </w:r>
      <w:r w:rsidRPr="00DC2DB9">
        <w:rPr>
          <w:vertAlign w:val="superscript"/>
        </w:rPr>
        <w:footnoteReference w:id="19"/>
      </w:r>
      <w:r w:rsidRPr="00DC2DB9">
        <w:rPr>
          <w:vertAlign w:val="superscript"/>
        </w:rPr>
        <w:t xml:space="preserve"> </w:t>
      </w:r>
      <w:r w:rsidRPr="005674D6">
        <w:t>A 2022 report from the American Medical Association’s Council on Medical Services similarly concluded that prices often rise after hospital mergers because larger systems gain greater leverage in negotiations with insurers and can shift patients to higher cost facilities.</w:t>
      </w:r>
      <w:r w:rsidRPr="005674D6">
        <w:rPr>
          <w:vertAlign w:val="superscript"/>
        </w:rPr>
        <w:footnoteReference w:id="20"/>
      </w:r>
    </w:p>
    <w:p w14:paraId="10F773A9" w14:textId="77777777" w:rsidR="00DC2DB9" w:rsidRPr="005674D6" w:rsidRDefault="00DC2DB9" w:rsidP="00646036"/>
    <w:p w14:paraId="1170C3A5" w14:textId="77777777" w:rsidR="00D946F8" w:rsidRPr="005674D6" w:rsidRDefault="00D946F8" w:rsidP="008B0A5B">
      <w:pPr>
        <w:pStyle w:val="NonTOCHeading"/>
        <w:rPr>
          <w:lang w:val="en"/>
        </w:rPr>
      </w:pPr>
      <w:r w:rsidRPr="005674D6">
        <w:rPr>
          <w:lang w:val="en"/>
        </w:rPr>
        <w:t>Conclusion</w:t>
      </w:r>
    </w:p>
    <w:p w14:paraId="2E0E3D13" w14:textId="6FFEBF8F" w:rsidR="00D946F8" w:rsidRPr="005674D6" w:rsidRDefault="100A53A0" w:rsidP="00646036">
      <w:r>
        <w:t>Horizontal and vertical integration in health care can create efficiencies and improve care coordination, but growing consolidation may also reduce competition, increase prices, and contribute to higher health care spending. As health care markets continue to evolve, states may consider a range of policy approaches—including enhanced transparency and merger oversight, restrictions on anticompetitive practices, and payment reforms—to preserve competition and promote affordability for consumers.</w:t>
      </w:r>
    </w:p>
    <w:p w14:paraId="3631B42C" w14:textId="77777777" w:rsidR="002A2F15" w:rsidRPr="005674D6" w:rsidRDefault="002A2F15" w:rsidP="00646036"/>
    <w:p w14:paraId="736BBA99" w14:textId="77777777" w:rsidR="00D946F8" w:rsidRPr="005674D6" w:rsidRDefault="00D946F8" w:rsidP="008B0A5B">
      <w:pPr>
        <w:pStyle w:val="NonTOCHeading"/>
        <w:rPr>
          <w:bCs/>
          <w:lang w:val="en"/>
        </w:rPr>
      </w:pPr>
      <w:r w:rsidRPr="005674D6">
        <w:rPr>
          <w:lang w:val="en"/>
        </w:rPr>
        <w:t>Sources</w:t>
      </w:r>
    </w:p>
    <w:p w14:paraId="06E275E6" w14:textId="77777777" w:rsidR="00D946F8" w:rsidRPr="0024678F" w:rsidRDefault="00D946F8" w:rsidP="00646036">
      <w:pPr>
        <w:rPr>
          <w:color w:val="0070C0"/>
          <w:lang w:val="en"/>
        </w:rPr>
      </w:pPr>
      <w:r w:rsidRPr="005674D6">
        <w:t xml:space="preserve">National Conference of State Legislatures Health Costs, Coverage, &amp; Delivery Database, </w:t>
      </w:r>
      <w:hyperlink r:id="rId23" w:history="1">
        <w:r w:rsidRPr="0024678F">
          <w:rPr>
            <w:color w:val="0070C0"/>
            <w:u w:val="single"/>
            <w:lang w:val="en"/>
          </w:rPr>
          <w:t>https://app.powerbi.com/view?r=eyJrIjoiNDNlNTJjNzItNjQyNS00NjVmLTk4MjItZDYzZjBlNTQ0ZDA2IiwidCI6IjM4MmZiOGIwLTRkYzMtNDEwNy04MGJkLTM1OTViMjQzMmZhZSIsImMiOjZ9</w:t>
        </w:r>
      </w:hyperlink>
    </w:p>
    <w:p w14:paraId="38D1A4D7" w14:textId="77777777" w:rsidR="00D946F8" w:rsidRPr="005674D6" w:rsidRDefault="00D946F8" w:rsidP="00646036">
      <w:pPr>
        <w:rPr>
          <w:lang w:val="en"/>
        </w:rPr>
      </w:pPr>
    </w:p>
    <w:p w14:paraId="5DAD8CFE" w14:textId="77777777" w:rsidR="00D946F8" w:rsidRPr="005674D6" w:rsidRDefault="00D946F8" w:rsidP="00646036">
      <w:hyperlink r:id="rId24">
        <w:r w:rsidRPr="0024678F">
          <w:rPr>
            <w:color w:val="0070C0"/>
            <w:u w:val="single"/>
          </w:rPr>
          <w:t xml:space="preserve">How Insurers That Own Providers Can Game the Medical Loss Ration Rules </w:t>
        </w:r>
      </w:hyperlink>
      <w:r w:rsidRPr="005674D6">
        <w:rPr>
          <w:lang w:val="en"/>
        </w:rPr>
        <w:br/>
      </w:r>
    </w:p>
    <w:p w14:paraId="6606D1A6" w14:textId="77777777" w:rsidR="00D946F8" w:rsidRPr="005674D6" w:rsidRDefault="00D946F8" w:rsidP="00646036">
      <w:r w:rsidRPr="005674D6">
        <w:t xml:space="preserve">Julia Burleson. </w:t>
      </w:r>
      <w:hyperlink r:id="rId25">
        <w:r w:rsidRPr="0024678F">
          <w:rPr>
            <w:i/>
            <w:iCs/>
            <w:color w:val="0070C0"/>
            <w:u w:val="single"/>
          </w:rPr>
          <w:t>Vertical Integration in Health Care: Implications for Consumers, Employers, and Clinicians</w:t>
        </w:r>
      </w:hyperlink>
      <w:r w:rsidRPr="005674D6">
        <w:rPr>
          <w:i/>
          <w:iCs/>
        </w:rPr>
        <w:t>.</w:t>
      </w:r>
      <w:r w:rsidRPr="005674D6">
        <w:t xml:space="preserve"> Georgetown University, Center on Health Insurance Reforms, May 2026.</w:t>
      </w:r>
      <w:r w:rsidRPr="005674D6">
        <w:br/>
      </w:r>
    </w:p>
    <w:p w14:paraId="2EA5C44B" w14:textId="77777777" w:rsidR="00D946F8" w:rsidRPr="005674D6" w:rsidRDefault="00D946F8" w:rsidP="00646036">
      <w:r w:rsidRPr="005674D6">
        <w:t xml:space="preserve">Hayden Rooke-Ley, Anika Shah, Corrie Mook, and Erin Fuse-Brown. </w:t>
      </w:r>
      <w:hyperlink r:id="rId26">
        <w:r w:rsidRPr="0024678F">
          <w:rPr>
            <w:color w:val="0070C0"/>
            <w:u w:val="single"/>
          </w:rPr>
          <w:t>Health Care Conglomerates: Policy and Legal Options for Addressing Vertical Integration</w:t>
        </w:r>
      </w:hyperlink>
      <w:r w:rsidRPr="005674D6">
        <w:t>. Brown University, Center for Advancing Health Policy Through Research, May 2026.</w:t>
      </w:r>
      <w:r w:rsidRPr="005674D6">
        <w:br/>
      </w:r>
    </w:p>
    <w:p w14:paraId="286835CF" w14:textId="77777777" w:rsidR="00D946F8" w:rsidRPr="005674D6" w:rsidRDefault="00D946F8" w:rsidP="00646036">
      <w:r w:rsidRPr="005674D6">
        <w:t xml:space="preserve">Linda J. Blumberg, Kevin Lucia, and Kennah Watts. </w:t>
      </w:r>
      <w:hyperlink r:id="rId27">
        <w:r w:rsidRPr="0024678F">
          <w:rPr>
            <w:i/>
            <w:iCs/>
            <w:color w:val="0070C0"/>
            <w:u w:val="single"/>
          </w:rPr>
          <w:t>The Complex Web of Health Care Financial Interests and Their Implications for Ever Higher Spending: An Expert Perspective</w:t>
        </w:r>
      </w:hyperlink>
      <w:r w:rsidRPr="005674D6">
        <w:t>. Georgetown University, Center on Health Insurance Reforms, October 2025.</w:t>
      </w:r>
      <w:r w:rsidRPr="005674D6">
        <w:br/>
      </w:r>
    </w:p>
    <w:p w14:paraId="40E50165" w14:textId="77777777" w:rsidR="00D946F8" w:rsidRPr="005674D6" w:rsidRDefault="00D946F8" w:rsidP="00646036">
      <w:r w:rsidRPr="005674D6">
        <w:t xml:space="preserve">CHIR Faculty. </w:t>
      </w:r>
      <w:hyperlink r:id="rId28">
        <w:r w:rsidRPr="0024678F">
          <w:rPr>
            <w:i/>
            <w:iCs/>
            <w:color w:val="0070C0"/>
            <w:u w:val="single"/>
          </w:rPr>
          <w:t>How Has Corporatization Transformed Your State’s Health Care Market?</w:t>
        </w:r>
      </w:hyperlink>
      <w:r w:rsidRPr="005674D6">
        <w:t xml:space="preserve"> Georgetown University, Center on Health Insurance Reforms, March 2026.</w:t>
      </w:r>
      <w:r w:rsidRPr="005674D6">
        <w:br/>
      </w:r>
    </w:p>
    <w:p w14:paraId="2C734633" w14:textId="77777777" w:rsidR="00D946F8" w:rsidRPr="005674D6" w:rsidRDefault="00D946F8" w:rsidP="00646036">
      <w:r w:rsidRPr="005674D6">
        <w:t xml:space="preserve">Erin C. Fuse Brown, Hayden Rooke-Ley. </w:t>
      </w:r>
      <w:hyperlink r:id="rId29">
        <w:r w:rsidRPr="0024678F">
          <w:rPr>
            <w:i/>
            <w:iCs/>
            <w:color w:val="0070C0"/>
            <w:u w:val="single"/>
          </w:rPr>
          <w:t>Health Care Financialization</w:t>
        </w:r>
      </w:hyperlink>
      <w:r w:rsidRPr="005674D6">
        <w:t>. Journal of Health Care Law and Policy, 29:1, January 2026.</w:t>
      </w:r>
      <w:r w:rsidRPr="005674D6">
        <w:br/>
      </w:r>
    </w:p>
    <w:p w14:paraId="5D58E971" w14:textId="77777777" w:rsidR="00D946F8" w:rsidRPr="005674D6" w:rsidRDefault="00D946F8" w:rsidP="00646036">
      <w:r w:rsidRPr="005674D6">
        <w:t xml:space="preserve">Jonathan Kanter, Martin Gaynor. </w:t>
      </w:r>
      <w:hyperlink r:id="rId30">
        <w:r w:rsidRPr="0024678F">
          <w:rPr>
            <w:color w:val="0070C0"/>
            <w:u w:val="single"/>
          </w:rPr>
          <w:t>The Rise of Health Care Platforms</w:t>
        </w:r>
      </w:hyperlink>
      <w:r w:rsidRPr="005674D6">
        <w:t>. JAMA, April 2025.</w:t>
      </w:r>
      <w:r w:rsidRPr="005674D6">
        <w:br/>
      </w:r>
    </w:p>
    <w:p w14:paraId="370088DD" w14:textId="22CED1E1" w:rsidR="00D946F8" w:rsidRPr="005674D6" w:rsidRDefault="00D946F8" w:rsidP="00646036">
      <w:r w:rsidRPr="005674D6">
        <w:t xml:space="preserve">Hayden Rooke-Ley, Soleil Shah, and Erin C. Fuse Brown. </w:t>
      </w:r>
      <w:hyperlink r:id="rId31">
        <w:r w:rsidRPr="0024678F">
          <w:rPr>
            <w:i/>
            <w:iCs/>
            <w:color w:val="0070C0"/>
            <w:u w:val="single"/>
          </w:rPr>
          <w:t>Medicare Advantage and Consolidation’s New Frontier — The Danger of United</w:t>
        </w:r>
        <w:r w:rsidR="007C1C4E" w:rsidRPr="0024678F">
          <w:rPr>
            <w:i/>
            <w:iCs/>
            <w:color w:val="0070C0"/>
            <w:u w:val="single"/>
          </w:rPr>
          <w:t>Health care</w:t>
        </w:r>
        <w:r w:rsidRPr="0024678F">
          <w:rPr>
            <w:i/>
            <w:iCs/>
            <w:color w:val="0070C0"/>
            <w:u w:val="single"/>
          </w:rPr>
          <w:t xml:space="preserve"> for All</w:t>
        </w:r>
      </w:hyperlink>
      <w:r w:rsidRPr="005674D6">
        <w:t>. The New England Journal of Medicine, July 2024.</w:t>
      </w:r>
      <w:r w:rsidRPr="005674D6">
        <w:br/>
      </w:r>
    </w:p>
    <w:p w14:paraId="2A8F66F2" w14:textId="77777777" w:rsidR="00D946F8" w:rsidRPr="005674D6" w:rsidRDefault="00D946F8" w:rsidP="00646036">
      <w:r w:rsidRPr="005674D6">
        <w:t xml:space="preserve">Erin C. Fuse Brown. </w:t>
      </w:r>
      <w:hyperlink r:id="rId32">
        <w:r w:rsidRPr="0024678F">
          <w:rPr>
            <w:i/>
            <w:iCs/>
            <w:color w:val="0070C0"/>
            <w:u w:val="single"/>
          </w:rPr>
          <w:t>State Strategies to Improve Health Care Market Oversight</w:t>
        </w:r>
      </w:hyperlink>
      <w:r w:rsidRPr="005674D6">
        <w:t>. Milbank Memorial Fund. February 2026.</w:t>
      </w:r>
      <w:r w:rsidRPr="005674D6">
        <w:br/>
      </w:r>
    </w:p>
    <w:p w14:paraId="5A6D1187" w14:textId="77777777" w:rsidR="00D946F8" w:rsidRPr="005674D6" w:rsidRDefault="00D946F8" w:rsidP="00646036">
      <w:r w:rsidRPr="005674D6">
        <w:t>Julia Burleson. State Spotlight:</w:t>
      </w:r>
      <w:hyperlink r:id="rId33">
        <w:r w:rsidRPr="005674D6">
          <w:rPr>
            <w:u w:val="single"/>
          </w:rPr>
          <w:t xml:space="preserve"> </w:t>
        </w:r>
        <w:r w:rsidRPr="0024678F">
          <w:rPr>
            <w:color w:val="0070C0"/>
            <w:u w:val="single"/>
          </w:rPr>
          <w:t>Oregon’s Multi-Pronged Approach to Corporate Influence in Physician Practices</w:t>
        </w:r>
      </w:hyperlink>
      <w:r w:rsidRPr="005674D6">
        <w:t>. Georgetown University, Center on Health Insurance Reforms, April 2026.</w:t>
      </w:r>
      <w:r w:rsidRPr="005674D6">
        <w:br/>
      </w:r>
    </w:p>
    <w:p w14:paraId="25464A0D" w14:textId="77777777" w:rsidR="00D946F8" w:rsidRPr="005674D6" w:rsidRDefault="00D946F8" w:rsidP="00646036">
      <w:r w:rsidRPr="005674D6">
        <w:t xml:space="preserve">Stacey Pogue, Kennah Watts. </w:t>
      </w:r>
      <w:hyperlink r:id="rId34">
        <w:r w:rsidRPr="0024678F">
          <w:rPr>
            <w:i/>
            <w:iCs/>
            <w:color w:val="0070C0"/>
            <w:u w:val="single"/>
          </w:rPr>
          <w:t>State Spotlight: New Massachusetts Law Enhances Oversight of Private Equity in Health Care</w:t>
        </w:r>
        <w:r w:rsidRPr="005674D6">
          <w:rPr>
            <w:i/>
            <w:iCs/>
            <w:u w:val="single"/>
          </w:rPr>
          <w:t>.</w:t>
        </w:r>
      </w:hyperlink>
      <w:r w:rsidRPr="005674D6">
        <w:t xml:space="preserve"> Georgetown University, Center on Health Insurance Reforms, March 2025.</w:t>
      </w:r>
      <w:r w:rsidRPr="005674D6">
        <w:br/>
      </w:r>
    </w:p>
    <w:p w14:paraId="14939EAE" w14:textId="77777777" w:rsidR="00D946F8" w:rsidRPr="005674D6" w:rsidRDefault="00D946F8" w:rsidP="00646036">
      <w:r w:rsidRPr="005674D6">
        <w:rPr>
          <w:rFonts w:eastAsia="Arial" w:cs="Arial"/>
        </w:rPr>
        <w:t xml:space="preserve">Abigail Knapp and Sabrina Corlette, </w:t>
      </w:r>
      <w:hyperlink r:id="rId35" w:anchor=":~:text=">
        <w:r w:rsidRPr="0024678F">
          <w:rPr>
            <w:i/>
            <w:iCs/>
            <w:color w:val="0070C0"/>
            <w:u w:val="single"/>
          </w:rPr>
          <w:t>Beyond Benchmarks: Strengthening State Strategies to Contain Health Care Prices | Center on Health Insurance Reforms</w:t>
        </w:r>
        <w:r w:rsidRPr="005674D6">
          <w:rPr>
            <w:i/>
            <w:iCs/>
            <w:u w:val="single"/>
          </w:rPr>
          <w:t>,</w:t>
        </w:r>
      </w:hyperlink>
      <w:r w:rsidRPr="005674D6">
        <w:rPr>
          <w:i/>
          <w:iCs/>
        </w:rPr>
        <w:t xml:space="preserve"> </w:t>
      </w:r>
      <w:r w:rsidRPr="005674D6">
        <w:t>Georgetown University, Center on Health Insurance Reforms, February 2026.</w:t>
      </w:r>
    </w:p>
    <w:p w14:paraId="7875A760" w14:textId="77777777" w:rsidR="00D946F8" w:rsidRPr="005674D6" w:rsidRDefault="00D946F8" w:rsidP="00646036">
      <w:pPr>
        <w:rPr>
          <w:lang w:val="en"/>
        </w:rPr>
        <w:sectPr w:rsidR="00D946F8" w:rsidRPr="005674D6" w:rsidSect="00B875F3">
          <w:headerReference w:type="default" r:id="rId36"/>
          <w:headerReference w:type="first" r:id="rId37"/>
          <w:pgSz w:w="12240" w:h="15840" w:code="1"/>
          <w:pgMar w:top="1080" w:right="1080" w:bottom="1080" w:left="1080" w:header="720" w:footer="720" w:gutter="0"/>
          <w:cols w:space="708"/>
          <w:titlePg/>
          <w:docGrid w:linePitch="360"/>
        </w:sectPr>
      </w:pPr>
    </w:p>
    <w:p w14:paraId="6E5DCC7A" w14:textId="1E59640E" w:rsidR="00B84CCC" w:rsidRPr="008B0A5B" w:rsidRDefault="0024678F" w:rsidP="008B0A5B">
      <w:pPr>
        <w:pStyle w:val="Heading1"/>
      </w:pPr>
      <w:bookmarkStart w:id="13" w:name="_Toc243048302"/>
      <w:r w:rsidRPr="008B0A5B">
        <w:t xml:space="preserve">Section 3: </w:t>
      </w:r>
      <w:r w:rsidR="3CD1C2C9" w:rsidRPr="008B0A5B">
        <w:t>Develop State-defined Plans with Premium Reduction Targets</w:t>
      </w:r>
      <w:bookmarkEnd w:id="13"/>
    </w:p>
    <w:p w14:paraId="5487E78E" w14:textId="77777777" w:rsidR="006064C8" w:rsidRPr="005674D6" w:rsidRDefault="006064C8" w:rsidP="008B0A5B">
      <w:pPr>
        <w:pStyle w:val="NonTOCHeading"/>
        <w:rPr>
          <w:bCs/>
          <w:lang w:val="en"/>
        </w:rPr>
      </w:pPr>
      <w:r w:rsidRPr="005674D6">
        <w:rPr>
          <w:lang w:val="en"/>
        </w:rPr>
        <w:t>Contributors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2"/>
        <w:gridCol w:w="4365"/>
        <w:gridCol w:w="3393"/>
      </w:tblGrid>
      <w:tr w:rsidR="005B55C1" w:rsidRPr="005674D6" w14:paraId="0DC5F081" w14:textId="77777777" w:rsidTr="7D95DB54">
        <w:trPr>
          <w:trHeight w:val="480"/>
        </w:trPr>
        <w:tc>
          <w:tcPr>
            <w:tcW w:w="1152"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7C4349DF" w14:textId="77777777" w:rsidR="005B55C1" w:rsidRPr="005674D6" w:rsidRDefault="2519260F" w:rsidP="7D95DB54">
            <w:pPr>
              <w:rPr>
                <w:b/>
                <w:bCs/>
              </w:rPr>
            </w:pPr>
            <w:r w:rsidRPr="7D95DB54">
              <w:rPr>
                <w:b/>
                <w:bCs/>
                <w:lang w:val="en"/>
              </w:rPr>
              <w:t>Contributors</w:t>
            </w:r>
            <w:r w:rsidRPr="7D95DB54">
              <w:rPr>
                <w:b/>
                <w:bCs/>
              </w:rPr>
              <w:t> </w:t>
            </w:r>
          </w:p>
        </w:tc>
        <w:tc>
          <w:tcPr>
            <w:tcW w:w="2165"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3C75DD68" w14:textId="77777777" w:rsidR="005B55C1" w:rsidRPr="005674D6" w:rsidRDefault="2519260F" w:rsidP="7D95DB54">
            <w:pPr>
              <w:rPr>
                <w:b/>
                <w:bCs/>
              </w:rPr>
            </w:pPr>
            <w:r w:rsidRPr="7D95DB54">
              <w:rPr>
                <w:b/>
                <w:bCs/>
                <w:lang w:val="en"/>
              </w:rPr>
              <w:t>Titles of Contributors</w:t>
            </w:r>
            <w:r w:rsidRPr="7D95DB54">
              <w:rPr>
                <w:b/>
                <w:bCs/>
              </w:rPr>
              <w:t> </w:t>
            </w:r>
          </w:p>
        </w:tc>
        <w:tc>
          <w:tcPr>
            <w:tcW w:w="1683"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10BBC01E" w14:textId="77777777" w:rsidR="005B55C1" w:rsidRPr="005674D6" w:rsidRDefault="2519260F" w:rsidP="7D95DB54">
            <w:pPr>
              <w:rPr>
                <w:b/>
                <w:bCs/>
              </w:rPr>
            </w:pPr>
            <w:r w:rsidRPr="7D95DB54">
              <w:rPr>
                <w:b/>
                <w:bCs/>
                <w:lang w:val="en"/>
              </w:rPr>
              <w:t>States of Contributors</w:t>
            </w:r>
            <w:r w:rsidRPr="7D95DB54">
              <w:rPr>
                <w:b/>
                <w:bCs/>
              </w:rPr>
              <w:t> </w:t>
            </w:r>
          </w:p>
        </w:tc>
      </w:tr>
      <w:tr w:rsidR="005B55C1" w:rsidRPr="005674D6" w14:paraId="06DF4F39"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tcPr>
          <w:p w14:paraId="7DA841C7" w14:textId="77777777" w:rsidR="005B55C1" w:rsidRPr="005674D6" w:rsidRDefault="2519260F" w:rsidP="7D95DB54">
            <w:pPr>
              <w:rPr>
                <w:lang w:val="en"/>
              </w:rPr>
            </w:pPr>
            <w:r w:rsidRPr="7D95DB54">
              <w:rPr>
                <w:lang w:val="en"/>
              </w:rPr>
              <w:t>Alexandria Peck</w:t>
            </w:r>
          </w:p>
        </w:tc>
        <w:tc>
          <w:tcPr>
            <w:tcW w:w="2165" w:type="pct"/>
            <w:tcBorders>
              <w:top w:val="single" w:sz="6" w:space="0" w:color="000000" w:themeColor="text1"/>
              <w:left w:val="nil"/>
              <w:bottom w:val="single" w:sz="6" w:space="0" w:color="000000" w:themeColor="text1"/>
              <w:right w:val="nil"/>
            </w:tcBorders>
            <w:vAlign w:val="center"/>
          </w:tcPr>
          <w:p w14:paraId="3AF062FC" w14:textId="5EEC4796" w:rsidR="005B55C1" w:rsidRPr="005674D6" w:rsidRDefault="2519260F" w:rsidP="7D95DB54">
            <w:pPr>
              <w:rPr>
                <w:lang w:val="en"/>
              </w:rPr>
            </w:pPr>
            <w:r w:rsidRPr="7D95DB54">
              <w:rPr>
                <w:lang w:val="en"/>
              </w:rPr>
              <w:t xml:space="preserve">Chief Deputy Commissioner of Compliance </w:t>
            </w:r>
            <w:r w:rsidR="005B55C1">
              <w:br/>
            </w:r>
            <w:r w:rsidRPr="7D95DB54">
              <w:rPr>
                <w:lang w:val="en"/>
              </w:rPr>
              <w:t>and Actuarial Services</w:t>
            </w:r>
          </w:p>
        </w:tc>
        <w:tc>
          <w:tcPr>
            <w:tcW w:w="1683" w:type="pct"/>
            <w:tcBorders>
              <w:top w:val="single" w:sz="6" w:space="0" w:color="000000" w:themeColor="text1"/>
              <w:left w:val="nil"/>
              <w:bottom w:val="single" w:sz="6" w:space="0" w:color="000000" w:themeColor="text1"/>
              <w:right w:val="nil"/>
            </w:tcBorders>
            <w:vAlign w:val="center"/>
          </w:tcPr>
          <w:p w14:paraId="33122268" w14:textId="77777777" w:rsidR="005B55C1" w:rsidRPr="005674D6" w:rsidRDefault="2519260F" w:rsidP="7D95DB54">
            <w:pPr>
              <w:rPr>
                <w:lang w:val="en"/>
              </w:rPr>
            </w:pPr>
            <w:r w:rsidRPr="7D95DB54">
              <w:rPr>
                <w:lang w:val="en"/>
              </w:rPr>
              <w:t>Indiana</w:t>
            </w:r>
          </w:p>
          <w:p w14:paraId="59BEC6D9" w14:textId="77777777" w:rsidR="005B55C1" w:rsidRPr="005674D6" w:rsidRDefault="005B55C1" w:rsidP="7D95DB54">
            <w:pPr>
              <w:rPr>
                <w:lang w:val="en"/>
              </w:rPr>
            </w:pPr>
          </w:p>
        </w:tc>
      </w:tr>
      <w:tr w:rsidR="005B55C1" w:rsidRPr="005674D6" w14:paraId="040ACA4D"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hideMark/>
          </w:tcPr>
          <w:p w14:paraId="3FEEEFC2" w14:textId="77777777" w:rsidR="005B55C1" w:rsidRPr="005674D6" w:rsidRDefault="2519260F" w:rsidP="7D95DB54">
            <w:pPr>
              <w:rPr>
                <w:lang w:val="en"/>
              </w:rPr>
            </w:pPr>
            <w:r w:rsidRPr="7D95DB54">
              <w:rPr>
                <w:lang w:val="en"/>
              </w:rPr>
              <w:t>Kevin Beagan</w:t>
            </w:r>
          </w:p>
        </w:tc>
        <w:tc>
          <w:tcPr>
            <w:tcW w:w="2165" w:type="pct"/>
            <w:tcBorders>
              <w:top w:val="single" w:sz="6" w:space="0" w:color="000000" w:themeColor="text1"/>
              <w:left w:val="nil"/>
              <w:bottom w:val="single" w:sz="6" w:space="0" w:color="000000" w:themeColor="text1"/>
              <w:right w:val="nil"/>
            </w:tcBorders>
            <w:vAlign w:val="center"/>
          </w:tcPr>
          <w:p w14:paraId="1E56C1DB" w14:textId="727A74D3" w:rsidR="005B55C1" w:rsidRPr="005674D6" w:rsidRDefault="2519260F" w:rsidP="7D95DB54">
            <w:r>
              <w:t>Deputy Commissioner, Health Care Access Bureau</w:t>
            </w:r>
          </w:p>
        </w:tc>
        <w:tc>
          <w:tcPr>
            <w:tcW w:w="1683" w:type="pct"/>
            <w:tcBorders>
              <w:top w:val="single" w:sz="6" w:space="0" w:color="000000" w:themeColor="text1"/>
              <w:left w:val="nil"/>
              <w:bottom w:val="single" w:sz="6" w:space="0" w:color="000000" w:themeColor="text1"/>
              <w:right w:val="nil"/>
            </w:tcBorders>
            <w:vAlign w:val="center"/>
          </w:tcPr>
          <w:p w14:paraId="0157B5AB" w14:textId="77777777" w:rsidR="005B55C1" w:rsidRPr="005674D6" w:rsidRDefault="2519260F" w:rsidP="7D95DB54">
            <w:pPr>
              <w:rPr>
                <w:lang w:val="en"/>
              </w:rPr>
            </w:pPr>
            <w:r w:rsidRPr="7D95DB54">
              <w:rPr>
                <w:lang w:val="en"/>
              </w:rPr>
              <w:t>Massachusetts</w:t>
            </w:r>
          </w:p>
          <w:p w14:paraId="1CE1230F" w14:textId="77777777" w:rsidR="005B55C1" w:rsidRPr="005674D6" w:rsidRDefault="005B55C1" w:rsidP="7D95DB54">
            <w:pPr>
              <w:rPr>
                <w:lang w:val="en"/>
              </w:rPr>
            </w:pPr>
          </w:p>
        </w:tc>
      </w:tr>
      <w:tr w:rsidR="005B55C1" w:rsidRPr="005674D6" w14:paraId="44415C4F"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hideMark/>
          </w:tcPr>
          <w:p w14:paraId="2CFF8E67" w14:textId="77777777" w:rsidR="005B55C1" w:rsidRPr="005674D6" w:rsidRDefault="2519260F" w:rsidP="7D95DB54">
            <w:pPr>
              <w:rPr>
                <w:lang w:val="en"/>
              </w:rPr>
            </w:pPr>
            <w:r w:rsidRPr="7D95DB54">
              <w:rPr>
                <w:lang w:val="en"/>
              </w:rPr>
              <w:t>Cara Libman</w:t>
            </w:r>
          </w:p>
        </w:tc>
        <w:tc>
          <w:tcPr>
            <w:tcW w:w="2165" w:type="pct"/>
            <w:tcBorders>
              <w:top w:val="single" w:sz="6" w:space="0" w:color="000000" w:themeColor="text1"/>
              <w:left w:val="nil"/>
              <w:bottom w:val="single" w:sz="6" w:space="0" w:color="000000" w:themeColor="text1"/>
              <w:right w:val="nil"/>
            </w:tcBorders>
            <w:vAlign w:val="center"/>
          </w:tcPr>
          <w:p w14:paraId="197A8B0B" w14:textId="6FF10B83" w:rsidR="005B55C1" w:rsidRPr="005674D6" w:rsidRDefault="2519260F" w:rsidP="7D95DB54">
            <w:pPr>
              <w:rPr>
                <w:lang w:val="en"/>
              </w:rPr>
            </w:pPr>
            <w:r w:rsidRPr="7D95DB54">
              <w:rPr>
                <w:lang w:val="en"/>
              </w:rPr>
              <w:t>Senior Regulatory Counsel to the Commissioner</w:t>
            </w:r>
          </w:p>
        </w:tc>
        <w:tc>
          <w:tcPr>
            <w:tcW w:w="1683" w:type="pct"/>
            <w:tcBorders>
              <w:top w:val="single" w:sz="6" w:space="0" w:color="000000" w:themeColor="text1"/>
              <w:left w:val="nil"/>
              <w:bottom w:val="single" w:sz="6" w:space="0" w:color="000000" w:themeColor="text1"/>
              <w:right w:val="nil"/>
            </w:tcBorders>
            <w:vAlign w:val="center"/>
          </w:tcPr>
          <w:p w14:paraId="0D34EAAF" w14:textId="77777777" w:rsidR="005B55C1" w:rsidRPr="005674D6" w:rsidRDefault="2519260F" w:rsidP="7D95DB54">
            <w:pPr>
              <w:rPr>
                <w:lang w:val="en"/>
              </w:rPr>
            </w:pPr>
            <w:r w:rsidRPr="7D95DB54">
              <w:rPr>
                <w:lang w:val="en"/>
              </w:rPr>
              <w:t>Massachusetts</w:t>
            </w:r>
          </w:p>
          <w:p w14:paraId="421BEC34" w14:textId="77777777" w:rsidR="005B55C1" w:rsidRPr="005674D6" w:rsidRDefault="005B55C1" w:rsidP="7D95DB54">
            <w:pPr>
              <w:rPr>
                <w:lang w:val="en"/>
              </w:rPr>
            </w:pPr>
          </w:p>
        </w:tc>
      </w:tr>
      <w:tr w:rsidR="005B55C1" w:rsidRPr="005674D6" w14:paraId="1B746AA6"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tcPr>
          <w:p w14:paraId="1A7F1F3D" w14:textId="77777777" w:rsidR="005B55C1" w:rsidRPr="005674D6" w:rsidRDefault="2519260F" w:rsidP="7D95DB54">
            <w:pPr>
              <w:rPr>
                <w:lang w:val="en"/>
              </w:rPr>
            </w:pPr>
            <w:r w:rsidRPr="7D95DB54">
              <w:rPr>
                <w:lang w:val="en"/>
              </w:rPr>
              <w:t>Lindsi Swartz</w:t>
            </w:r>
          </w:p>
        </w:tc>
        <w:tc>
          <w:tcPr>
            <w:tcW w:w="2165" w:type="pct"/>
            <w:tcBorders>
              <w:top w:val="single" w:sz="6" w:space="0" w:color="000000" w:themeColor="text1"/>
              <w:left w:val="nil"/>
              <w:bottom w:val="single" w:sz="6" w:space="0" w:color="000000" w:themeColor="text1"/>
              <w:right w:val="nil"/>
            </w:tcBorders>
            <w:vAlign w:val="center"/>
          </w:tcPr>
          <w:p w14:paraId="19DE2727" w14:textId="77777777" w:rsidR="005B55C1" w:rsidRPr="005674D6" w:rsidRDefault="2519260F" w:rsidP="7D95DB54">
            <w:pPr>
              <w:rPr>
                <w:lang w:val="en"/>
              </w:rPr>
            </w:pPr>
            <w:r w:rsidRPr="7D95DB54">
              <w:rPr>
                <w:lang w:val="en"/>
              </w:rPr>
              <w:t>Director- Accident and Health Rate and Policy Form Review</w:t>
            </w:r>
          </w:p>
        </w:tc>
        <w:tc>
          <w:tcPr>
            <w:tcW w:w="1683" w:type="pct"/>
            <w:tcBorders>
              <w:top w:val="single" w:sz="6" w:space="0" w:color="000000" w:themeColor="text1"/>
              <w:left w:val="nil"/>
              <w:bottom w:val="single" w:sz="6" w:space="0" w:color="000000" w:themeColor="text1"/>
              <w:right w:val="nil"/>
            </w:tcBorders>
            <w:vAlign w:val="center"/>
          </w:tcPr>
          <w:p w14:paraId="7A90BB49" w14:textId="77777777" w:rsidR="005B55C1" w:rsidRPr="005674D6" w:rsidRDefault="2519260F" w:rsidP="7D95DB54">
            <w:pPr>
              <w:rPr>
                <w:lang w:val="en"/>
              </w:rPr>
            </w:pPr>
            <w:r w:rsidRPr="7D95DB54">
              <w:rPr>
                <w:lang w:val="en"/>
              </w:rPr>
              <w:t xml:space="preserve">Pennsylvania </w:t>
            </w:r>
          </w:p>
          <w:p w14:paraId="1D6DE199" w14:textId="77777777" w:rsidR="005B55C1" w:rsidRPr="005674D6" w:rsidRDefault="005B55C1" w:rsidP="7D95DB54">
            <w:pPr>
              <w:rPr>
                <w:lang w:val="en"/>
              </w:rPr>
            </w:pPr>
          </w:p>
        </w:tc>
      </w:tr>
      <w:tr w:rsidR="005B55C1" w:rsidRPr="005674D6" w14:paraId="671A77EF"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tcPr>
          <w:p w14:paraId="5C2C2165" w14:textId="77777777" w:rsidR="005B55C1" w:rsidRPr="005674D6" w:rsidRDefault="2519260F" w:rsidP="7D95DB54">
            <w:pPr>
              <w:rPr>
                <w:lang w:val="en"/>
              </w:rPr>
            </w:pPr>
            <w:r w:rsidRPr="7D95DB54">
              <w:rPr>
                <w:lang w:val="en"/>
              </w:rPr>
              <w:t>Carlos Valles</w:t>
            </w:r>
          </w:p>
        </w:tc>
        <w:tc>
          <w:tcPr>
            <w:tcW w:w="2165" w:type="pct"/>
            <w:tcBorders>
              <w:top w:val="single" w:sz="6" w:space="0" w:color="000000" w:themeColor="text1"/>
              <w:left w:val="nil"/>
              <w:bottom w:val="single" w:sz="6" w:space="0" w:color="000000" w:themeColor="text1"/>
              <w:right w:val="nil"/>
            </w:tcBorders>
            <w:vAlign w:val="center"/>
          </w:tcPr>
          <w:p w14:paraId="2409F749" w14:textId="77777777" w:rsidR="005B55C1" w:rsidRPr="005674D6" w:rsidRDefault="2519260F" w:rsidP="7D95DB54">
            <w:pPr>
              <w:rPr>
                <w:lang w:val="en"/>
              </w:rPr>
            </w:pPr>
            <w:r w:rsidRPr="7D95DB54">
              <w:rPr>
                <w:lang w:val="en"/>
              </w:rPr>
              <w:t>Special Aide</w:t>
            </w:r>
          </w:p>
        </w:tc>
        <w:tc>
          <w:tcPr>
            <w:tcW w:w="1683" w:type="pct"/>
            <w:tcBorders>
              <w:top w:val="single" w:sz="6" w:space="0" w:color="000000" w:themeColor="text1"/>
              <w:left w:val="nil"/>
              <w:bottom w:val="single" w:sz="6" w:space="0" w:color="000000" w:themeColor="text1"/>
              <w:right w:val="nil"/>
            </w:tcBorders>
            <w:vAlign w:val="center"/>
          </w:tcPr>
          <w:p w14:paraId="2D606BF6" w14:textId="77777777" w:rsidR="005B55C1" w:rsidRPr="005674D6" w:rsidRDefault="2519260F" w:rsidP="7D95DB54">
            <w:pPr>
              <w:rPr>
                <w:lang w:val="en"/>
              </w:rPr>
            </w:pPr>
            <w:r w:rsidRPr="7D95DB54">
              <w:rPr>
                <w:lang w:val="en"/>
              </w:rPr>
              <w:t>Puerto Rico</w:t>
            </w:r>
          </w:p>
        </w:tc>
      </w:tr>
      <w:tr w:rsidR="005B55C1" w:rsidRPr="005674D6" w14:paraId="62C741D6"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tcPr>
          <w:p w14:paraId="7D77F52C" w14:textId="77777777" w:rsidR="005B55C1" w:rsidRPr="005674D6" w:rsidRDefault="2519260F" w:rsidP="7D95DB54">
            <w:pPr>
              <w:rPr>
                <w:lang w:val="en"/>
              </w:rPr>
            </w:pPr>
            <w:r w:rsidRPr="7D95DB54">
              <w:rPr>
                <w:lang w:val="en"/>
              </w:rPr>
              <w:t>Joylynn Fix</w:t>
            </w:r>
          </w:p>
        </w:tc>
        <w:tc>
          <w:tcPr>
            <w:tcW w:w="2165" w:type="pct"/>
            <w:tcBorders>
              <w:top w:val="single" w:sz="6" w:space="0" w:color="000000" w:themeColor="text1"/>
              <w:left w:val="nil"/>
              <w:bottom w:val="single" w:sz="6" w:space="0" w:color="000000" w:themeColor="text1"/>
              <w:right w:val="nil"/>
            </w:tcBorders>
            <w:vAlign w:val="center"/>
          </w:tcPr>
          <w:p w14:paraId="7E0581A8" w14:textId="77777777" w:rsidR="005B55C1" w:rsidRPr="005674D6" w:rsidRDefault="2519260F" w:rsidP="7D95DB54">
            <w:pPr>
              <w:rPr>
                <w:color w:val="1F1F1F"/>
              </w:rPr>
            </w:pPr>
            <w:r w:rsidRPr="7D95DB54">
              <w:rPr>
                <w:lang w:val="en"/>
              </w:rPr>
              <w:t>Director, Life &amp; Health Division</w:t>
            </w:r>
          </w:p>
        </w:tc>
        <w:tc>
          <w:tcPr>
            <w:tcW w:w="1683" w:type="pct"/>
            <w:tcBorders>
              <w:top w:val="single" w:sz="6" w:space="0" w:color="000000" w:themeColor="text1"/>
              <w:left w:val="nil"/>
              <w:bottom w:val="single" w:sz="6" w:space="0" w:color="000000" w:themeColor="text1"/>
              <w:right w:val="nil"/>
            </w:tcBorders>
            <w:vAlign w:val="center"/>
          </w:tcPr>
          <w:p w14:paraId="344C00CB" w14:textId="77777777" w:rsidR="005B55C1" w:rsidRPr="005674D6" w:rsidRDefault="2519260F" w:rsidP="7D95DB54">
            <w:pPr>
              <w:rPr>
                <w:color w:val="1F1F1F"/>
                <w:lang w:val="en"/>
              </w:rPr>
            </w:pPr>
            <w:r w:rsidRPr="7D95DB54">
              <w:rPr>
                <w:lang w:val="en"/>
              </w:rPr>
              <w:t>West Virginia</w:t>
            </w:r>
          </w:p>
        </w:tc>
      </w:tr>
      <w:tr w:rsidR="005B55C1" w:rsidRPr="005674D6" w14:paraId="64EC778C" w14:textId="77777777" w:rsidTr="7D95DB54">
        <w:trPr>
          <w:trHeight w:val="480"/>
        </w:trPr>
        <w:tc>
          <w:tcPr>
            <w:tcW w:w="1152" w:type="pct"/>
            <w:tcBorders>
              <w:top w:val="single" w:sz="6" w:space="0" w:color="000000" w:themeColor="text1"/>
              <w:left w:val="nil"/>
              <w:bottom w:val="single" w:sz="6" w:space="0" w:color="000000" w:themeColor="text1"/>
              <w:right w:val="nil"/>
            </w:tcBorders>
            <w:vAlign w:val="center"/>
          </w:tcPr>
          <w:p w14:paraId="1135A3A2" w14:textId="77777777" w:rsidR="005B55C1" w:rsidRPr="005674D6" w:rsidRDefault="2519260F" w:rsidP="7D95DB54">
            <w:pPr>
              <w:rPr>
                <w:lang w:val="en"/>
              </w:rPr>
            </w:pPr>
            <w:r w:rsidRPr="7D95DB54">
              <w:rPr>
                <w:lang w:val="en"/>
              </w:rPr>
              <w:t>Coral Manning</w:t>
            </w:r>
          </w:p>
        </w:tc>
        <w:tc>
          <w:tcPr>
            <w:tcW w:w="2165" w:type="pct"/>
            <w:tcBorders>
              <w:top w:val="single" w:sz="6" w:space="0" w:color="000000" w:themeColor="text1"/>
              <w:left w:val="nil"/>
              <w:bottom w:val="single" w:sz="6" w:space="0" w:color="000000" w:themeColor="text1"/>
              <w:right w:val="nil"/>
            </w:tcBorders>
            <w:vAlign w:val="center"/>
          </w:tcPr>
          <w:p w14:paraId="30291D65" w14:textId="50CD85A5" w:rsidR="005B55C1" w:rsidRPr="005674D6" w:rsidRDefault="2519260F" w:rsidP="7D95DB54">
            <w:pPr>
              <w:rPr>
                <w:lang w:val="en"/>
              </w:rPr>
            </w:pPr>
            <w:r w:rsidRPr="7D95DB54">
              <w:rPr>
                <w:lang w:val="en"/>
              </w:rPr>
              <w:t xml:space="preserve">Policy Initiatives Advisor </w:t>
            </w:r>
          </w:p>
        </w:tc>
        <w:tc>
          <w:tcPr>
            <w:tcW w:w="1683" w:type="pct"/>
            <w:tcBorders>
              <w:top w:val="single" w:sz="6" w:space="0" w:color="000000" w:themeColor="text1"/>
              <w:left w:val="nil"/>
              <w:bottom w:val="single" w:sz="6" w:space="0" w:color="000000" w:themeColor="text1"/>
              <w:right w:val="nil"/>
            </w:tcBorders>
            <w:vAlign w:val="center"/>
          </w:tcPr>
          <w:p w14:paraId="345967B6" w14:textId="77777777" w:rsidR="005B55C1" w:rsidRPr="005674D6" w:rsidRDefault="2519260F" w:rsidP="7D95DB54">
            <w:pPr>
              <w:rPr>
                <w:color w:val="1F1F1F"/>
                <w:lang w:val="en"/>
              </w:rPr>
            </w:pPr>
            <w:r w:rsidRPr="7D95DB54">
              <w:rPr>
                <w:lang w:val="en"/>
              </w:rPr>
              <w:t>Wisconsin</w:t>
            </w:r>
          </w:p>
        </w:tc>
      </w:tr>
    </w:tbl>
    <w:p w14:paraId="3AECC28B" w14:textId="77777777" w:rsidR="002A2F15" w:rsidRPr="005674D6" w:rsidRDefault="002A2F15" w:rsidP="00646036">
      <w:pPr>
        <w:rPr>
          <w:lang w:val="en"/>
        </w:rPr>
      </w:pPr>
      <w:bookmarkStart w:id="14" w:name="_sqoo3df4hq92"/>
      <w:bookmarkEnd w:id="14"/>
    </w:p>
    <w:p w14:paraId="0D4D4F9D" w14:textId="632C70B5" w:rsidR="006064C8" w:rsidRPr="005674D6" w:rsidRDefault="006064C8" w:rsidP="008B0A5B">
      <w:pPr>
        <w:pStyle w:val="NonTOCHeading"/>
        <w:rPr>
          <w:bCs/>
          <w:lang w:val="en"/>
        </w:rPr>
      </w:pPr>
      <w:r w:rsidRPr="005674D6">
        <w:rPr>
          <w:lang w:val="en"/>
        </w:rPr>
        <w:t xml:space="preserve">Connection to Affordability </w:t>
      </w:r>
    </w:p>
    <w:p w14:paraId="69F4033D" w14:textId="6A9D77C5" w:rsidR="006064C8" w:rsidRPr="005674D6" w:rsidRDefault="13056345" w:rsidP="00646036">
      <w:r>
        <w:t xml:space="preserve">Consumers are facing increases in </w:t>
      </w:r>
      <w:r w:rsidR="00C81CD0">
        <w:t>M</w:t>
      </w:r>
      <w:r>
        <w:t xml:space="preserve">arketplace premiums as </w:t>
      </w:r>
      <w:r w:rsidR="06F3F7EA">
        <w:t>a result</w:t>
      </w:r>
      <w:r>
        <w:t xml:space="preserve"> of the expiration of enhanced premium tax credits (EPTCs), making it more difficult to find affordable care. At the same time, the small group market is contracting, with employers struggling to be able to offer competitive, affordable, and comprehensive benefits packages. Consumers with higher health care needs are faced with no-win choices between absorbing additional premium costs, absorbing the higher deductibles and cost</w:t>
      </w:r>
      <w:r w:rsidR="4E55C807">
        <w:t xml:space="preserve"> </w:t>
      </w:r>
      <w:r>
        <w:t>sharing that come with lower premium options, or dropping coverage entirely.</w:t>
      </w:r>
      <w:r w:rsidR="007456DB">
        <w:t xml:space="preserve"> </w:t>
      </w:r>
      <w:r w:rsidR="005A7934">
        <w:t xml:space="preserve">A number of states have worked to </w:t>
      </w:r>
      <w:r w:rsidR="00F37AD6">
        <w:t xml:space="preserve">achieve more affordable plans by </w:t>
      </w:r>
      <w:r w:rsidR="00A4034D">
        <w:t xml:space="preserve">encouraging or mandating </w:t>
      </w:r>
      <w:r w:rsidR="005A7934">
        <w:t>health insurers to</w:t>
      </w:r>
      <w:r w:rsidR="00A4034D">
        <w:t xml:space="preserve"> off</w:t>
      </w:r>
      <w:r w:rsidR="00663353">
        <w:t>er plan</w:t>
      </w:r>
      <w:r w:rsidR="00F846A7">
        <w:t xml:space="preserve"> designs</w:t>
      </w:r>
      <w:r w:rsidR="00663353">
        <w:t xml:space="preserve"> that might not otherwise be available in the market.</w:t>
      </w:r>
      <w:r w:rsidR="005A7934">
        <w:t xml:space="preserve"> </w:t>
      </w:r>
    </w:p>
    <w:p w14:paraId="61D0EA67" w14:textId="77777777" w:rsidR="002A2F15" w:rsidRPr="005674D6" w:rsidRDefault="002A2F15" w:rsidP="00646036">
      <w:pPr>
        <w:rPr>
          <w:lang w:val="en"/>
        </w:rPr>
      </w:pPr>
    </w:p>
    <w:p w14:paraId="512D26C2" w14:textId="04879E4F" w:rsidR="006064C8" w:rsidRPr="005674D6" w:rsidRDefault="006064C8" w:rsidP="008B0A5B">
      <w:pPr>
        <w:pStyle w:val="NonTOCHeading"/>
        <w:rPr>
          <w:bCs/>
          <w:lang w:val="en"/>
        </w:rPr>
      </w:pPr>
      <w:r w:rsidRPr="005674D6">
        <w:rPr>
          <w:lang w:val="en"/>
        </w:rPr>
        <w:t>Introduction</w:t>
      </w:r>
    </w:p>
    <w:p w14:paraId="4C34B405" w14:textId="35BA3910" w:rsidR="006064C8" w:rsidRPr="005674D6" w:rsidRDefault="13056345" w:rsidP="00646036">
      <w:r>
        <w:t>States are adopting a variety of strategies with the goal of improving health insurance affordability, including public option models with premium reduction targets, mandate-li</w:t>
      </w:r>
      <w:r w:rsidR="00F846A7">
        <w:t>ght</w:t>
      </w:r>
      <w:r>
        <w:t xml:space="preserve"> plans with fewer required benefits, and limited- or tiered-network products that lower costs through more efficient provider networks. States such as Colorado, Nevada, and Washington have pursued public option approaches, while Florida, Kansas, Louisiana, and Texas have expanded lower-cost mandate-li</w:t>
      </w:r>
      <w:r w:rsidR="00F846A7">
        <w:t>ght</w:t>
      </w:r>
      <w:r>
        <w:t xml:space="preserve"> options, and Massachusetts has emphasized market-based plan designs that provide premium discounts through limited networks and lower-cost sites of care. These approaches illustrate the range of policy options states are using in an attempt to lower premiums while balancing affordability, consumer choice, and access to care. However, the evidence is mixed as to the success of these programs.</w:t>
      </w:r>
    </w:p>
    <w:p w14:paraId="1CEB11F7" w14:textId="77777777" w:rsidR="006064C8" w:rsidRPr="005674D6" w:rsidRDefault="006064C8" w:rsidP="00646036">
      <w:pPr>
        <w:rPr>
          <w:lang w:val="en"/>
        </w:rPr>
      </w:pPr>
    </w:p>
    <w:p w14:paraId="011CE4A9" w14:textId="77777777" w:rsidR="006064C8" w:rsidRPr="005674D6" w:rsidRDefault="006064C8" w:rsidP="00646036">
      <w:pPr>
        <w:rPr>
          <w:i/>
          <w:iCs/>
        </w:rPr>
      </w:pPr>
      <w:r w:rsidRPr="005674D6">
        <w:rPr>
          <w:i/>
          <w:iCs/>
          <w:lang w:val="en"/>
        </w:rPr>
        <w:t>Pros</w:t>
      </w:r>
    </w:p>
    <w:p w14:paraId="4C7CD626" w14:textId="77777777" w:rsidR="006064C8" w:rsidRPr="005674D6" w:rsidRDefault="006064C8" w:rsidP="00932C4D">
      <w:pPr>
        <w:pStyle w:val="ListParagraph"/>
        <w:numPr>
          <w:ilvl w:val="0"/>
          <w:numId w:val="37"/>
        </w:numPr>
      </w:pPr>
      <w:r w:rsidRPr="005674D6">
        <w:t>Gives more options for groups/consumers based on risk tolerance to pay for health events.</w:t>
      </w:r>
    </w:p>
    <w:p w14:paraId="6C3056D4" w14:textId="7795A710" w:rsidR="006064C8" w:rsidRPr="005674D6" w:rsidRDefault="006064C8" w:rsidP="00932C4D">
      <w:pPr>
        <w:pStyle w:val="ListParagraph"/>
        <w:numPr>
          <w:ilvl w:val="0"/>
          <w:numId w:val="37"/>
        </w:numPr>
      </w:pPr>
      <w:r w:rsidRPr="005674D6">
        <w:t>With premium and co</w:t>
      </w:r>
      <w:r w:rsidR="006828D0">
        <w:t>-</w:t>
      </w:r>
      <w:r w:rsidRPr="005674D6">
        <w:t xml:space="preserve">payment incentives, covered persons </w:t>
      </w:r>
      <w:r w:rsidR="006828D0">
        <w:t xml:space="preserve">can </w:t>
      </w:r>
      <w:r w:rsidRPr="005674D6">
        <w:t>obtain care from less costly providers.</w:t>
      </w:r>
    </w:p>
    <w:p w14:paraId="15800552" w14:textId="2EE3AA21" w:rsidR="006064C8" w:rsidRPr="005674D6" w:rsidRDefault="006064C8" w:rsidP="00932C4D">
      <w:pPr>
        <w:pStyle w:val="ListParagraph"/>
        <w:numPr>
          <w:ilvl w:val="0"/>
          <w:numId w:val="37"/>
        </w:numPr>
      </w:pPr>
      <w:r w:rsidRPr="005674D6">
        <w:t>With state</w:t>
      </w:r>
      <w:r w:rsidR="00B96051">
        <w:t>-defined</w:t>
      </w:r>
      <w:r w:rsidRPr="005674D6">
        <w:t xml:space="preserve"> plans, covered persons enroll in plans where providers agree to reduced </w:t>
      </w:r>
      <w:r w:rsidR="00B96051">
        <w:t>payments</w:t>
      </w:r>
      <w:r w:rsidRPr="005674D6">
        <w:t>.</w:t>
      </w:r>
    </w:p>
    <w:p w14:paraId="6B58C978" w14:textId="7B6B2858" w:rsidR="006064C8" w:rsidRPr="005674D6" w:rsidRDefault="6C2B70CB" w:rsidP="00932C4D">
      <w:pPr>
        <w:pStyle w:val="ListParagraph"/>
        <w:numPr>
          <w:ilvl w:val="0"/>
          <w:numId w:val="37"/>
        </w:numPr>
      </w:pPr>
      <w:r>
        <w:t>With “</w:t>
      </w:r>
      <w:r w:rsidR="00B96051">
        <w:t>mandate-light</w:t>
      </w:r>
      <w:r>
        <w:t xml:space="preserve">” plans, covered persons choose plans </w:t>
      </w:r>
      <w:r w:rsidR="00B96051">
        <w:t>that don’t cover</w:t>
      </w:r>
      <w:r>
        <w:t xml:space="preserve"> certain </w:t>
      </w:r>
      <w:r w:rsidR="00B96051">
        <w:t>otherwise-</w:t>
      </w:r>
      <w:r>
        <w:t>mandated benefits.</w:t>
      </w:r>
    </w:p>
    <w:p w14:paraId="5A5DD720" w14:textId="5AFB0CCE" w:rsidR="7D95DB54" w:rsidRDefault="7D95DB54" w:rsidP="7D95DB54">
      <w:pPr>
        <w:rPr>
          <w:i/>
          <w:iCs/>
          <w:lang w:val="en"/>
        </w:rPr>
      </w:pPr>
    </w:p>
    <w:p w14:paraId="135B2739" w14:textId="02D9C87E" w:rsidR="7D95DB54" w:rsidRDefault="7D95DB54" w:rsidP="7D95DB54">
      <w:pPr>
        <w:rPr>
          <w:i/>
          <w:iCs/>
          <w:lang w:val="en"/>
        </w:rPr>
      </w:pPr>
    </w:p>
    <w:p w14:paraId="3C6D6FC9" w14:textId="15B28F8C" w:rsidR="7D95DB54" w:rsidRDefault="7D95DB54" w:rsidP="7D95DB54">
      <w:pPr>
        <w:rPr>
          <w:i/>
          <w:iCs/>
          <w:lang w:val="en"/>
        </w:rPr>
      </w:pPr>
    </w:p>
    <w:p w14:paraId="1A7DAB79" w14:textId="4265BA5B" w:rsidR="7D95DB54" w:rsidRDefault="7D95DB54" w:rsidP="7D95DB54">
      <w:pPr>
        <w:rPr>
          <w:i/>
          <w:iCs/>
          <w:lang w:val="en"/>
        </w:rPr>
      </w:pPr>
    </w:p>
    <w:p w14:paraId="55F83B69" w14:textId="344F801F" w:rsidR="006064C8" w:rsidRPr="005674D6" w:rsidRDefault="6C2B70CB" w:rsidP="7D95DB54">
      <w:pPr>
        <w:rPr>
          <w:i/>
          <w:iCs/>
        </w:rPr>
      </w:pPr>
      <w:r w:rsidRPr="7D95DB54">
        <w:rPr>
          <w:i/>
          <w:iCs/>
          <w:lang w:val="en"/>
        </w:rPr>
        <w:t>Cons</w:t>
      </w:r>
    </w:p>
    <w:p w14:paraId="2F0C15B2" w14:textId="0BCF6A55" w:rsidR="006064C8" w:rsidRPr="005674D6" w:rsidRDefault="58110D4A" w:rsidP="00932C4D">
      <w:pPr>
        <w:pStyle w:val="ListParagraph"/>
        <w:numPr>
          <w:ilvl w:val="0"/>
          <w:numId w:val="36"/>
        </w:numPr>
      </w:pPr>
      <w:r>
        <w:t xml:space="preserve">Benefit options provide short-term solutions that have not demonstrated real savings and do not address the underlying growth in the cost of care. </w:t>
      </w:r>
      <w:r w:rsidR="57A12671">
        <w:t>T</w:t>
      </w:r>
      <w:r>
        <w:t xml:space="preserve">hey may also have longer-term implications for provider participation, network </w:t>
      </w:r>
      <w:r w:rsidR="162445D2">
        <w:t>adequacy,</w:t>
      </w:r>
      <w:r>
        <w:t xml:space="preserve"> consumer choice and service availability.</w:t>
      </w:r>
    </w:p>
    <w:p w14:paraId="7DA90C60" w14:textId="77777777" w:rsidR="006064C8" w:rsidRPr="005674D6" w:rsidRDefault="006064C8" w:rsidP="00932C4D">
      <w:pPr>
        <w:pStyle w:val="ListParagraph"/>
        <w:numPr>
          <w:ilvl w:val="0"/>
          <w:numId w:val="36"/>
        </w:numPr>
      </w:pPr>
      <w:r w:rsidRPr="005674D6">
        <w:t>Benefit options shift cost to the rest of the commercial market</w:t>
      </w:r>
    </w:p>
    <w:p w14:paraId="594CC05A" w14:textId="58F7B074" w:rsidR="006064C8" w:rsidRPr="005674D6" w:rsidRDefault="006064C8" w:rsidP="00932C4D">
      <w:pPr>
        <w:pStyle w:val="ListParagraph"/>
        <w:numPr>
          <w:ilvl w:val="1"/>
          <w:numId w:val="36"/>
        </w:numPr>
      </w:pPr>
      <w:r w:rsidRPr="005674D6">
        <w:t>Sicker patients using more expensive services pay more for health coverage</w:t>
      </w:r>
      <w:r w:rsidR="00B96051">
        <w:t>.</w:t>
      </w:r>
    </w:p>
    <w:p w14:paraId="707C11BC" w14:textId="5EB7BA3F" w:rsidR="006064C8" w:rsidRPr="005674D6" w:rsidRDefault="006064C8" w:rsidP="00932C4D">
      <w:pPr>
        <w:pStyle w:val="ListParagraph"/>
        <w:numPr>
          <w:ilvl w:val="1"/>
          <w:numId w:val="36"/>
        </w:numPr>
      </w:pPr>
      <w:r w:rsidRPr="005674D6">
        <w:t xml:space="preserve">Persons not using mandated services or expensive providers switch to richer plans </w:t>
      </w:r>
      <w:r w:rsidR="00B96051">
        <w:t xml:space="preserve">only </w:t>
      </w:r>
      <w:r w:rsidRPr="005674D6">
        <w:t>when they need them, thereby further increasing the overall cost of the richer plans.</w:t>
      </w:r>
    </w:p>
    <w:p w14:paraId="62C15FB7" w14:textId="4E271FDB" w:rsidR="006064C8" w:rsidRPr="005674D6" w:rsidRDefault="006064C8" w:rsidP="00932C4D">
      <w:pPr>
        <w:pStyle w:val="ListParagraph"/>
        <w:numPr>
          <w:ilvl w:val="0"/>
          <w:numId w:val="36"/>
        </w:numPr>
      </w:pPr>
      <w:r w:rsidRPr="005674D6">
        <w:t>To date, premium reduction for many products have not been reached and more research is necessary to evaluate their impact on the overall cost of care in the market, especially options associated with limited network/tiered products and mandate-li</w:t>
      </w:r>
      <w:r w:rsidR="00F073A6">
        <w:t>ght</w:t>
      </w:r>
      <w:r w:rsidRPr="005674D6">
        <w:t xml:space="preserve"> products.</w:t>
      </w:r>
    </w:p>
    <w:p w14:paraId="5DACD808" w14:textId="77777777" w:rsidR="002A2F15" w:rsidRPr="005674D6" w:rsidRDefault="002A2F15" w:rsidP="002A2F15">
      <w:pPr>
        <w:pStyle w:val="ListParagraph"/>
      </w:pPr>
    </w:p>
    <w:p w14:paraId="2F81EA97" w14:textId="77777777" w:rsidR="006064C8" w:rsidRPr="005674D6" w:rsidRDefault="006064C8" w:rsidP="008B0A5B">
      <w:pPr>
        <w:pStyle w:val="NonTOCHeading"/>
        <w:rPr>
          <w:bCs/>
          <w:lang w:val="en"/>
        </w:rPr>
      </w:pPr>
      <w:r w:rsidRPr="005674D6">
        <w:rPr>
          <w:lang w:val="en"/>
        </w:rPr>
        <w:t>Policy Approaches</w:t>
      </w:r>
    </w:p>
    <w:p w14:paraId="5FC10BD9" w14:textId="7BFF148F" w:rsidR="006064C8" w:rsidRPr="005674D6" w:rsidRDefault="58110D4A" w:rsidP="00646036">
      <w:r>
        <w:t xml:space="preserve">States are increasingly pursuing innovative strategies to improve the affordability of health insurance. One popular approach </w:t>
      </w:r>
      <w:r w:rsidR="0B0AC14E">
        <w:t>is establishing</w:t>
      </w:r>
      <w:r>
        <w:t xml:space="preserve"> state-defined health plans with premium reduction targets or authorizing lower-cost alternative coverage options. These approaches generally fall into three categories</w:t>
      </w:r>
      <w:r w:rsidR="3E99415C">
        <w:t>:</w:t>
      </w:r>
    </w:p>
    <w:p w14:paraId="2CE0D6C5" w14:textId="0E3CE5FE" w:rsidR="006064C8" w:rsidRPr="005674D6" w:rsidRDefault="006064C8" w:rsidP="00646036"/>
    <w:p w14:paraId="59574615" w14:textId="2F022EE8" w:rsidR="006064C8" w:rsidRPr="005674D6" w:rsidRDefault="3E99415C" w:rsidP="52B404F0">
      <w:pPr>
        <w:pStyle w:val="ListParagraph"/>
        <w:numPr>
          <w:ilvl w:val="0"/>
          <w:numId w:val="1"/>
        </w:numPr>
        <w:rPr>
          <w:color w:val="000000" w:themeColor="text1"/>
        </w:rPr>
      </w:pPr>
      <w:r>
        <w:t>P</w:t>
      </w:r>
      <w:r w:rsidR="58110D4A">
        <w:t xml:space="preserve">ublic option models that establish premium reduction targets and standardized benefit designs, </w:t>
      </w:r>
    </w:p>
    <w:p w14:paraId="3601740E" w14:textId="6DFA09AE" w:rsidR="006064C8" w:rsidRPr="005674D6" w:rsidRDefault="10C45F94" w:rsidP="52B404F0">
      <w:pPr>
        <w:pStyle w:val="ListParagraph"/>
        <w:numPr>
          <w:ilvl w:val="0"/>
          <w:numId w:val="1"/>
        </w:numPr>
        <w:rPr>
          <w:color w:val="000000" w:themeColor="text1"/>
        </w:rPr>
      </w:pPr>
      <w:r>
        <w:t>M</w:t>
      </w:r>
      <w:r w:rsidR="58110D4A">
        <w:t>andate-li</w:t>
      </w:r>
      <w:r w:rsidR="00F073A6">
        <w:t>ght</w:t>
      </w:r>
      <w:r w:rsidR="58110D4A">
        <w:t xml:space="preserve"> products that allow insurers to offer plans with fewer state-mandated benefits in exchange for lower premiums, </w:t>
      </w:r>
      <w:r w:rsidR="71932B62">
        <w:t>and</w:t>
      </w:r>
    </w:p>
    <w:p w14:paraId="2611670B" w14:textId="4E7EDA23" w:rsidR="006064C8" w:rsidRPr="005674D6" w:rsidRDefault="71932B62" w:rsidP="52B404F0">
      <w:pPr>
        <w:pStyle w:val="ListParagraph"/>
        <w:numPr>
          <w:ilvl w:val="0"/>
          <w:numId w:val="1"/>
        </w:numPr>
        <w:rPr>
          <w:color w:val="000000" w:themeColor="text1"/>
        </w:rPr>
      </w:pPr>
      <w:r>
        <w:t>L</w:t>
      </w:r>
      <w:r w:rsidR="58110D4A">
        <w:t>imited- or selective-network products that reduce costs by directing enrollees to more efficient provider networks or sites of care.</w:t>
      </w:r>
      <w:r w:rsidR="006064C8">
        <w:br/>
      </w:r>
    </w:p>
    <w:p w14:paraId="04AACFB7" w14:textId="3CE31B2E" w:rsidR="006064C8" w:rsidRPr="005674D6" w:rsidRDefault="13056345" w:rsidP="00646036">
      <w:r>
        <w:t xml:space="preserve">Public option models adopted in states such as Colorado, Nevada, and Washington seek to reduce premiums while maintaining Affordable Care Act (ACA) benefit standards through enhanced regulatory oversight, standardized plan designs, and premium reduction targets. Colorado's program, for example, established phased premium reduction goals accompanied by </w:t>
      </w:r>
      <w:sdt>
        <w:sdtPr>
          <w:tag w:val="goog_rdk_85"/>
          <w:id w:val="-1778848234"/>
        </w:sdtPr>
        <w:sdtContent>
          <w:r>
            <w:t xml:space="preserve">the authority to lower hospital/provider </w:t>
          </w:r>
          <w:r w:rsidR="00613677">
            <w:t>pay</w:t>
          </w:r>
          <w:r>
            <w:t>ment rates</w:t>
          </w:r>
        </w:sdtContent>
      </w:sdt>
      <w:r>
        <w:t xml:space="preserve">, while Nevada requires participating carriers to offer plans at least 15 percent below benchmark premiums through a combination of administrative efficiencies and provider payment strategies. However, early findings suggest that </w:t>
      </w:r>
      <w:r w:rsidR="5391FCD1">
        <w:t xml:space="preserve">some of </w:t>
      </w:r>
      <w:r>
        <w:t xml:space="preserve">these programs have not improved affordability. In addition, the Nevada Battle Born State Plan achieved approximately 10 percent </w:t>
      </w:r>
      <w:r w:rsidR="002E7402">
        <w:t xml:space="preserve">of Marketplace </w:t>
      </w:r>
      <w:r>
        <w:t>enrollment in 2026</w:t>
      </w:r>
      <w:r w:rsidR="365991D5">
        <w:t>, demonstrating</w:t>
      </w:r>
      <w:r>
        <w:t xml:space="preserve"> that most consumers have determined commercial</w:t>
      </w:r>
      <w:r w:rsidR="002E7402">
        <w:t>ly-defined</w:t>
      </w:r>
      <w:r>
        <w:t xml:space="preserve"> plans are a better value for themselves and their families. </w:t>
      </w:r>
      <w:r w:rsidR="779C0D6E">
        <w:t xml:space="preserve">Finally, </w:t>
      </w:r>
      <w:r>
        <w:t>Minnesota has also considered legislation to implement a public option.</w:t>
      </w:r>
      <w:r w:rsidR="006064C8">
        <w:br/>
      </w:r>
    </w:p>
    <w:p w14:paraId="27EF543B" w14:textId="2049BF22" w:rsidR="006064C8" w:rsidRPr="005674D6" w:rsidRDefault="006064C8" w:rsidP="00646036">
      <w:r w:rsidRPr="005674D6">
        <w:t>Other states have focused on expanding consumer choice through mandate-li</w:t>
      </w:r>
      <w:r w:rsidR="002E7402">
        <w:t>ght</w:t>
      </w:r>
      <w:r w:rsidRPr="005674D6">
        <w:t xml:space="preserve"> plans, which permit insurers to offer products that exclude certain state-required benefits in exchange for lower premiums. Florida, Kansas, Louisiana, and Texas have adopted variations of this approach, generally requiring clear consumer disclosures regarding omitted benefits so purchasers understand the tradeoff between lower premiums and reduced coverage.</w:t>
      </w:r>
      <w:r w:rsidRPr="005674D6">
        <w:rPr>
          <w:rFonts w:ascii="Inter" w:eastAsia="Inter" w:hAnsi="Inter" w:cs="Inter"/>
          <w:lang w:val="en"/>
        </w:rPr>
        <w:br/>
      </w:r>
    </w:p>
    <w:p w14:paraId="237F307B" w14:textId="77777777" w:rsidR="006064C8" w:rsidRPr="005674D6" w:rsidRDefault="006064C8" w:rsidP="00646036">
      <w:pPr>
        <w:rPr>
          <w:lang w:val="en"/>
        </w:rPr>
      </w:pPr>
      <w:r w:rsidRPr="005674D6">
        <w:rPr>
          <w:lang w:val="en"/>
        </w:rPr>
        <w:t>Massachusetts has pursued affordability through market-based plan design by requiring carriers to offer limited- or tiered-network products with meaningful premium discounts compared to comparable full-network plans and by establishing standards for site-of-service plans that encourage the use of lower-cost care settings while maintaining transparency for consumers.</w:t>
      </w:r>
    </w:p>
    <w:p w14:paraId="61739860" w14:textId="77777777" w:rsidR="006064C8" w:rsidRPr="005674D6" w:rsidRDefault="006064C8" w:rsidP="00646036">
      <w:pPr>
        <w:rPr>
          <w:lang w:val="en"/>
        </w:rPr>
      </w:pPr>
    </w:p>
    <w:p w14:paraId="2AA995D5" w14:textId="77777777" w:rsidR="006064C8" w:rsidRPr="005674D6" w:rsidRDefault="006064C8" w:rsidP="00646036">
      <w:r w:rsidRPr="033CF5A2">
        <w:t>Collectively, these state initiatives demonstrate a range of policy tools states hope will address health insurance affordability while balancing consumer protections, market competition, provider participation, and access to care. Although the approaches differ in design and implementation, they share the common objective of reducing premium costs and expanding access to affordable health coverage. However, additional study is needed to definitively assess the success of these programs.</w:t>
      </w:r>
    </w:p>
    <w:p w14:paraId="29093244" w14:textId="77777777" w:rsidR="002A2F15" w:rsidRPr="005674D6" w:rsidRDefault="002A2F15" w:rsidP="00646036"/>
    <w:p w14:paraId="46E5E8FD" w14:textId="77777777" w:rsidR="006064C8" w:rsidRPr="005674D6" w:rsidRDefault="006064C8" w:rsidP="00BC366B">
      <w:pPr>
        <w:pStyle w:val="NonTOCHeading"/>
        <w:rPr>
          <w:rFonts w:ascii="Inter Medium" w:eastAsia="Inter Medium" w:hAnsi="Inter Medium" w:cs="Inter Medium"/>
          <w:bCs/>
          <w:lang w:val="en"/>
        </w:rPr>
      </w:pPr>
      <w:r w:rsidRPr="005674D6">
        <w:rPr>
          <w:lang w:val="en"/>
        </w:rPr>
        <w:t>Developing State-defined Plans with Premium Reduction Targets State Policy Options</w:t>
      </w:r>
    </w:p>
    <w:tbl>
      <w:tblPr>
        <w:tblW w:w="10080" w:type="dxa"/>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1636"/>
        <w:gridCol w:w="2398"/>
        <w:gridCol w:w="6046"/>
      </w:tblGrid>
      <w:tr w:rsidR="7D95DB54" w14:paraId="7DF48DE9" w14:textId="77777777" w:rsidTr="52B404F0">
        <w:trPr>
          <w:trHeight w:val="390"/>
          <w:tblHeader/>
        </w:trPr>
        <w:tc>
          <w:tcPr>
            <w:tcW w:w="1636" w:type="dxa"/>
            <w:shd w:val="clear" w:color="auto" w:fill="F2F2F2" w:themeFill="background2" w:themeFillShade="F2"/>
          </w:tcPr>
          <w:p w14:paraId="00E61ECB" w14:textId="7489BFCD" w:rsidR="3967D5A9" w:rsidRDefault="3967D5A9" w:rsidP="7D95DB54">
            <w:pPr>
              <w:rPr>
                <w:b/>
                <w:bCs/>
                <w:lang w:val="en"/>
              </w:rPr>
            </w:pPr>
            <w:r w:rsidRPr="7D95DB54">
              <w:rPr>
                <w:b/>
                <w:bCs/>
                <w:lang w:val="en"/>
              </w:rPr>
              <w:t>State</w:t>
            </w:r>
          </w:p>
        </w:tc>
        <w:tc>
          <w:tcPr>
            <w:tcW w:w="2398" w:type="dxa"/>
            <w:shd w:val="clear" w:color="auto" w:fill="F2F2F2" w:themeFill="background2" w:themeFillShade="F2"/>
          </w:tcPr>
          <w:p w14:paraId="37042BA3" w14:textId="33660737" w:rsidR="3967D5A9" w:rsidRDefault="3967D5A9" w:rsidP="7D95DB54">
            <w:pPr>
              <w:rPr>
                <w:b/>
                <w:bCs/>
                <w:lang w:val="en"/>
              </w:rPr>
            </w:pPr>
            <w:r w:rsidRPr="7D95DB54">
              <w:rPr>
                <w:b/>
                <w:bCs/>
                <w:lang w:val="en"/>
              </w:rPr>
              <w:t>Implementation Date</w:t>
            </w:r>
          </w:p>
        </w:tc>
        <w:tc>
          <w:tcPr>
            <w:tcW w:w="6046" w:type="dxa"/>
            <w:shd w:val="clear" w:color="auto" w:fill="F2F2F2" w:themeFill="background2" w:themeFillShade="F2"/>
          </w:tcPr>
          <w:p w14:paraId="4B6E6376" w14:textId="787885B4" w:rsidR="3967D5A9" w:rsidRDefault="3967D5A9" w:rsidP="7D95DB54">
            <w:pPr>
              <w:rPr>
                <w:b/>
                <w:bCs/>
              </w:rPr>
            </w:pPr>
            <w:r w:rsidRPr="7D95DB54">
              <w:rPr>
                <w:b/>
                <w:bCs/>
              </w:rPr>
              <w:t>Key Variations/Notes</w:t>
            </w:r>
          </w:p>
        </w:tc>
      </w:tr>
      <w:tr w:rsidR="006064C8" w:rsidRPr="005674D6" w14:paraId="66918A0C" w14:textId="77777777" w:rsidTr="52B404F0">
        <w:trPr>
          <w:trHeight w:val="566"/>
        </w:trPr>
        <w:tc>
          <w:tcPr>
            <w:tcW w:w="1636" w:type="dxa"/>
          </w:tcPr>
          <w:p w14:paraId="5AA7B62B" w14:textId="77777777" w:rsidR="006064C8" w:rsidRPr="005674D6" w:rsidRDefault="006064C8" w:rsidP="00646036">
            <w:pPr>
              <w:rPr>
                <w:lang w:val="en"/>
              </w:rPr>
            </w:pPr>
            <w:r w:rsidRPr="005674D6">
              <w:rPr>
                <w:lang w:val="en"/>
              </w:rPr>
              <w:t>Colorado</w:t>
            </w:r>
          </w:p>
        </w:tc>
        <w:tc>
          <w:tcPr>
            <w:tcW w:w="2398" w:type="dxa"/>
          </w:tcPr>
          <w:p w14:paraId="6F0469D5" w14:textId="77777777" w:rsidR="006064C8" w:rsidRPr="005674D6" w:rsidRDefault="006064C8" w:rsidP="00646036">
            <w:pPr>
              <w:rPr>
                <w:lang w:val="en"/>
              </w:rPr>
            </w:pPr>
            <w:r w:rsidRPr="005674D6">
              <w:rPr>
                <w:lang w:val="en"/>
              </w:rPr>
              <w:t>January 1, 2023</w:t>
            </w:r>
          </w:p>
        </w:tc>
        <w:tc>
          <w:tcPr>
            <w:tcW w:w="6046" w:type="dxa"/>
          </w:tcPr>
          <w:p w14:paraId="175D04E5" w14:textId="0738C526" w:rsidR="006064C8" w:rsidRPr="005674D6" w:rsidRDefault="13056345" w:rsidP="00646036">
            <w:r w:rsidRPr="52B404F0">
              <w:rPr>
                <w:i/>
                <w:iCs/>
              </w:rPr>
              <w:t>Public Option – Private/Public Partnership:</w:t>
            </w:r>
            <w:r>
              <w:t xml:space="preserve"> Requires all insurers to offer a state-designed, standardized health plan (Colorado Option) in all areas where they offer non-Colorado Option plans (on and off-exchange). Issuers are required to reduce premiums on these plans. These premium rate reduction (PRR) requirements are incorporated into “target premiums” each year, which are authorized by Colorado’s 1332 waiver. The targets are based on adjusted 2021 baseline premiums and represent a 5% reduction in 2023, 10% reduction in 2024, and 15% reduction in 2025. Starting in 2026, Colorado Option plan premium</w:t>
            </w:r>
            <w:r w:rsidR="716C803E">
              <w:t xml:space="preserve"> increases </w:t>
            </w:r>
            <w:r>
              <w:t xml:space="preserve">are limited to the rate of medical inflation. Issuers must notify the Division by March 1 each year if they are able to meet the PRR targets for the upcoming plan year. Failure to meet these PRR targets establishes the “trigger” by which a Colorado Option public hearing may be initiated. The public hearing process can require issuers and hospitals to lower reimbursement rates by the maximum allowable amount, which is the greater of either a 20% reduction from the prior year’s negotiated rate, or a reduction to a hospital-specific floor. The hospital floor is set in statute at 155% of Medicare with adjustments for hospital characteristics, and each hospital floor is updated by the Division each year. </w:t>
            </w:r>
          </w:p>
        </w:tc>
      </w:tr>
      <w:tr w:rsidR="006064C8" w:rsidRPr="005674D6" w14:paraId="594AACC8" w14:textId="77777777" w:rsidTr="52B404F0">
        <w:trPr>
          <w:trHeight w:val="566"/>
        </w:trPr>
        <w:tc>
          <w:tcPr>
            <w:tcW w:w="1636" w:type="dxa"/>
          </w:tcPr>
          <w:p w14:paraId="7869EBC9" w14:textId="77777777" w:rsidR="006064C8" w:rsidRPr="005674D6" w:rsidRDefault="006064C8" w:rsidP="00646036">
            <w:pPr>
              <w:rPr>
                <w:lang w:val="en"/>
              </w:rPr>
            </w:pPr>
            <w:r w:rsidRPr="005674D6">
              <w:rPr>
                <w:lang w:val="en"/>
              </w:rPr>
              <w:t>Florida</w:t>
            </w:r>
          </w:p>
        </w:tc>
        <w:tc>
          <w:tcPr>
            <w:tcW w:w="2398" w:type="dxa"/>
          </w:tcPr>
          <w:p w14:paraId="128780C6" w14:textId="77777777" w:rsidR="006064C8" w:rsidRPr="005674D6" w:rsidRDefault="006064C8" w:rsidP="00646036">
            <w:pPr>
              <w:rPr>
                <w:lang w:val="en"/>
              </w:rPr>
            </w:pPr>
            <w:r w:rsidRPr="005674D6">
              <w:rPr>
                <w:lang w:val="en"/>
              </w:rPr>
              <w:t>July 1, 2008</w:t>
            </w:r>
          </w:p>
        </w:tc>
        <w:tc>
          <w:tcPr>
            <w:tcW w:w="6046" w:type="dxa"/>
          </w:tcPr>
          <w:p w14:paraId="7363DE0E" w14:textId="57A5E736" w:rsidR="006064C8" w:rsidRPr="005674D6" w:rsidRDefault="13056345" w:rsidP="52B404F0">
            <w:pPr>
              <w:rPr>
                <w:i/>
                <w:iCs/>
              </w:rPr>
            </w:pPr>
            <w:r w:rsidRPr="52B404F0">
              <w:rPr>
                <w:i/>
                <w:iCs/>
              </w:rPr>
              <w:t>Mandate-li</w:t>
            </w:r>
            <w:r w:rsidR="002E7402">
              <w:rPr>
                <w:i/>
                <w:iCs/>
              </w:rPr>
              <w:t>ght</w:t>
            </w:r>
            <w:r w:rsidRPr="52B404F0">
              <w:rPr>
                <w:i/>
                <w:iCs/>
              </w:rPr>
              <w:t xml:space="preserve"> Products: </w:t>
            </w:r>
            <w:r>
              <w:t>“Cover Florida Plan” is a consumer choice benefit plan approved under this section which guarantees payment or coverage for specified benefits provided to an enrollee. 408.9091 </w:t>
            </w:r>
          </w:p>
        </w:tc>
      </w:tr>
      <w:tr w:rsidR="006064C8" w:rsidRPr="005674D6" w14:paraId="326173F9" w14:textId="77777777" w:rsidTr="52B404F0">
        <w:trPr>
          <w:trHeight w:val="566"/>
        </w:trPr>
        <w:tc>
          <w:tcPr>
            <w:tcW w:w="1636" w:type="dxa"/>
          </w:tcPr>
          <w:p w14:paraId="20D34B80" w14:textId="77777777" w:rsidR="006064C8" w:rsidRPr="005674D6" w:rsidRDefault="006064C8" w:rsidP="00646036">
            <w:pPr>
              <w:rPr>
                <w:lang w:val="en"/>
              </w:rPr>
            </w:pPr>
            <w:r w:rsidRPr="005674D6">
              <w:rPr>
                <w:lang w:val="en"/>
              </w:rPr>
              <w:t>Kansas</w:t>
            </w:r>
          </w:p>
        </w:tc>
        <w:tc>
          <w:tcPr>
            <w:tcW w:w="2398" w:type="dxa"/>
          </w:tcPr>
          <w:p w14:paraId="650434FB" w14:textId="77777777" w:rsidR="006064C8" w:rsidRPr="005674D6" w:rsidRDefault="006064C8" w:rsidP="00646036">
            <w:pPr>
              <w:rPr>
                <w:lang w:val="en"/>
              </w:rPr>
            </w:pPr>
            <w:r w:rsidRPr="005674D6">
              <w:rPr>
                <w:lang w:val="en"/>
              </w:rPr>
              <w:t>July 1, 2013</w:t>
            </w:r>
          </w:p>
        </w:tc>
        <w:tc>
          <w:tcPr>
            <w:tcW w:w="6046" w:type="dxa"/>
          </w:tcPr>
          <w:p w14:paraId="6D7165F6" w14:textId="74253DA4" w:rsidR="006064C8" w:rsidRPr="005674D6" w:rsidRDefault="006064C8" w:rsidP="00646036">
            <w:r w:rsidRPr="005674D6">
              <w:rPr>
                <w:i/>
                <w:iCs/>
              </w:rPr>
              <w:t>Mandate-li</w:t>
            </w:r>
            <w:r w:rsidR="002E7402">
              <w:rPr>
                <w:i/>
                <w:iCs/>
              </w:rPr>
              <w:t>ght</w:t>
            </w:r>
            <w:r w:rsidRPr="005674D6">
              <w:rPr>
                <w:i/>
                <w:iCs/>
              </w:rPr>
              <w:t xml:space="preserve"> Products: </w:t>
            </w:r>
            <w:r w:rsidRPr="005674D6">
              <w:t>Defines and allows "Mandate-Li</w:t>
            </w:r>
            <w:r w:rsidR="002E7402">
              <w:t>ght</w:t>
            </w:r>
            <w:r w:rsidRPr="005674D6">
              <w:t>" policies. Insurers can offer these at lower prices, provided buyers sign a notice acknowledging which benefits are missing. KS Stat § 40-2,192 (2024) Insurers must give you a written list of the mandates they are leaving out so you know exactly what you are buying.</w:t>
            </w:r>
          </w:p>
        </w:tc>
      </w:tr>
      <w:tr w:rsidR="006064C8" w:rsidRPr="005674D6" w14:paraId="1C8BC9E7" w14:textId="77777777" w:rsidTr="52B404F0">
        <w:trPr>
          <w:trHeight w:val="566"/>
        </w:trPr>
        <w:tc>
          <w:tcPr>
            <w:tcW w:w="1636" w:type="dxa"/>
          </w:tcPr>
          <w:p w14:paraId="5FAAD69F" w14:textId="77777777" w:rsidR="006064C8" w:rsidRPr="005674D6" w:rsidRDefault="006064C8" w:rsidP="00646036">
            <w:pPr>
              <w:rPr>
                <w:lang w:val="en"/>
              </w:rPr>
            </w:pPr>
            <w:r w:rsidRPr="005674D6">
              <w:rPr>
                <w:lang w:val="en"/>
              </w:rPr>
              <w:t>Louisiana</w:t>
            </w:r>
          </w:p>
        </w:tc>
        <w:tc>
          <w:tcPr>
            <w:tcW w:w="2398" w:type="dxa"/>
          </w:tcPr>
          <w:p w14:paraId="37F87052" w14:textId="77777777" w:rsidR="006064C8" w:rsidRPr="005674D6" w:rsidRDefault="006064C8" w:rsidP="00646036">
            <w:pPr>
              <w:rPr>
                <w:lang w:val="en"/>
              </w:rPr>
            </w:pPr>
            <w:r w:rsidRPr="005674D6">
              <w:rPr>
                <w:lang w:val="en"/>
              </w:rPr>
              <w:t>August 15, 2023</w:t>
            </w:r>
          </w:p>
        </w:tc>
        <w:tc>
          <w:tcPr>
            <w:tcW w:w="6046" w:type="dxa"/>
          </w:tcPr>
          <w:p w14:paraId="50F9DC78" w14:textId="6E0274C6" w:rsidR="006064C8" w:rsidRPr="005674D6" w:rsidRDefault="006064C8" w:rsidP="00646036">
            <w:pPr>
              <w:rPr>
                <w:i/>
                <w:iCs/>
              </w:rPr>
            </w:pPr>
            <w:r w:rsidRPr="005674D6">
              <w:rPr>
                <w:i/>
                <w:iCs/>
              </w:rPr>
              <w:t>Mandate-li</w:t>
            </w:r>
            <w:r w:rsidR="002E7402">
              <w:rPr>
                <w:i/>
                <w:iCs/>
              </w:rPr>
              <w:t>ght</w:t>
            </w:r>
            <w:r w:rsidRPr="005674D6">
              <w:rPr>
                <w:i/>
                <w:iCs/>
              </w:rPr>
              <w:t xml:space="preserve"> Products: </w:t>
            </w:r>
            <w:r w:rsidRPr="005674D6">
              <w:t>“Flexible health benefit plans” plans are state-approved policies that do not include all state-mandated health benefits. These are budget-friendly policies that bypass state-mandated coverage rules, allowing for lower premiums at the cost of reduced benefits. By opting out of certain mandated services, these flexible plans offer more affordable options for small business employees and individuals who might not need comprehensive, major medical care. RS 22:1048</w:t>
            </w:r>
          </w:p>
        </w:tc>
      </w:tr>
      <w:tr w:rsidR="006064C8" w:rsidRPr="005674D6" w14:paraId="4976ED8A" w14:textId="77777777" w:rsidTr="52B404F0">
        <w:trPr>
          <w:trHeight w:val="566"/>
        </w:trPr>
        <w:tc>
          <w:tcPr>
            <w:tcW w:w="1636" w:type="dxa"/>
          </w:tcPr>
          <w:p w14:paraId="39CD6262" w14:textId="77777777" w:rsidR="006064C8" w:rsidRPr="005674D6" w:rsidRDefault="006064C8" w:rsidP="00646036">
            <w:pPr>
              <w:rPr>
                <w:lang w:val="en"/>
              </w:rPr>
            </w:pPr>
            <w:r w:rsidRPr="005674D6">
              <w:rPr>
                <w:lang w:val="en"/>
              </w:rPr>
              <w:t>Massachusetts</w:t>
            </w:r>
          </w:p>
        </w:tc>
        <w:tc>
          <w:tcPr>
            <w:tcW w:w="2398" w:type="dxa"/>
          </w:tcPr>
          <w:p w14:paraId="745380A3" w14:textId="77777777" w:rsidR="000564E8" w:rsidRDefault="006064C8" w:rsidP="00646036">
            <w:r w:rsidRPr="005674D6">
              <w:t xml:space="preserve">Limited-network: April 1, 2013; </w:t>
            </w:r>
          </w:p>
          <w:p w14:paraId="17441DAD" w14:textId="69762417" w:rsidR="006064C8" w:rsidRPr="005674D6" w:rsidRDefault="006064C8" w:rsidP="00646036">
            <w:pPr>
              <w:rPr>
                <w:color w:val="1F1F1F"/>
              </w:rPr>
            </w:pPr>
            <w:r w:rsidRPr="005674D6">
              <w:t>Site of Service: November 24, 2023</w:t>
            </w:r>
          </w:p>
        </w:tc>
        <w:tc>
          <w:tcPr>
            <w:tcW w:w="6046" w:type="dxa"/>
          </w:tcPr>
          <w:p w14:paraId="2B3321AF" w14:textId="60485BAA" w:rsidR="006064C8" w:rsidRPr="005674D6" w:rsidRDefault="13056345" w:rsidP="00646036">
            <w:pPr>
              <w:rPr>
                <w:lang w:val="en"/>
              </w:rPr>
            </w:pPr>
            <w:r w:rsidRPr="52B404F0">
              <w:rPr>
                <w:i/>
                <w:iCs/>
                <w:lang w:val="en"/>
              </w:rPr>
              <w:t>Limited-network or tiered-network plans costing 14% less than full-network plan:</w:t>
            </w:r>
            <w:r w:rsidRPr="52B404F0">
              <w:rPr>
                <w:lang w:val="en"/>
              </w:rPr>
              <w:t xml:space="preserve"> Requires commissioner of insurance to annually determine a base premium rate discount of at least 14 per cent for the reduced or selective or tiered network plan compared to the base premium of the carrier's most actuarially similar plan with the carrier's non-selective or non-tiered network of providers.</w:t>
            </w:r>
          </w:p>
          <w:p w14:paraId="639FF403" w14:textId="77777777" w:rsidR="006064C8" w:rsidRPr="005674D6" w:rsidRDefault="006064C8" w:rsidP="00646036">
            <w:pPr>
              <w:rPr>
                <w:lang w:val="en"/>
              </w:rPr>
            </w:pPr>
          </w:p>
          <w:p w14:paraId="0A611533" w14:textId="69A3F635" w:rsidR="006064C8" w:rsidRPr="005674D6" w:rsidRDefault="13056345" w:rsidP="00646036">
            <w:pPr>
              <w:rPr>
                <w:lang w:val="en"/>
              </w:rPr>
            </w:pPr>
            <w:r w:rsidRPr="52B404F0">
              <w:rPr>
                <w:i/>
                <w:iCs/>
                <w:lang w:val="en"/>
              </w:rPr>
              <w:t>Site of Service Plans</w:t>
            </w:r>
            <w:r w:rsidRPr="52B404F0">
              <w:rPr>
                <w:lang w:val="en"/>
              </w:rPr>
              <w:t>: Requires if a Carrier offers a Site of Service Plan, the Carrier must prominently and clearly specify on the cover of the Evidence of Coverage and related promotional materials that care delivered by certain Network Providers or at certain Network locations may only be available when deemed medically necessary for the patient's condition. In addition, prior to offering Site of Service Plans, the Carrier is to provide notice to covered members and to Network Providers prior to the Site of Service Plan being issued or renewed</w:t>
            </w:r>
          </w:p>
        </w:tc>
      </w:tr>
      <w:tr w:rsidR="006064C8" w:rsidRPr="005674D6" w14:paraId="24C9DEFD" w14:textId="77777777" w:rsidTr="52B404F0">
        <w:trPr>
          <w:trHeight w:val="566"/>
        </w:trPr>
        <w:tc>
          <w:tcPr>
            <w:tcW w:w="1636" w:type="dxa"/>
          </w:tcPr>
          <w:p w14:paraId="79ED3A3E" w14:textId="77777777" w:rsidR="006064C8" w:rsidRPr="005674D6" w:rsidRDefault="006064C8" w:rsidP="00646036">
            <w:pPr>
              <w:rPr>
                <w:lang w:val="en"/>
              </w:rPr>
            </w:pPr>
            <w:r w:rsidRPr="005674D6">
              <w:rPr>
                <w:lang w:val="en"/>
              </w:rPr>
              <w:t>Nevada</w:t>
            </w:r>
          </w:p>
        </w:tc>
        <w:tc>
          <w:tcPr>
            <w:tcW w:w="2398" w:type="dxa"/>
          </w:tcPr>
          <w:p w14:paraId="1CE051B7" w14:textId="77777777" w:rsidR="006064C8" w:rsidRPr="005674D6" w:rsidRDefault="006064C8" w:rsidP="00646036">
            <w:pPr>
              <w:rPr>
                <w:lang w:val="en"/>
              </w:rPr>
            </w:pPr>
            <w:r w:rsidRPr="005674D6">
              <w:rPr>
                <w:lang w:val="en"/>
              </w:rPr>
              <w:t>January 1, 2026</w:t>
            </w:r>
          </w:p>
        </w:tc>
        <w:tc>
          <w:tcPr>
            <w:tcW w:w="6046" w:type="dxa"/>
          </w:tcPr>
          <w:p w14:paraId="64AB9040" w14:textId="259F3690" w:rsidR="006064C8" w:rsidRPr="005674D6" w:rsidRDefault="13056345" w:rsidP="00646036">
            <w:r w:rsidRPr="52B404F0">
              <w:rPr>
                <w:i/>
                <w:iCs/>
              </w:rPr>
              <w:t>Public Option – Private/Public Partnership:</w:t>
            </w:r>
            <w:r>
              <w:t xml:space="preserve"> The Battle Born State Plans Program operates through private-public partnerships and requires participating carriers to offer premiums that are at least 15% lower than standard benchmark plans, while providing all standard ACA-required benefits. The only difference between the Battle Born plans and others is they must meet premium reduction targets, with the goal of lowering overall health insurance costs. Insurance carriers offering the plans are required to align their networks with Medicaid managed care networks to ensure sufficient access to care. To meet the required targets, officials with the Nevada Health Authority said carriers have two options: One is to reduce administrative costs, such as salaries, overhead, and broker costs, and the other is to reduce medical costs, such as provider reimbursements.</w:t>
            </w:r>
          </w:p>
        </w:tc>
      </w:tr>
      <w:tr w:rsidR="006064C8" w:rsidRPr="005674D6" w14:paraId="00CADFB5" w14:textId="77777777" w:rsidTr="52B404F0">
        <w:trPr>
          <w:trHeight w:val="566"/>
        </w:trPr>
        <w:tc>
          <w:tcPr>
            <w:tcW w:w="1636" w:type="dxa"/>
          </w:tcPr>
          <w:p w14:paraId="6F7C4D6C" w14:textId="77777777" w:rsidR="006064C8" w:rsidRPr="005674D6" w:rsidRDefault="006064C8" w:rsidP="00646036">
            <w:pPr>
              <w:rPr>
                <w:lang w:val="en"/>
              </w:rPr>
            </w:pPr>
            <w:r w:rsidRPr="005674D6">
              <w:rPr>
                <w:lang w:val="en"/>
              </w:rPr>
              <w:t>Texas</w:t>
            </w:r>
          </w:p>
        </w:tc>
        <w:tc>
          <w:tcPr>
            <w:tcW w:w="2398" w:type="dxa"/>
          </w:tcPr>
          <w:p w14:paraId="0EB32D4F" w14:textId="77777777" w:rsidR="006064C8" w:rsidRPr="005674D6" w:rsidRDefault="006064C8" w:rsidP="00646036">
            <w:pPr>
              <w:rPr>
                <w:lang w:val="en"/>
              </w:rPr>
            </w:pPr>
            <w:r w:rsidRPr="005674D6">
              <w:rPr>
                <w:lang w:val="en"/>
              </w:rPr>
              <w:t>September 1, 2003</w:t>
            </w:r>
          </w:p>
        </w:tc>
        <w:tc>
          <w:tcPr>
            <w:tcW w:w="6046" w:type="dxa"/>
          </w:tcPr>
          <w:p w14:paraId="0ADDF9F5" w14:textId="04C6BC03" w:rsidR="006064C8" w:rsidRPr="005674D6" w:rsidRDefault="006064C8" w:rsidP="00646036">
            <w:r w:rsidRPr="005674D6">
              <w:rPr>
                <w:i/>
                <w:iCs/>
              </w:rPr>
              <w:t>Mandate-li</w:t>
            </w:r>
            <w:r w:rsidR="00A23F38">
              <w:rPr>
                <w:i/>
                <w:iCs/>
              </w:rPr>
              <w:t>ght</w:t>
            </w:r>
            <w:r w:rsidRPr="005674D6">
              <w:rPr>
                <w:i/>
                <w:iCs/>
              </w:rPr>
              <w:t xml:space="preserve"> Products: </w:t>
            </w:r>
            <w:r w:rsidRPr="005674D6">
              <w:t xml:space="preserve">"Consumer Choice" health plans are state-approved policies that do not include all state-mandated health benefits. Insurers offer these to lower monthly costs. In exchange, you get fewer covered benefits, higher deductibles, or visit limits. By Texas law, any company selling a Consumer Choice plan must also offer you a standard, state-mandated plan. </w:t>
            </w:r>
          </w:p>
        </w:tc>
      </w:tr>
      <w:tr w:rsidR="006064C8" w:rsidRPr="005674D6" w14:paraId="305AEA5F" w14:textId="77777777" w:rsidTr="52B404F0">
        <w:trPr>
          <w:trHeight w:val="566"/>
        </w:trPr>
        <w:tc>
          <w:tcPr>
            <w:tcW w:w="1636" w:type="dxa"/>
          </w:tcPr>
          <w:p w14:paraId="01F4E2F9" w14:textId="77777777" w:rsidR="006064C8" w:rsidRPr="005674D6" w:rsidRDefault="006064C8" w:rsidP="00646036">
            <w:pPr>
              <w:rPr>
                <w:lang w:val="en"/>
              </w:rPr>
            </w:pPr>
            <w:r w:rsidRPr="005674D6">
              <w:rPr>
                <w:lang w:val="en"/>
              </w:rPr>
              <w:t>Washington</w:t>
            </w:r>
          </w:p>
        </w:tc>
        <w:tc>
          <w:tcPr>
            <w:tcW w:w="2398" w:type="dxa"/>
          </w:tcPr>
          <w:p w14:paraId="2AB4111F" w14:textId="77777777" w:rsidR="006064C8" w:rsidRPr="005674D6" w:rsidRDefault="006064C8" w:rsidP="00646036">
            <w:pPr>
              <w:rPr>
                <w:lang w:val="en"/>
              </w:rPr>
            </w:pPr>
            <w:r w:rsidRPr="005674D6">
              <w:rPr>
                <w:lang w:val="en"/>
              </w:rPr>
              <w:t>November 1, 2020</w:t>
            </w:r>
          </w:p>
        </w:tc>
        <w:tc>
          <w:tcPr>
            <w:tcW w:w="6046" w:type="dxa"/>
          </w:tcPr>
          <w:p w14:paraId="5901AD1C" w14:textId="7C75968A" w:rsidR="006064C8" w:rsidRPr="005674D6" w:rsidRDefault="13056345" w:rsidP="00646036">
            <w:r w:rsidRPr="52B404F0">
              <w:rPr>
                <w:i/>
                <w:iCs/>
              </w:rPr>
              <w:t>Public Option – Private/Public Partnership:</w:t>
            </w:r>
            <w:r>
              <w:t xml:space="preserve"> Required the state Health Care Authority, in consultation with other agencies, to provide state-designed plan (Cascade Select) offered by private insurance companies for purchase through the marketplace. Washington enacted legislation in 2021 changing provider participation requirements and capping provider payments at 160% of Medicare rates. The state’s public option plan rates will increase by 5% in 2024, compared with an 8% for nonpublic option plans. </w:t>
            </w:r>
          </w:p>
        </w:tc>
      </w:tr>
    </w:tbl>
    <w:p w14:paraId="45B36A5C" w14:textId="0AFCB309" w:rsidR="002A2F15" w:rsidRPr="005674D6" w:rsidRDefault="002A2F15" w:rsidP="7D95DB54">
      <w:pPr>
        <w:rPr>
          <w:lang w:val="en"/>
        </w:rPr>
      </w:pPr>
    </w:p>
    <w:p w14:paraId="26A3771C" w14:textId="77777777" w:rsidR="008B0A5B" w:rsidRDefault="008B0A5B" w:rsidP="008B0A5B">
      <w:pPr>
        <w:pStyle w:val="NonTOCHeading"/>
        <w:rPr>
          <w:lang w:val="en"/>
        </w:rPr>
      </w:pPr>
    </w:p>
    <w:p w14:paraId="462E9047" w14:textId="77777777" w:rsidR="008B0A5B" w:rsidRDefault="008B0A5B" w:rsidP="008B0A5B">
      <w:pPr>
        <w:pStyle w:val="NonTOCHeading"/>
        <w:rPr>
          <w:lang w:val="en"/>
        </w:rPr>
      </w:pPr>
    </w:p>
    <w:p w14:paraId="5C81B5D9" w14:textId="77777777" w:rsidR="008B0A5B" w:rsidRDefault="008B0A5B" w:rsidP="008B0A5B">
      <w:pPr>
        <w:pStyle w:val="NonTOCHeading"/>
        <w:rPr>
          <w:lang w:val="en"/>
        </w:rPr>
      </w:pPr>
    </w:p>
    <w:p w14:paraId="2ADDFC8E" w14:textId="0361DDAC" w:rsidR="006064C8" w:rsidRPr="005674D6" w:rsidRDefault="006064C8" w:rsidP="008B0A5B">
      <w:pPr>
        <w:pStyle w:val="NonTOCHeading"/>
        <w:rPr>
          <w:bCs/>
          <w:lang w:val="en"/>
        </w:rPr>
      </w:pPr>
      <w:r w:rsidRPr="005674D6">
        <w:rPr>
          <w:lang w:val="en"/>
        </w:rPr>
        <w:t>Premium Impact and Savings Analysis</w:t>
      </w:r>
    </w:p>
    <w:p w14:paraId="212E9659" w14:textId="77777777" w:rsidR="006064C8" w:rsidRPr="00874BEB" w:rsidRDefault="6C2B70CB" w:rsidP="7D95DB54">
      <w:pPr>
        <w:pStyle w:val="Heading4"/>
        <w:rPr>
          <w:iCs w:val="0"/>
        </w:rPr>
      </w:pPr>
      <w:r>
        <w:t>Colorado</w:t>
      </w:r>
    </w:p>
    <w:p w14:paraId="134AA81B" w14:textId="5418FDE7" w:rsidR="006064C8" w:rsidRPr="000F53C9" w:rsidRDefault="58110D4A" w:rsidP="52B404F0">
      <w:pPr>
        <w:keepLines/>
        <w:rPr>
          <w:color w:val="auto"/>
        </w:rPr>
      </w:pPr>
      <w:r w:rsidRPr="000F53C9">
        <w:rPr>
          <w:color w:val="auto"/>
        </w:rPr>
        <w:t>The Brown University Center for Advanced Health Policy Through Research (C</w:t>
      </w:r>
      <w:r w:rsidR="005C4634">
        <w:rPr>
          <w:color w:val="auto"/>
        </w:rPr>
        <w:t>olorado Division of Insurance</w:t>
      </w:r>
      <w:sdt>
        <w:sdtPr>
          <w:rPr>
            <w:color w:val="auto"/>
          </w:rPr>
          <w:tag w:val="goog_rdk_81"/>
          <w:id w:val="-1300347803"/>
          <w:showingPlcHdr/>
        </w:sdtPr>
        <w:sdtContent>
          <w:r w:rsidR="001D4293">
            <w:rPr>
              <w:color w:val="auto"/>
            </w:rPr>
            <w:t xml:space="preserve">     </w:t>
          </w:r>
        </w:sdtContent>
      </w:sdt>
      <w:r w:rsidR="006064C8" w:rsidRPr="52B404F0">
        <w:rPr>
          <w:rStyle w:val="FootnoteReference"/>
          <w:color w:val="auto"/>
        </w:rPr>
        <w:footnoteReference w:id="21"/>
      </w:r>
      <w:r w:rsidR="00F70315">
        <w:rPr>
          <w:color w:val="auto"/>
        </w:rPr>
        <w:t xml:space="preserve">, </w:t>
      </w:r>
      <w:hyperlink r:id="rId38">
        <w:r w:rsidRPr="52B404F0">
          <w:rPr>
            <w:color w:val="auto"/>
          </w:rPr>
          <w:t>Mathematica</w:t>
        </w:r>
      </w:hyperlink>
      <w:r w:rsidR="006064C8" w:rsidRPr="52B404F0">
        <w:rPr>
          <w:rStyle w:val="FootnoteReference"/>
          <w:color w:val="auto"/>
        </w:rPr>
        <w:footnoteReference w:id="22"/>
      </w:r>
      <w:r w:rsidRPr="52B404F0">
        <w:rPr>
          <w:color w:val="auto"/>
        </w:rPr>
        <w:t>) found that the addition of Colorado Option plans to the individual market led to a statistically significant premium reduction of over $100</w:t>
      </w:r>
      <w:r w:rsidR="00F70315">
        <w:rPr>
          <w:color w:val="auto"/>
        </w:rPr>
        <w:t xml:space="preserve"> </w:t>
      </w:r>
      <w:r w:rsidRPr="52B404F0">
        <w:rPr>
          <w:color w:val="auto"/>
        </w:rPr>
        <w:t>per enrollee</w:t>
      </w:r>
      <w:r w:rsidR="00F70315">
        <w:rPr>
          <w:color w:val="auto"/>
        </w:rPr>
        <w:t xml:space="preserve"> per month</w:t>
      </w:r>
      <w:r w:rsidRPr="52B404F0">
        <w:rPr>
          <w:color w:val="auto"/>
        </w:rPr>
        <w:t>, even for non-Option plans. CAP</w:t>
      </w:r>
      <w:r w:rsidR="50612CC9" w:rsidRPr="52B404F0">
        <w:rPr>
          <w:color w:val="auto"/>
        </w:rPr>
        <w:t>H</w:t>
      </w:r>
      <w:r w:rsidRPr="52B404F0">
        <w:rPr>
          <w:color w:val="auto"/>
        </w:rPr>
        <w:t>R also found that prices at hospitals targeted for rate reductions through the public hearing process declined by approximately 10% in non-Colorado Option plan</w:t>
      </w:r>
      <w:r w:rsidR="67BA5C56" w:rsidRPr="52B404F0">
        <w:rPr>
          <w:color w:val="auto"/>
        </w:rPr>
        <w:t xml:space="preserve">s, </w:t>
      </w:r>
      <w:r w:rsidRPr="52B404F0">
        <w:rPr>
          <w:color w:val="auto"/>
        </w:rPr>
        <w:t xml:space="preserve">showing a broader market impact of the program’s cost controls. A study of the Colorado Option found that </w:t>
      </w:r>
      <w:r w:rsidR="004960CE">
        <w:rPr>
          <w:color w:val="auto"/>
        </w:rPr>
        <w:t>M</w:t>
      </w:r>
      <w:r w:rsidRPr="52B404F0">
        <w:rPr>
          <w:color w:val="auto"/>
        </w:rPr>
        <w:t>arketplace consumers who selected Colorado Option plans paid lower premiums than consumers in non-Colorado Option plans.</w:t>
      </w:r>
    </w:p>
    <w:p w14:paraId="6677C970" w14:textId="77777777" w:rsidR="002A2F15" w:rsidRPr="005674D6" w:rsidRDefault="002A2F15" w:rsidP="002A2F15"/>
    <w:p w14:paraId="321FCA22" w14:textId="77777777" w:rsidR="006064C8" w:rsidRPr="005674D6" w:rsidRDefault="006064C8" w:rsidP="008B0A5B">
      <w:pPr>
        <w:pStyle w:val="NonTOCHeading"/>
        <w:rPr>
          <w:bCs/>
          <w:lang w:val="en"/>
        </w:rPr>
      </w:pPr>
      <w:r w:rsidRPr="005674D6">
        <w:rPr>
          <w:lang w:val="en"/>
        </w:rPr>
        <w:t>Conclusion</w:t>
      </w:r>
    </w:p>
    <w:p w14:paraId="089A4848" w14:textId="1F90B86E" w:rsidR="006064C8" w:rsidRPr="005674D6" w:rsidRDefault="006064C8" w:rsidP="002A2F15">
      <w:pPr>
        <w:rPr>
          <w:lang w:val="en"/>
        </w:rPr>
      </w:pPr>
      <w:r w:rsidRPr="005674D6">
        <w:rPr>
          <w:lang w:val="en"/>
        </w:rPr>
        <w:t>States have pursued a range of strategies to improve health insurance affordability, including public option models with premium reduction targets, mandate-li</w:t>
      </w:r>
      <w:r w:rsidR="004960CE">
        <w:rPr>
          <w:lang w:val="en"/>
        </w:rPr>
        <w:t>ght</w:t>
      </w:r>
      <w:r w:rsidRPr="005674D6">
        <w:rPr>
          <w:lang w:val="en"/>
        </w:rPr>
        <w:t xml:space="preserve"> products, and limited- or tiered-network plans, each presenting different tradeoffs among premium savings, consumer choice, access to care, and market stability. While these approaches offer potential tools for reducing premiums, experience to date has produced mixed results, underscoring the need for continued evaluation of their long-term effects on consumers and the broader health insurance market.</w:t>
      </w:r>
    </w:p>
    <w:p w14:paraId="5285A8FE" w14:textId="77777777" w:rsidR="002A2F15" w:rsidRPr="005674D6" w:rsidRDefault="002A2F15" w:rsidP="00646036">
      <w:pPr>
        <w:rPr>
          <w:lang w:val="en"/>
        </w:rPr>
      </w:pPr>
    </w:p>
    <w:p w14:paraId="21D3A20A" w14:textId="77777777" w:rsidR="006064C8" w:rsidRPr="005674D6" w:rsidRDefault="006064C8" w:rsidP="008B0A5B">
      <w:pPr>
        <w:pStyle w:val="NonTOCHeading"/>
        <w:rPr>
          <w:bCs/>
          <w:lang w:val="en"/>
        </w:rPr>
      </w:pPr>
      <w:r w:rsidRPr="005674D6">
        <w:rPr>
          <w:lang w:val="en"/>
        </w:rPr>
        <w:t>Sources</w:t>
      </w:r>
    </w:p>
    <w:p w14:paraId="4EFC0FBB" w14:textId="09F9ACE2" w:rsidR="006064C8" w:rsidRPr="008B0A5B" w:rsidRDefault="006064C8" w:rsidP="00646036">
      <w:pPr>
        <w:rPr>
          <w:color w:val="auto"/>
        </w:rPr>
      </w:pPr>
      <w:r w:rsidRPr="008B0A5B">
        <w:rPr>
          <w:color w:val="auto"/>
        </w:rPr>
        <w:t xml:space="preserve">Roslyn Murray, Christopher M. Whaley, </w:t>
      </w:r>
      <w:hyperlink r:id="rId39" w:history="1">
        <w:r w:rsidRPr="008B0A5B">
          <w:rPr>
            <w:rStyle w:val="Hyperlink"/>
          </w:rPr>
          <w:t>“Can Public Option Plans Improve Affordability? Insights From Colorado,”</w:t>
        </w:r>
      </w:hyperlink>
      <w:r w:rsidRPr="008B0A5B">
        <w:rPr>
          <w:color w:val="0070C0"/>
        </w:rPr>
        <w:t xml:space="preserve"> </w:t>
      </w:r>
      <w:r w:rsidRPr="008B0A5B">
        <w:rPr>
          <w:color w:val="auto"/>
        </w:rPr>
        <w:t xml:space="preserve">Health Affairs Forefront, 2025. </w:t>
      </w:r>
    </w:p>
    <w:p w14:paraId="36F45851" w14:textId="77777777" w:rsidR="006064C8" w:rsidRPr="000F53C9" w:rsidRDefault="006064C8" w:rsidP="00646036">
      <w:pPr>
        <w:rPr>
          <w:color w:val="auto"/>
        </w:rPr>
      </w:pPr>
      <w:r w:rsidRPr="000F53C9">
        <w:rPr>
          <w:color w:val="auto"/>
        </w:rPr>
        <w:t>Evaluates the Colorado Option as a public-option-style plan designed to reduce premiums.</w:t>
      </w:r>
    </w:p>
    <w:p w14:paraId="56ECFE08" w14:textId="77777777" w:rsidR="006064C8" w:rsidRPr="000F53C9" w:rsidRDefault="006064C8" w:rsidP="00646036">
      <w:pPr>
        <w:rPr>
          <w:color w:val="auto"/>
        </w:rPr>
      </w:pPr>
    </w:p>
    <w:p w14:paraId="5CDA543E" w14:textId="21798757" w:rsidR="006064C8" w:rsidRPr="008B0A5B" w:rsidRDefault="006064C8" w:rsidP="00646036">
      <w:pPr>
        <w:rPr>
          <w:color w:val="auto"/>
        </w:rPr>
      </w:pPr>
      <w:r w:rsidRPr="008B0A5B">
        <w:rPr>
          <w:color w:val="auto"/>
        </w:rPr>
        <w:t xml:space="preserve">Roslyn Murray, Christopher M. Whaley, </w:t>
      </w:r>
      <w:hyperlink r:id="rId40" w:history="1">
        <w:r w:rsidRPr="008B0A5B">
          <w:rPr>
            <w:rStyle w:val="Hyperlink"/>
          </w:rPr>
          <w:t>“Estimating the Individual Market Premium Impacts of the Colorado Option,”</w:t>
        </w:r>
      </w:hyperlink>
      <w:r w:rsidRPr="008B0A5B">
        <w:rPr>
          <w:color w:val="auto"/>
        </w:rPr>
        <w:t xml:space="preserve"> Brown CAHPR, 2025. </w:t>
      </w:r>
    </w:p>
    <w:p w14:paraId="3EDEB879" w14:textId="77777777" w:rsidR="006064C8" w:rsidRPr="000F53C9" w:rsidRDefault="006064C8" w:rsidP="00646036">
      <w:pPr>
        <w:rPr>
          <w:color w:val="auto"/>
        </w:rPr>
      </w:pPr>
      <w:r w:rsidRPr="000F53C9">
        <w:rPr>
          <w:color w:val="auto"/>
        </w:rPr>
        <w:t>Empirical report estimating premium effects of the Colorado Option.</w:t>
      </w:r>
    </w:p>
    <w:p w14:paraId="0157CDA8" w14:textId="77777777" w:rsidR="006064C8" w:rsidRPr="000F53C9" w:rsidRDefault="006064C8" w:rsidP="00646036">
      <w:pPr>
        <w:rPr>
          <w:color w:val="auto"/>
        </w:rPr>
      </w:pPr>
    </w:p>
    <w:p w14:paraId="20795563" w14:textId="489E4097" w:rsidR="006064C8" w:rsidRPr="008B0A5B" w:rsidRDefault="006064C8" w:rsidP="00646036">
      <w:pPr>
        <w:rPr>
          <w:color w:val="auto"/>
        </w:rPr>
      </w:pPr>
      <w:r w:rsidRPr="008B0A5B">
        <w:rPr>
          <w:color w:val="auto"/>
        </w:rPr>
        <w:t xml:space="preserve">Roslyn Murray and Christopher M. Whaley, </w:t>
      </w:r>
      <w:hyperlink r:id="rId41" w:history="1">
        <w:r w:rsidRPr="008B0A5B">
          <w:rPr>
            <w:rStyle w:val="Hyperlink"/>
          </w:rPr>
          <w:t>“Assessing Individual Market Hospital Outpatient Prices in the Context of the Colorado Option,”</w:t>
        </w:r>
      </w:hyperlink>
      <w:r w:rsidRPr="008B0A5B">
        <w:rPr>
          <w:color w:val="auto"/>
        </w:rPr>
        <w:t xml:space="preserve"> Brown CAHPR, 2025. </w:t>
      </w:r>
    </w:p>
    <w:p w14:paraId="69CD8903" w14:textId="77777777" w:rsidR="006064C8" w:rsidRPr="000F53C9" w:rsidRDefault="006064C8" w:rsidP="00646036">
      <w:pPr>
        <w:rPr>
          <w:color w:val="auto"/>
        </w:rPr>
      </w:pPr>
      <w:r w:rsidRPr="000F53C9">
        <w:rPr>
          <w:color w:val="auto"/>
        </w:rPr>
        <w:t>Looks at whether Colorado Option regulatory tools affected hospital outpatient prices.</w:t>
      </w:r>
    </w:p>
    <w:p w14:paraId="0D0E1976" w14:textId="77777777" w:rsidR="006064C8" w:rsidRPr="000F53C9" w:rsidRDefault="006064C8" w:rsidP="00646036">
      <w:pPr>
        <w:rPr>
          <w:color w:val="auto"/>
        </w:rPr>
      </w:pPr>
    </w:p>
    <w:p w14:paraId="70F38C18" w14:textId="34641080" w:rsidR="006064C8" w:rsidRPr="0094443C" w:rsidRDefault="006064C8" w:rsidP="00646036">
      <w:pPr>
        <w:rPr>
          <w:color w:val="auto"/>
        </w:rPr>
      </w:pPr>
      <w:r w:rsidRPr="0094443C">
        <w:rPr>
          <w:color w:val="auto"/>
        </w:rPr>
        <w:t xml:space="preserve">Mathematica, </w:t>
      </w:r>
      <w:hyperlink r:id="rId42" w:history="1">
        <w:r w:rsidRPr="0094443C">
          <w:rPr>
            <w:rStyle w:val="Hyperlink"/>
          </w:rPr>
          <w:t>“Analysis of the Colorado Option, Pursuant to § 10-16-1310, C.R.S</w:t>
        </w:r>
      </w:hyperlink>
      <w:r w:rsidRPr="0094443C">
        <w:rPr>
          <w:color w:val="auto"/>
        </w:rPr>
        <w:t xml:space="preserve">.,” 2026. </w:t>
      </w:r>
    </w:p>
    <w:p w14:paraId="4A5278D1" w14:textId="77777777" w:rsidR="006064C8" w:rsidRPr="000F53C9" w:rsidRDefault="006064C8" w:rsidP="00646036">
      <w:pPr>
        <w:rPr>
          <w:color w:val="auto"/>
        </w:rPr>
      </w:pPr>
      <w:r w:rsidRPr="000F53C9">
        <w:rPr>
          <w:color w:val="auto"/>
        </w:rPr>
        <w:t>State-required evaluation of the Colorado Option, including premium-reduction targets and public-hearing enforcement.</w:t>
      </w:r>
    </w:p>
    <w:p w14:paraId="58F1CCC1" w14:textId="77777777" w:rsidR="006064C8" w:rsidRPr="000F53C9" w:rsidRDefault="006064C8" w:rsidP="00646036">
      <w:pPr>
        <w:rPr>
          <w:color w:val="auto"/>
        </w:rPr>
      </w:pPr>
    </w:p>
    <w:p w14:paraId="4F48F85B" w14:textId="4FF606DD" w:rsidR="006064C8" w:rsidRPr="0094443C" w:rsidRDefault="006064C8" w:rsidP="00646036">
      <w:pPr>
        <w:rPr>
          <w:color w:val="auto"/>
        </w:rPr>
      </w:pPr>
      <w:r w:rsidRPr="0094443C">
        <w:rPr>
          <w:color w:val="auto"/>
        </w:rPr>
        <w:t>Georgetown C</w:t>
      </w:r>
      <w:r w:rsidR="0094443C">
        <w:rPr>
          <w:color w:val="auto"/>
        </w:rPr>
        <w:t>enter on Health Insurance Reforms</w:t>
      </w:r>
      <w:r w:rsidRPr="0094443C">
        <w:rPr>
          <w:color w:val="auto"/>
        </w:rPr>
        <w:t xml:space="preserve">, </w:t>
      </w:r>
      <w:hyperlink r:id="rId43" w:history="1">
        <w:r w:rsidRPr="0094443C">
          <w:rPr>
            <w:rStyle w:val="Hyperlink"/>
          </w:rPr>
          <w:t>“Colorado Announces Premium Rate Reduction Targets for Public Option Plans,”</w:t>
        </w:r>
      </w:hyperlink>
      <w:r w:rsidRPr="0094443C">
        <w:rPr>
          <w:color w:val="0070C0"/>
        </w:rPr>
        <w:t xml:space="preserve"> </w:t>
      </w:r>
      <w:r w:rsidRPr="0094443C">
        <w:rPr>
          <w:color w:val="auto"/>
        </w:rPr>
        <w:t xml:space="preserve">2022. </w:t>
      </w:r>
    </w:p>
    <w:p w14:paraId="3D6C98A5" w14:textId="77777777" w:rsidR="006064C8" w:rsidRPr="000F53C9" w:rsidRDefault="006064C8" w:rsidP="00646036">
      <w:pPr>
        <w:rPr>
          <w:color w:val="auto"/>
        </w:rPr>
      </w:pPr>
      <w:r w:rsidRPr="000F53C9">
        <w:rPr>
          <w:color w:val="auto"/>
        </w:rPr>
        <w:t>Explains the 5%, 10%, and 15% premium-rate-reduction target methodology.</w:t>
      </w:r>
    </w:p>
    <w:p w14:paraId="0A28C6C4" w14:textId="77777777" w:rsidR="006064C8" w:rsidRPr="000F53C9" w:rsidRDefault="006064C8" w:rsidP="00646036">
      <w:pPr>
        <w:rPr>
          <w:color w:val="auto"/>
        </w:rPr>
      </w:pPr>
    </w:p>
    <w:p w14:paraId="595DF1FE" w14:textId="6F0BBB48" w:rsidR="006064C8" w:rsidRPr="0094443C" w:rsidRDefault="006064C8" w:rsidP="00646036">
      <w:pPr>
        <w:rPr>
          <w:color w:val="auto"/>
        </w:rPr>
      </w:pPr>
      <w:r w:rsidRPr="0094443C">
        <w:rPr>
          <w:color w:val="auto"/>
        </w:rPr>
        <w:t xml:space="preserve">Commonwealth Fund, </w:t>
      </w:r>
      <w:hyperlink r:id="rId44" w:history="1">
        <w:r w:rsidRPr="0094443C">
          <w:rPr>
            <w:rStyle w:val="Hyperlink"/>
          </w:rPr>
          <w:t>“Update on State Public Option-Style Laws: Getting to More Affordable Coverage,”</w:t>
        </w:r>
      </w:hyperlink>
      <w:r w:rsidRPr="0094443C">
        <w:rPr>
          <w:color w:val="0070C0"/>
        </w:rPr>
        <w:t xml:space="preserve"> </w:t>
      </w:r>
      <w:r w:rsidRPr="0094443C">
        <w:rPr>
          <w:color w:val="auto"/>
        </w:rPr>
        <w:t xml:space="preserve">2022. </w:t>
      </w:r>
    </w:p>
    <w:p w14:paraId="04197E3C" w14:textId="77777777" w:rsidR="006064C8" w:rsidRPr="000F53C9" w:rsidRDefault="006064C8" w:rsidP="00646036">
      <w:pPr>
        <w:rPr>
          <w:color w:val="auto"/>
        </w:rPr>
      </w:pPr>
      <w:r w:rsidRPr="000F53C9">
        <w:rPr>
          <w:color w:val="auto"/>
        </w:rPr>
        <w:t>Comparative policy brief covering Colorado, Nevada, and Washington public-option-style laws.</w:t>
      </w:r>
    </w:p>
    <w:p w14:paraId="610C78EB" w14:textId="77777777" w:rsidR="006064C8" w:rsidRPr="000F53C9" w:rsidRDefault="006064C8" w:rsidP="00646036">
      <w:pPr>
        <w:rPr>
          <w:color w:val="auto"/>
        </w:rPr>
      </w:pPr>
    </w:p>
    <w:p w14:paraId="3687C742" w14:textId="528A8734" w:rsidR="006064C8" w:rsidRPr="000F53C9" w:rsidRDefault="006064C8" w:rsidP="00646036">
      <w:pPr>
        <w:rPr>
          <w:color w:val="auto"/>
        </w:rPr>
      </w:pPr>
      <w:r w:rsidRPr="004960CE">
        <w:rPr>
          <w:color w:val="auto"/>
        </w:rPr>
        <w:t xml:space="preserve">Commonwealth Fund, </w:t>
      </w:r>
      <w:r w:rsidRPr="000F53C9">
        <w:rPr>
          <w:color w:val="auto"/>
          <w:u w:val="single"/>
        </w:rPr>
        <w:t>“</w:t>
      </w:r>
      <w:hyperlink r:id="rId45" w:history="1">
        <w:r w:rsidRPr="004960CE">
          <w:rPr>
            <w:rStyle w:val="Hyperlink"/>
          </w:rPr>
          <w:t>State Public Option–Style Laws: What Policymakers Need to Know,”</w:t>
        </w:r>
      </w:hyperlink>
      <w:r w:rsidRPr="000F53C9">
        <w:rPr>
          <w:color w:val="auto"/>
          <w:u w:val="single"/>
        </w:rPr>
        <w:t xml:space="preserve"> </w:t>
      </w:r>
      <w:r w:rsidRPr="004960CE">
        <w:rPr>
          <w:color w:val="auto"/>
        </w:rPr>
        <w:t>2021</w:t>
      </w:r>
      <w:r w:rsidRPr="000F53C9">
        <w:rPr>
          <w:color w:val="auto"/>
          <w:u w:val="single"/>
        </w:rPr>
        <w:t>.</w:t>
      </w:r>
      <w:r w:rsidRPr="000F53C9">
        <w:rPr>
          <w:color w:val="auto"/>
        </w:rPr>
        <w:t xml:space="preserve"> </w:t>
      </w:r>
    </w:p>
    <w:p w14:paraId="11F3FA6F" w14:textId="77777777" w:rsidR="006064C8" w:rsidRPr="000F53C9" w:rsidRDefault="006064C8" w:rsidP="00646036">
      <w:pPr>
        <w:rPr>
          <w:color w:val="auto"/>
        </w:rPr>
      </w:pPr>
      <w:r w:rsidRPr="000F53C9">
        <w:rPr>
          <w:color w:val="auto"/>
        </w:rPr>
        <w:t>Policy brief comparing state public-option-style approaches, including premium targets.</w:t>
      </w:r>
    </w:p>
    <w:p w14:paraId="57DB246D" w14:textId="77777777" w:rsidR="006064C8" w:rsidRPr="000F53C9" w:rsidRDefault="006064C8" w:rsidP="00646036">
      <w:pPr>
        <w:rPr>
          <w:color w:val="auto"/>
        </w:rPr>
      </w:pPr>
    </w:p>
    <w:p w14:paraId="0D115AF8" w14:textId="4B7DEB34" w:rsidR="006064C8" w:rsidRPr="004960CE" w:rsidRDefault="006064C8" w:rsidP="00646036">
      <w:pPr>
        <w:rPr>
          <w:color w:val="auto"/>
        </w:rPr>
      </w:pPr>
      <w:r w:rsidRPr="004960CE">
        <w:rPr>
          <w:color w:val="auto"/>
        </w:rPr>
        <w:t>Commonwealth Fund,</w:t>
      </w:r>
      <w:r w:rsidRPr="000F53C9">
        <w:rPr>
          <w:color w:val="auto"/>
          <w:u w:val="single"/>
        </w:rPr>
        <w:t xml:space="preserve"> “</w:t>
      </w:r>
      <w:hyperlink r:id="rId46" w:history="1">
        <w:r w:rsidRPr="004960CE">
          <w:rPr>
            <w:rStyle w:val="Hyperlink"/>
          </w:rPr>
          <w:t>State Public Option Plans Are Making Progress Reducing Consumer Costs,”</w:t>
        </w:r>
      </w:hyperlink>
      <w:r w:rsidRPr="000F53C9">
        <w:rPr>
          <w:color w:val="auto"/>
          <w:u w:val="single"/>
        </w:rPr>
        <w:t xml:space="preserve"> </w:t>
      </w:r>
      <w:r w:rsidRPr="004960CE">
        <w:rPr>
          <w:color w:val="auto"/>
        </w:rPr>
        <w:t xml:space="preserve">2023. </w:t>
      </w:r>
    </w:p>
    <w:p w14:paraId="6DDB88C0" w14:textId="77777777" w:rsidR="006064C8" w:rsidRPr="000F53C9" w:rsidRDefault="006064C8" w:rsidP="00646036">
      <w:pPr>
        <w:rPr>
          <w:color w:val="auto"/>
        </w:rPr>
      </w:pPr>
      <w:r w:rsidRPr="000F53C9">
        <w:rPr>
          <w:color w:val="auto"/>
        </w:rPr>
        <w:t>Tracks early Colorado Option premium performance.</w:t>
      </w:r>
    </w:p>
    <w:p w14:paraId="1A1A117B" w14:textId="77777777" w:rsidR="006064C8" w:rsidRPr="000F53C9" w:rsidRDefault="006064C8" w:rsidP="00646036">
      <w:pPr>
        <w:rPr>
          <w:color w:val="auto"/>
        </w:rPr>
      </w:pPr>
    </w:p>
    <w:p w14:paraId="751D6C87" w14:textId="553017CF" w:rsidR="006064C8" w:rsidRPr="000F53C9" w:rsidRDefault="004960CE" w:rsidP="00646036">
      <w:pPr>
        <w:rPr>
          <w:color w:val="auto"/>
        </w:rPr>
      </w:pPr>
      <w:r>
        <w:rPr>
          <w:color w:val="auto"/>
        </w:rPr>
        <w:t>Centers for Medicare &amp; Medicaid Services</w:t>
      </w:r>
      <w:r w:rsidR="006064C8" w:rsidRPr="004960CE">
        <w:rPr>
          <w:color w:val="auto"/>
        </w:rPr>
        <w:t>,</w:t>
      </w:r>
      <w:r w:rsidR="006064C8" w:rsidRPr="000F53C9">
        <w:rPr>
          <w:color w:val="auto"/>
          <w:u w:val="single"/>
        </w:rPr>
        <w:t xml:space="preserve"> </w:t>
      </w:r>
      <w:hyperlink r:id="rId47" w:history="1">
        <w:r w:rsidR="006064C8" w:rsidRPr="004960CE">
          <w:rPr>
            <w:rStyle w:val="Hyperlink"/>
          </w:rPr>
          <w:t>“Nevada: State Innovation Waiver under Section 1332 of the ACA,”</w:t>
        </w:r>
      </w:hyperlink>
      <w:r w:rsidR="006064C8" w:rsidRPr="000F53C9">
        <w:rPr>
          <w:color w:val="auto"/>
          <w:u w:val="single"/>
        </w:rPr>
        <w:t xml:space="preserve"> </w:t>
      </w:r>
      <w:r w:rsidR="006064C8" w:rsidRPr="004960CE">
        <w:rPr>
          <w:color w:val="auto"/>
        </w:rPr>
        <w:t>2025.</w:t>
      </w:r>
      <w:r w:rsidR="006064C8" w:rsidRPr="000F53C9">
        <w:rPr>
          <w:color w:val="auto"/>
        </w:rPr>
        <w:t xml:space="preserve"> </w:t>
      </w:r>
    </w:p>
    <w:p w14:paraId="04D976E0" w14:textId="77777777" w:rsidR="006064C8" w:rsidRPr="000F53C9" w:rsidRDefault="006064C8" w:rsidP="00646036">
      <w:pPr>
        <w:rPr>
          <w:color w:val="auto"/>
        </w:rPr>
      </w:pPr>
      <w:r w:rsidRPr="000F53C9">
        <w:rPr>
          <w:color w:val="auto"/>
        </w:rPr>
        <w:t>Federal fact sheet on Nevada’s Battle Born State Plans, including premium-reduction requirements.</w:t>
      </w:r>
    </w:p>
    <w:p w14:paraId="25B21E5B" w14:textId="77777777" w:rsidR="006064C8" w:rsidRPr="000F53C9" w:rsidRDefault="006064C8" w:rsidP="00646036">
      <w:pPr>
        <w:rPr>
          <w:color w:val="auto"/>
        </w:rPr>
      </w:pPr>
    </w:p>
    <w:p w14:paraId="3D435EA1" w14:textId="50DF086F" w:rsidR="006064C8" w:rsidRPr="000F53C9" w:rsidRDefault="006064C8" w:rsidP="00646036">
      <w:pPr>
        <w:rPr>
          <w:color w:val="auto"/>
        </w:rPr>
      </w:pPr>
      <w:r w:rsidRPr="004960CE">
        <w:rPr>
          <w:color w:val="auto"/>
        </w:rPr>
        <w:t>Georgetown C</w:t>
      </w:r>
      <w:r w:rsidR="004960CE">
        <w:rPr>
          <w:color w:val="auto"/>
        </w:rPr>
        <w:t>enter on Health Insurance Reforms</w:t>
      </w:r>
      <w:r w:rsidRPr="004960CE">
        <w:rPr>
          <w:color w:val="auto"/>
        </w:rPr>
        <w:t xml:space="preserve">, </w:t>
      </w:r>
      <w:hyperlink r:id="rId48" w:history="1">
        <w:r w:rsidRPr="004960CE">
          <w:rPr>
            <w:rStyle w:val="Hyperlink"/>
          </w:rPr>
          <w:t>“Nevada Actuarial Study Projects Significant Savings from Public Option Plans,”</w:t>
        </w:r>
      </w:hyperlink>
      <w:r w:rsidRPr="000F53C9">
        <w:rPr>
          <w:color w:val="auto"/>
          <w:u w:val="single"/>
        </w:rPr>
        <w:t xml:space="preserve"> </w:t>
      </w:r>
      <w:r w:rsidRPr="004960CE">
        <w:rPr>
          <w:color w:val="auto"/>
        </w:rPr>
        <w:t xml:space="preserve">2022. </w:t>
      </w:r>
    </w:p>
    <w:p w14:paraId="5C920A99" w14:textId="77777777" w:rsidR="006064C8" w:rsidRPr="000F53C9" w:rsidRDefault="006064C8" w:rsidP="00646036">
      <w:pPr>
        <w:rPr>
          <w:color w:val="auto"/>
        </w:rPr>
      </w:pPr>
      <w:r w:rsidRPr="000F53C9">
        <w:rPr>
          <w:color w:val="auto"/>
        </w:rPr>
        <w:t>Summarizes actuarial projections for Nevada’s public-option design.</w:t>
      </w:r>
    </w:p>
    <w:p w14:paraId="69AD6DB1" w14:textId="77777777" w:rsidR="006064C8" w:rsidRPr="000F53C9" w:rsidRDefault="006064C8" w:rsidP="00646036">
      <w:pPr>
        <w:rPr>
          <w:color w:val="auto"/>
        </w:rPr>
      </w:pPr>
    </w:p>
    <w:p w14:paraId="3D55FE89" w14:textId="22BBCFB6" w:rsidR="006064C8" w:rsidRPr="000F53C9" w:rsidRDefault="006064C8" w:rsidP="00646036">
      <w:pPr>
        <w:rPr>
          <w:color w:val="auto"/>
        </w:rPr>
      </w:pPr>
      <w:r w:rsidRPr="004960CE">
        <w:rPr>
          <w:color w:val="auto"/>
        </w:rPr>
        <w:t>Manatt Health,</w:t>
      </w:r>
      <w:r w:rsidRPr="000F53C9">
        <w:rPr>
          <w:color w:val="auto"/>
          <w:u w:val="single"/>
        </w:rPr>
        <w:t xml:space="preserve"> “</w:t>
      </w:r>
      <w:hyperlink r:id="rId49" w:history="1">
        <w:r w:rsidRPr="004960CE">
          <w:rPr>
            <w:rStyle w:val="Hyperlink"/>
          </w:rPr>
          <w:t>Senate Concurrent Resolution No. 10 Study</w:t>
        </w:r>
      </w:hyperlink>
      <w:r w:rsidRPr="000F53C9">
        <w:rPr>
          <w:color w:val="auto"/>
          <w:u w:val="single"/>
        </w:rPr>
        <w:t>,”</w:t>
      </w:r>
      <w:r w:rsidRPr="004960CE">
        <w:rPr>
          <w:color w:val="auto"/>
        </w:rPr>
        <w:t xml:space="preserve"> 2021.</w:t>
      </w:r>
      <w:r w:rsidRPr="000F53C9">
        <w:rPr>
          <w:color w:val="auto"/>
        </w:rPr>
        <w:t xml:space="preserve"> </w:t>
      </w:r>
    </w:p>
    <w:p w14:paraId="2712A271" w14:textId="77777777" w:rsidR="006064C8" w:rsidRPr="000F53C9" w:rsidRDefault="006064C8" w:rsidP="00646036">
      <w:pPr>
        <w:rPr>
          <w:color w:val="auto"/>
        </w:rPr>
      </w:pPr>
      <w:r w:rsidRPr="000F53C9">
        <w:rPr>
          <w:color w:val="auto"/>
        </w:rPr>
        <w:t>Nevada public-option feasibility study that informed later policy design.</w:t>
      </w:r>
    </w:p>
    <w:p w14:paraId="10EE8645" w14:textId="77777777" w:rsidR="006064C8" w:rsidRPr="000F53C9" w:rsidRDefault="006064C8" w:rsidP="00646036">
      <w:pPr>
        <w:rPr>
          <w:color w:val="auto"/>
        </w:rPr>
      </w:pPr>
    </w:p>
    <w:p w14:paraId="29A1C7E7" w14:textId="77777777" w:rsidR="006064C8" w:rsidRPr="000F53C9" w:rsidRDefault="006064C8" w:rsidP="00646036">
      <w:pPr>
        <w:rPr>
          <w:color w:val="auto"/>
        </w:rPr>
      </w:pPr>
      <w:hyperlink r:id="rId50">
        <w:r w:rsidRPr="000F53C9">
          <w:rPr>
            <w:color w:val="auto"/>
          </w:rPr>
          <w:t>Aditi P. Sen et al., “Participation, Pricing, and Enrollment in a Health Insurance ‘Public Option’: Evidence From Washington State’s Cascade Care Program,” Milbank Quarterly, 2021.</w:t>
        </w:r>
      </w:hyperlink>
      <w:r w:rsidRPr="000F53C9">
        <w:rPr>
          <w:color w:val="auto"/>
        </w:rPr>
        <w:t xml:space="preserve"> </w:t>
      </w:r>
    </w:p>
    <w:p w14:paraId="3E7EC3A8" w14:textId="77777777" w:rsidR="006064C8" w:rsidRPr="000F53C9" w:rsidRDefault="006064C8" w:rsidP="00646036">
      <w:pPr>
        <w:rPr>
          <w:color w:val="auto"/>
        </w:rPr>
      </w:pPr>
      <w:r w:rsidRPr="000F53C9">
        <w:rPr>
          <w:color w:val="auto"/>
        </w:rPr>
        <w:t>Peer-reviewed study of Washington’s Cascade Care public option.</w:t>
      </w:r>
    </w:p>
    <w:p w14:paraId="2024DC99" w14:textId="77777777" w:rsidR="006064C8" w:rsidRPr="000F53C9" w:rsidRDefault="006064C8" w:rsidP="00646036">
      <w:pPr>
        <w:rPr>
          <w:color w:val="auto"/>
        </w:rPr>
      </w:pPr>
    </w:p>
    <w:p w14:paraId="412FA7E2" w14:textId="5AEA16F2" w:rsidR="006064C8" w:rsidRPr="004960CE" w:rsidRDefault="006064C8" w:rsidP="00646036">
      <w:pPr>
        <w:rPr>
          <w:color w:val="auto"/>
        </w:rPr>
      </w:pPr>
      <w:r w:rsidRPr="004960CE">
        <w:rPr>
          <w:color w:val="auto"/>
        </w:rPr>
        <w:t xml:space="preserve">Wakely Actuarial Consulting, </w:t>
      </w:r>
      <w:hyperlink r:id="rId51" w:history="1">
        <w:r w:rsidRPr="004960CE">
          <w:rPr>
            <w:rStyle w:val="Hyperlink"/>
          </w:rPr>
          <w:t>“Nevada Public Option Actuarial Analysis</w:t>
        </w:r>
      </w:hyperlink>
      <w:r w:rsidRPr="004960CE">
        <w:rPr>
          <w:color w:val="auto"/>
        </w:rPr>
        <w:t>,” 2023. </w:t>
      </w:r>
    </w:p>
    <w:p w14:paraId="5C485BD2" w14:textId="3126B43D" w:rsidR="006064C8" w:rsidRPr="000F53C9" w:rsidRDefault="13056345" w:rsidP="00646036">
      <w:pPr>
        <w:rPr>
          <w:color w:val="auto"/>
        </w:rPr>
      </w:pPr>
      <w:r w:rsidRPr="52B404F0">
        <w:rPr>
          <w:color w:val="auto"/>
        </w:rPr>
        <w:t>Actuarial study of the proposed public option in Nevada. </w:t>
      </w:r>
    </w:p>
    <w:p w14:paraId="5EF77582" w14:textId="77777777" w:rsidR="006064C8" w:rsidRPr="000F53C9" w:rsidRDefault="006064C8" w:rsidP="00646036">
      <w:pPr>
        <w:rPr>
          <w:color w:val="auto"/>
        </w:rPr>
      </w:pPr>
    </w:p>
    <w:p w14:paraId="5663DD7C" w14:textId="40D75B8A" w:rsidR="006064C8" w:rsidRPr="000F53C9" w:rsidRDefault="006064C8" w:rsidP="00646036">
      <w:pPr>
        <w:rPr>
          <w:color w:val="auto"/>
        </w:rPr>
      </w:pPr>
      <w:r w:rsidRPr="004960CE">
        <w:rPr>
          <w:color w:val="auto"/>
        </w:rPr>
        <w:t xml:space="preserve">United States of Care, </w:t>
      </w:r>
      <w:hyperlink r:id="rId52" w:history="1">
        <w:r w:rsidRPr="004960CE">
          <w:rPr>
            <w:rStyle w:val="Hyperlink"/>
          </w:rPr>
          <w:t>“State Public Health Insurance Options: A Comparison,”</w:t>
        </w:r>
      </w:hyperlink>
      <w:r w:rsidRPr="004960CE">
        <w:rPr>
          <w:color w:val="auto"/>
        </w:rPr>
        <w:t xml:space="preserve"> 2024.</w:t>
      </w:r>
      <w:r w:rsidRPr="000F53C9">
        <w:rPr>
          <w:color w:val="auto"/>
        </w:rPr>
        <w:t xml:space="preserve"> Comparative chart covering Colorado, Nevada, Washington, and Minnesota.</w:t>
      </w:r>
    </w:p>
    <w:p w14:paraId="5034AF0B" w14:textId="77777777" w:rsidR="006064C8" w:rsidRPr="000F53C9" w:rsidRDefault="006064C8" w:rsidP="00646036">
      <w:pPr>
        <w:rPr>
          <w:color w:val="auto"/>
        </w:rPr>
      </w:pPr>
    </w:p>
    <w:p w14:paraId="102C2066" w14:textId="57179556" w:rsidR="006064C8" w:rsidRPr="004960CE" w:rsidRDefault="006064C8" w:rsidP="00646036">
      <w:pPr>
        <w:rPr>
          <w:color w:val="auto"/>
        </w:rPr>
      </w:pPr>
      <w:r w:rsidRPr="004960CE">
        <w:rPr>
          <w:color w:val="auto"/>
        </w:rPr>
        <w:t xml:space="preserve">The Century Foundation, </w:t>
      </w:r>
      <w:hyperlink r:id="rId53" w:history="1">
        <w:r w:rsidRPr="00266ABB">
          <w:rPr>
            <w:rStyle w:val="Hyperlink"/>
          </w:rPr>
          <w:t>“How to Create a Public Health Insurance Plan: Lessons From States,”</w:t>
        </w:r>
      </w:hyperlink>
      <w:r w:rsidRPr="004960CE">
        <w:rPr>
          <w:color w:val="auto"/>
        </w:rPr>
        <w:t xml:space="preserve"> 2025. </w:t>
      </w:r>
    </w:p>
    <w:p w14:paraId="07E3B603" w14:textId="77777777" w:rsidR="006064C8" w:rsidRPr="000F53C9" w:rsidRDefault="006064C8" w:rsidP="00646036">
      <w:pPr>
        <w:rPr>
          <w:color w:val="auto"/>
        </w:rPr>
      </w:pPr>
      <w:r w:rsidRPr="000F53C9">
        <w:rPr>
          <w:color w:val="auto"/>
        </w:rPr>
        <w:t>Policy report comparing state public-option designs and lessons.</w:t>
      </w:r>
    </w:p>
    <w:p w14:paraId="45CA331B" w14:textId="77777777" w:rsidR="006064C8" w:rsidRPr="000F53C9" w:rsidRDefault="006064C8" w:rsidP="00646036">
      <w:pPr>
        <w:rPr>
          <w:color w:val="auto"/>
        </w:rPr>
      </w:pPr>
    </w:p>
    <w:p w14:paraId="79177E7A" w14:textId="00A31F19" w:rsidR="006064C8" w:rsidRPr="00266ABB" w:rsidRDefault="006064C8" w:rsidP="00646036">
      <w:pPr>
        <w:rPr>
          <w:color w:val="auto"/>
        </w:rPr>
      </w:pPr>
      <w:r w:rsidRPr="00266ABB">
        <w:rPr>
          <w:color w:val="auto"/>
        </w:rPr>
        <w:t xml:space="preserve">California Health Care Foundation, </w:t>
      </w:r>
      <w:hyperlink r:id="rId54" w:history="1">
        <w:r w:rsidRPr="00266ABB">
          <w:rPr>
            <w:rStyle w:val="Hyperlink"/>
          </w:rPr>
          <w:t>“State Public Options: Comparing Models Across the Country,”</w:t>
        </w:r>
      </w:hyperlink>
      <w:r w:rsidRPr="00266ABB">
        <w:rPr>
          <w:color w:val="auto"/>
        </w:rPr>
        <w:t xml:space="preserve"> 2021. </w:t>
      </w:r>
    </w:p>
    <w:p w14:paraId="155C0F33" w14:textId="77777777" w:rsidR="006064C8" w:rsidRPr="000F53C9" w:rsidRDefault="006064C8" w:rsidP="00646036">
      <w:pPr>
        <w:rPr>
          <w:color w:val="auto"/>
        </w:rPr>
      </w:pPr>
      <w:r w:rsidRPr="000F53C9">
        <w:rPr>
          <w:color w:val="auto"/>
        </w:rPr>
        <w:t>Comparative overview of state public-option models.</w:t>
      </w:r>
    </w:p>
    <w:p w14:paraId="07BFDB31" w14:textId="77777777" w:rsidR="006064C8" w:rsidRPr="000F53C9" w:rsidRDefault="006064C8" w:rsidP="00646036">
      <w:pPr>
        <w:rPr>
          <w:color w:val="auto"/>
        </w:rPr>
      </w:pPr>
    </w:p>
    <w:p w14:paraId="66489B19" w14:textId="77777777" w:rsidR="006064C8" w:rsidRPr="000F53C9" w:rsidRDefault="006064C8" w:rsidP="00646036">
      <w:pPr>
        <w:rPr>
          <w:color w:val="auto"/>
        </w:rPr>
      </w:pPr>
      <w:hyperlink r:id="rId55">
        <w:r w:rsidRPr="000F53C9">
          <w:rPr>
            <w:color w:val="auto"/>
          </w:rPr>
          <w:t>Jodi L. Liu et al., “Effects of a Public Option on Health Insurance Costs and Coverage,” RAND, 2020.</w:t>
        </w:r>
      </w:hyperlink>
      <w:r w:rsidRPr="000F53C9">
        <w:rPr>
          <w:color w:val="auto"/>
        </w:rPr>
        <w:t xml:space="preserve"> </w:t>
      </w:r>
    </w:p>
    <w:p w14:paraId="0A73060C" w14:textId="77777777" w:rsidR="006064C8" w:rsidRPr="000F53C9" w:rsidRDefault="006064C8" w:rsidP="00646036">
      <w:pPr>
        <w:rPr>
          <w:color w:val="auto"/>
        </w:rPr>
      </w:pPr>
      <w:r w:rsidRPr="000F53C9">
        <w:rPr>
          <w:color w:val="auto"/>
        </w:rPr>
        <w:t>Modeling study of how a public option could affect premiums, coverage, and federal spending.</w:t>
      </w:r>
    </w:p>
    <w:p w14:paraId="79BBA66A" w14:textId="77777777" w:rsidR="006064C8" w:rsidRPr="000F53C9" w:rsidRDefault="006064C8" w:rsidP="00646036">
      <w:pPr>
        <w:rPr>
          <w:color w:val="auto"/>
        </w:rPr>
      </w:pPr>
    </w:p>
    <w:p w14:paraId="2EEC2938" w14:textId="77777777" w:rsidR="006064C8" w:rsidRPr="000F53C9" w:rsidRDefault="006064C8" w:rsidP="00646036">
      <w:pPr>
        <w:rPr>
          <w:color w:val="auto"/>
        </w:rPr>
      </w:pPr>
      <w:hyperlink r:id="rId56">
        <w:r w:rsidRPr="000F53C9">
          <w:rPr>
            <w:color w:val="auto"/>
          </w:rPr>
          <w:t>Jodi L. Liu et al., “Public Options for Individual Health Insurance,” RAND, 2020.</w:t>
        </w:r>
      </w:hyperlink>
      <w:r w:rsidRPr="000F53C9">
        <w:rPr>
          <w:color w:val="auto"/>
        </w:rPr>
        <w:t xml:space="preserve"> </w:t>
      </w:r>
    </w:p>
    <w:p w14:paraId="34F614CC" w14:textId="77777777" w:rsidR="006064C8" w:rsidRPr="000F53C9" w:rsidRDefault="006064C8" w:rsidP="00646036">
      <w:pPr>
        <w:rPr>
          <w:color w:val="auto"/>
        </w:rPr>
      </w:pPr>
      <w:r w:rsidRPr="000F53C9">
        <w:rPr>
          <w:color w:val="auto"/>
        </w:rPr>
        <w:t>Full RAND report behind the public-option modeling.</w:t>
      </w:r>
    </w:p>
    <w:p w14:paraId="5F88AC93" w14:textId="77777777" w:rsidR="006064C8" w:rsidRPr="000F53C9" w:rsidRDefault="006064C8" w:rsidP="00646036">
      <w:pPr>
        <w:rPr>
          <w:color w:val="auto"/>
        </w:rPr>
      </w:pPr>
    </w:p>
    <w:p w14:paraId="195174C6" w14:textId="0B6EBE69" w:rsidR="006064C8" w:rsidRPr="00266ABB" w:rsidRDefault="006064C8" w:rsidP="00646036">
      <w:pPr>
        <w:rPr>
          <w:color w:val="auto"/>
        </w:rPr>
      </w:pPr>
      <w:r w:rsidRPr="00266ABB">
        <w:rPr>
          <w:color w:val="auto"/>
        </w:rPr>
        <w:t xml:space="preserve">Linda J. Blumberg et al., </w:t>
      </w:r>
      <w:hyperlink r:id="rId57" w:history="1">
        <w:r w:rsidRPr="00266ABB">
          <w:rPr>
            <w:rStyle w:val="Hyperlink"/>
          </w:rPr>
          <w:t>“Estimating the Impact of a Public Option or Capping Provider Payment Rates,”</w:t>
        </w:r>
      </w:hyperlink>
      <w:r w:rsidRPr="00266ABB">
        <w:rPr>
          <w:color w:val="auto"/>
        </w:rPr>
        <w:t xml:space="preserve"> Urban Institute, 2020. </w:t>
      </w:r>
    </w:p>
    <w:p w14:paraId="64F97C96" w14:textId="77777777" w:rsidR="006064C8" w:rsidRPr="000F53C9" w:rsidRDefault="006064C8" w:rsidP="00646036">
      <w:pPr>
        <w:rPr>
          <w:color w:val="auto"/>
        </w:rPr>
      </w:pPr>
      <w:r w:rsidRPr="000F53C9">
        <w:rPr>
          <w:color w:val="auto"/>
        </w:rPr>
        <w:t>Modeling paper on public option and provider-payment caps.</w:t>
      </w:r>
    </w:p>
    <w:p w14:paraId="522D6A39" w14:textId="77777777" w:rsidR="006064C8" w:rsidRPr="000F53C9" w:rsidRDefault="006064C8" w:rsidP="00646036">
      <w:pPr>
        <w:rPr>
          <w:color w:val="auto"/>
        </w:rPr>
      </w:pPr>
    </w:p>
    <w:p w14:paraId="3350DD7B" w14:textId="69A1ED7E" w:rsidR="006064C8" w:rsidRPr="000F53C9" w:rsidRDefault="006064C8" w:rsidP="00646036">
      <w:pPr>
        <w:rPr>
          <w:color w:val="auto"/>
        </w:rPr>
      </w:pPr>
      <w:r w:rsidRPr="000F53C9">
        <w:rPr>
          <w:color w:val="auto"/>
        </w:rPr>
        <w:t xml:space="preserve">Linda J. Blumberg et al., </w:t>
      </w:r>
      <w:hyperlink r:id="rId58" w:history="1">
        <w:r w:rsidRPr="00C524DF">
          <w:rPr>
            <w:rStyle w:val="Hyperlink"/>
          </w:rPr>
          <w:t>“Is There Potential for Public Plans to Reduce Premiums of Competing Insurers?”</w:t>
        </w:r>
      </w:hyperlink>
      <w:r w:rsidRPr="000F53C9">
        <w:rPr>
          <w:color w:val="auto"/>
        </w:rPr>
        <w:t xml:space="preserve"> Urban Institute, 2019. </w:t>
      </w:r>
    </w:p>
    <w:p w14:paraId="404D8A2E" w14:textId="77777777" w:rsidR="006064C8" w:rsidRPr="000F53C9" w:rsidRDefault="006064C8" w:rsidP="00646036">
      <w:pPr>
        <w:rPr>
          <w:color w:val="auto"/>
        </w:rPr>
      </w:pPr>
      <w:r w:rsidRPr="000F53C9">
        <w:rPr>
          <w:color w:val="auto"/>
        </w:rPr>
        <w:t>Examines whether public plans could create premium spillovers in private markets.</w:t>
      </w:r>
    </w:p>
    <w:p w14:paraId="79BAE006" w14:textId="77777777" w:rsidR="006064C8" w:rsidRPr="000F53C9" w:rsidRDefault="006064C8" w:rsidP="00646036">
      <w:pPr>
        <w:rPr>
          <w:color w:val="auto"/>
          <w:lang w:val="en"/>
        </w:rPr>
      </w:pPr>
    </w:p>
    <w:p w14:paraId="113133CE" w14:textId="20CB308F" w:rsidR="006064C8" w:rsidRPr="000F53C9" w:rsidRDefault="13056345" w:rsidP="00646036">
      <w:pPr>
        <w:rPr>
          <w:color w:val="auto"/>
        </w:rPr>
      </w:pPr>
      <w:r w:rsidRPr="00C524DF">
        <w:rPr>
          <w:color w:val="auto"/>
        </w:rPr>
        <w:t>Lanhee J. Chen et al., “</w:t>
      </w:r>
      <w:hyperlink r:id="rId59" w:history="1">
        <w:r w:rsidRPr="00C524DF">
          <w:rPr>
            <w:rStyle w:val="Hyperlink"/>
          </w:rPr>
          <w:t>Promises Unmet: The Early Experiences of State Public Option Plans</w:t>
        </w:r>
      </w:hyperlink>
      <w:r w:rsidRPr="00C524DF">
        <w:rPr>
          <w:color w:val="auto"/>
        </w:rPr>
        <w:t>” 2024</w:t>
      </w:r>
      <w:r w:rsidRPr="00C524DF">
        <w:rPr>
          <w:color w:val="auto"/>
          <w:lang w:val="en"/>
        </w:rPr>
        <w:t xml:space="preserve">. </w:t>
      </w:r>
      <w:r w:rsidR="006064C8" w:rsidRPr="00C524DF">
        <w:br/>
      </w:r>
      <w:r w:rsidRPr="52B404F0">
        <w:rPr>
          <w:color w:val="auto"/>
        </w:rPr>
        <w:t>Examines the early experiences of the Washington state, Colorado, and Nevada public option plans. </w:t>
      </w:r>
    </w:p>
    <w:p w14:paraId="279D0F6C" w14:textId="77777777" w:rsidR="006064C8" w:rsidRPr="000F53C9" w:rsidRDefault="006064C8" w:rsidP="00646036">
      <w:pPr>
        <w:rPr>
          <w:color w:val="auto"/>
        </w:rPr>
      </w:pPr>
    </w:p>
    <w:p w14:paraId="4F6574CE" w14:textId="77777777" w:rsidR="006064C8" w:rsidRPr="000F53C9" w:rsidRDefault="006064C8" w:rsidP="00646036">
      <w:pPr>
        <w:rPr>
          <w:color w:val="auto"/>
        </w:rPr>
      </w:pPr>
      <w:r w:rsidRPr="000F53C9">
        <w:rPr>
          <w:color w:val="auto"/>
        </w:rPr>
        <w:t>The following citations articulate the affordability implications of rising premiums and deductibles as well as the affordability benefits of various reforms in this area:</w:t>
      </w:r>
    </w:p>
    <w:p w14:paraId="023EE31F" w14:textId="660D7D26" w:rsidR="006064C8" w:rsidRPr="000F53C9" w:rsidRDefault="13056345" w:rsidP="00932C4D">
      <w:pPr>
        <w:pStyle w:val="ListParagraph"/>
        <w:numPr>
          <w:ilvl w:val="0"/>
          <w:numId w:val="38"/>
        </w:numPr>
        <w:rPr>
          <w:color w:val="auto"/>
        </w:rPr>
      </w:pPr>
      <w:r w:rsidRPr="52B404F0">
        <w:rPr>
          <w:color w:val="auto"/>
        </w:rPr>
        <w:t>Sabrina Corlette &amp; Karen Davenport, Recommendations for States’ Efforts to Mitigate Harms Caused by Federal Policy Actions (2026). This report describes state policy levers to stabilize the individual market in the wake of volatility caused by federal policy shifts. The report offers a menu of options for state legislatures and regulators that balance affordability provisions to lower premiums with the need to preserve consumer access to comprehensive coverage.</w:t>
      </w:r>
    </w:p>
    <w:p w14:paraId="419BDF66" w14:textId="1E4949DC" w:rsidR="006064C8" w:rsidRPr="000F53C9" w:rsidRDefault="13056345" w:rsidP="00932C4D">
      <w:pPr>
        <w:pStyle w:val="ListParagraph"/>
        <w:numPr>
          <w:ilvl w:val="0"/>
          <w:numId w:val="38"/>
        </w:numPr>
        <w:rPr>
          <w:color w:val="auto"/>
        </w:rPr>
      </w:pPr>
      <w:r w:rsidRPr="52B404F0">
        <w:rPr>
          <w:color w:val="auto"/>
        </w:rPr>
        <w:t>Gary Claxton et al., Pre-existing Conditions and Medical Underwriting in the Individual Insurance Market Prior to the ACA, Kaiser Family Foundation, (December 2016). Authors estimated that 27% of adult Americans under the age of 65 had health conditions that would likely leave them uninsurable if they applied for individual market coverage under pre-ACA underwriting practices that existed in nearly all states. If regulators are considering policies that encourage pre-ACA market dynamics (including limited benefits, pre-existing condition exclusions,</w:t>
      </w:r>
      <w:r w:rsidRPr="52B404F0">
        <w:rPr>
          <w:color w:val="auto"/>
          <w:lang w:val="en"/>
        </w:rPr>
        <w:t xml:space="preserve"> </w:t>
      </w:r>
      <w:r w:rsidRPr="52B404F0">
        <w:rPr>
          <w:color w:val="auto"/>
        </w:rPr>
        <w:t>and medical underwriting), they should consider citing additional research from the time period prior to the ACA to articulate the affordability harms to consumers that were rampant at that time.</w:t>
      </w:r>
    </w:p>
    <w:p w14:paraId="13D61C4F" w14:textId="07002728" w:rsidR="006064C8" w:rsidRPr="000F53C9" w:rsidRDefault="13056345" w:rsidP="00932C4D">
      <w:pPr>
        <w:pStyle w:val="ListParagraph"/>
        <w:numPr>
          <w:ilvl w:val="0"/>
          <w:numId w:val="38"/>
        </w:numPr>
        <w:rPr>
          <w:color w:val="auto"/>
        </w:rPr>
      </w:pPr>
      <w:r w:rsidRPr="52B404F0">
        <w:rPr>
          <w:color w:val="auto"/>
        </w:rPr>
        <w:t>Dane Hansen, Gabriela Dieguez, Milliman Research Report, The Impact of Short-Term Limited-Duration Policy Expansion on Patients and the ACA Individual Market (February 2020). Researchers found that across 5 different disease diagnoses, a consumer enrolled in a short-term plan will experience significantly higher cost-sharing than with an ACA-compliant plan in the first six months after diagnosis. Additionally, in states that had not regulated short-term plan availability in 2019, rate filings show that insurers set premiums an average of 5% higher compared to rates filed in states that banned or significantly restricted these policies.</w:t>
      </w:r>
    </w:p>
    <w:p w14:paraId="441A60E8" w14:textId="77777777" w:rsidR="00943041" w:rsidRPr="005674D6" w:rsidRDefault="00943041" w:rsidP="00646036">
      <w:pPr>
        <w:rPr>
          <w:lang w:val="en"/>
        </w:rPr>
        <w:sectPr w:rsidR="00943041" w:rsidRPr="005674D6" w:rsidSect="00B875F3">
          <w:headerReference w:type="default" r:id="rId60"/>
          <w:headerReference w:type="first" r:id="rId61"/>
          <w:pgSz w:w="12240" w:h="15840" w:code="1"/>
          <w:pgMar w:top="1080" w:right="1080" w:bottom="1080" w:left="1080" w:header="720" w:footer="720" w:gutter="0"/>
          <w:cols w:space="708"/>
          <w:titlePg/>
          <w:docGrid w:linePitch="360"/>
        </w:sectPr>
      </w:pPr>
    </w:p>
    <w:p w14:paraId="43CD6E23" w14:textId="13A8F077" w:rsidR="00B84CCC" w:rsidRPr="0094443C" w:rsidRDefault="00C524DF" w:rsidP="0094443C">
      <w:pPr>
        <w:pStyle w:val="Heading1"/>
      </w:pPr>
      <w:bookmarkStart w:id="15" w:name="_Toc243048303"/>
      <w:r w:rsidRPr="0094443C">
        <w:t xml:space="preserve">Section 4: </w:t>
      </w:r>
      <w:r w:rsidR="2AA63421" w:rsidRPr="0094443C">
        <w:t>Reference-Based Pricing</w:t>
      </w:r>
      <w:bookmarkEnd w:id="15"/>
    </w:p>
    <w:p w14:paraId="0E0D908C" w14:textId="77777777" w:rsidR="00B45CAB" w:rsidRPr="005674D6" w:rsidRDefault="47B5760B" w:rsidP="0094443C">
      <w:pPr>
        <w:pStyle w:val="NonTOCHeading"/>
        <w:rPr>
          <w:lang w:val="en"/>
        </w:rPr>
      </w:pPr>
      <w:r w:rsidRPr="7D95DB54">
        <w:rPr>
          <w:lang w:val="en"/>
        </w:rPr>
        <w:t>Contributors</w:t>
      </w:r>
    </w:p>
    <w:tbl>
      <w:tblPr>
        <w:tblW w:w="5000" w:type="pct"/>
        <w:tblBorders>
          <w:top w:val="none" w:sz="12" w:space="0" w:color="000000"/>
          <w:left w:val="none" w:sz="12" w:space="0" w:color="000000"/>
          <w:bottom w:val="single" w:sz="4" w:space="0" w:color="000000"/>
          <w:right w:val="none" w:sz="12" w:space="0" w:color="000000"/>
          <w:insideH w:val="none" w:sz="12" w:space="0" w:color="000000"/>
          <w:insideV w:val="none" w:sz="12" w:space="0" w:color="000000"/>
        </w:tblBorders>
        <w:tblLook w:val="0620" w:firstRow="1" w:lastRow="0" w:firstColumn="0" w:lastColumn="0" w:noHBand="1" w:noVBand="1"/>
      </w:tblPr>
      <w:tblGrid>
        <w:gridCol w:w="2252"/>
        <w:gridCol w:w="4461"/>
        <w:gridCol w:w="3367"/>
      </w:tblGrid>
      <w:tr w:rsidR="00E45635" w:rsidRPr="005674D6" w14:paraId="4D4D4B97" w14:textId="77777777" w:rsidTr="52B404F0">
        <w:trPr>
          <w:trHeight w:val="450"/>
          <w:tblHeader/>
        </w:trPr>
        <w:tc>
          <w:tcPr>
            <w:tcW w:w="1117" w:type="pct"/>
            <w:tcBorders>
              <w:top w:val="single" w:sz="4" w:space="0" w:color="000000" w:themeColor="text1"/>
              <w:bottom w:val="single" w:sz="4" w:space="0" w:color="000000" w:themeColor="text1"/>
            </w:tcBorders>
            <w:shd w:val="clear" w:color="auto" w:fill="F2F2F2" w:themeFill="background2" w:themeFillShade="F2"/>
            <w:vAlign w:val="center"/>
          </w:tcPr>
          <w:p w14:paraId="58F83F52" w14:textId="77777777" w:rsidR="00E45635" w:rsidRPr="005674D6" w:rsidRDefault="780C0246" w:rsidP="7D95DB54">
            <w:pPr>
              <w:rPr>
                <w:b/>
                <w:bCs/>
                <w:lang w:val="en"/>
              </w:rPr>
            </w:pPr>
            <w:r w:rsidRPr="7D95DB54">
              <w:rPr>
                <w:b/>
                <w:bCs/>
                <w:lang w:val="en"/>
              </w:rPr>
              <w:t>Contributors</w:t>
            </w:r>
          </w:p>
        </w:tc>
        <w:tc>
          <w:tcPr>
            <w:tcW w:w="2213" w:type="pct"/>
            <w:tcBorders>
              <w:top w:val="single" w:sz="4" w:space="0" w:color="000000" w:themeColor="text1"/>
              <w:bottom w:val="single" w:sz="4" w:space="0" w:color="000000" w:themeColor="text1"/>
            </w:tcBorders>
            <w:shd w:val="clear" w:color="auto" w:fill="F2F2F2" w:themeFill="background2" w:themeFillShade="F2"/>
            <w:vAlign w:val="center"/>
          </w:tcPr>
          <w:p w14:paraId="46A21D08" w14:textId="77777777" w:rsidR="00E45635" w:rsidRPr="005674D6" w:rsidRDefault="780C0246" w:rsidP="7D95DB54">
            <w:pPr>
              <w:rPr>
                <w:b/>
                <w:bCs/>
                <w:lang w:val="en"/>
              </w:rPr>
            </w:pPr>
            <w:r w:rsidRPr="7D95DB54">
              <w:rPr>
                <w:b/>
                <w:bCs/>
                <w:lang w:val="en"/>
              </w:rPr>
              <w:t>Titles of Contributors</w:t>
            </w:r>
          </w:p>
        </w:tc>
        <w:tc>
          <w:tcPr>
            <w:tcW w:w="1670" w:type="pct"/>
            <w:tcBorders>
              <w:top w:val="single" w:sz="4" w:space="0" w:color="000000" w:themeColor="text1"/>
              <w:bottom w:val="single" w:sz="4" w:space="0" w:color="000000" w:themeColor="text1"/>
            </w:tcBorders>
            <w:shd w:val="clear" w:color="auto" w:fill="F2F2F2" w:themeFill="background2" w:themeFillShade="F2"/>
            <w:vAlign w:val="center"/>
          </w:tcPr>
          <w:p w14:paraId="5440997E" w14:textId="77777777" w:rsidR="00E45635" w:rsidRPr="005674D6" w:rsidRDefault="780C0246" w:rsidP="7D95DB54">
            <w:pPr>
              <w:rPr>
                <w:b/>
                <w:bCs/>
                <w:lang w:val="en"/>
              </w:rPr>
            </w:pPr>
            <w:r w:rsidRPr="7D95DB54">
              <w:rPr>
                <w:b/>
                <w:bCs/>
                <w:lang w:val="en"/>
              </w:rPr>
              <w:t>States of Contributors</w:t>
            </w:r>
          </w:p>
        </w:tc>
      </w:tr>
      <w:tr w:rsidR="00E45635" w:rsidRPr="005674D6" w14:paraId="35E9EC3A" w14:textId="77777777" w:rsidTr="52B404F0">
        <w:trPr>
          <w:trHeight w:val="300"/>
        </w:trPr>
        <w:tc>
          <w:tcPr>
            <w:tcW w:w="1117" w:type="pct"/>
            <w:tcBorders>
              <w:top w:val="single" w:sz="4" w:space="0" w:color="000000" w:themeColor="text1"/>
              <w:bottom w:val="single" w:sz="4" w:space="0" w:color="000000" w:themeColor="text1"/>
            </w:tcBorders>
            <w:vAlign w:val="center"/>
          </w:tcPr>
          <w:p w14:paraId="2959D160" w14:textId="77777777" w:rsidR="00E45635" w:rsidRPr="005674D6" w:rsidRDefault="780C0246" w:rsidP="7D95DB54">
            <w:pPr>
              <w:rPr>
                <w:lang w:val="en"/>
              </w:rPr>
            </w:pPr>
            <w:r w:rsidRPr="7D95DB54">
              <w:rPr>
                <w:lang w:val="en"/>
              </w:rPr>
              <w:t>Sarah Bailey</w:t>
            </w:r>
          </w:p>
        </w:tc>
        <w:tc>
          <w:tcPr>
            <w:tcW w:w="2213" w:type="pct"/>
            <w:tcBorders>
              <w:top w:val="single" w:sz="4" w:space="0" w:color="000000" w:themeColor="text1"/>
              <w:bottom w:val="single" w:sz="4" w:space="0" w:color="000000" w:themeColor="text1"/>
            </w:tcBorders>
            <w:vAlign w:val="center"/>
          </w:tcPr>
          <w:p w14:paraId="75C20A77" w14:textId="77777777" w:rsidR="00E45635" w:rsidRPr="005674D6" w:rsidRDefault="780C0246" w:rsidP="7D95DB54">
            <w:pPr>
              <w:rPr>
                <w:lang w:val="en"/>
              </w:rPr>
            </w:pPr>
            <w:r w:rsidRPr="7D95DB54">
              <w:rPr>
                <w:lang w:val="en"/>
              </w:rPr>
              <w:t>Life and Health Supervisor</w:t>
            </w:r>
          </w:p>
        </w:tc>
        <w:tc>
          <w:tcPr>
            <w:tcW w:w="1670" w:type="pct"/>
            <w:tcBorders>
              <w:top w:val="single" w:sz="4" w:space="0" w:color="000000" w:themeColor="text1"/>
              <w:bottom w:val="single" w:sz="4" w:space="0" w:color="000000" w:themeColor="text1"/>
            </w:tcBorders>
            <w:vAlign w:val="center"/>
          </w:tcPr>
          <w:p w14:paraId="30187915" w14:textId="77777777" w:rsidR="00E45635" w:rsidRPr="005674D6" w:rsidRDefault="780C0246" w:rsidP="7D95DB54">
            <w:pPr>
              <w:rPr>
                <w:lang w:val="en"/>
              </w:rPr>
            </w:pPr>
            <w:r w:rsidRPr="7D95DB54">
              <w:rPr>
                <w:lang w:val="en"/>
              </w:rPr>
              <w:t>Alaska</w:t>
            </w:r>
          </w:p>
        </w:tc>
      </w:tr>
      <w:tr w:rsidR="00E45635" w:rsidRPr="005674D6" w14:paraId="7794A213" w14:textId="77777777" w:rsidTr="52B404F0">
        <w:trPr>
          <w:trHeight w:val="495"/>
        </w:trPr>
        <w:tc>
          <w:tcPr>
            <w:tcW w:w="1117" w:type="pct"/>
            <w:tcBorders>
              <w:top w:val="single" w:sz="4" w:space="0" w:color="000000" w:themeColor="text1"/>
              <w:bottom w:val="single" w:sz="4" w:space="0" w:color="000000" w:themeColor="text1"/>
            </w:tcBorders>
            <w:vAlign w:val="center"/>
          </w:tcPr>
          <w:p w14:paraId="6A183F7D" w14:textId="77777777" w:rsidR="00E45635" w:rsidRPr="005674D6" w:rsidRDefault="780C0246" w:rsidP="7D95DB54">
            <w:pPr>
              <w:rPr>
                <w:lang w:val="en"/>
              </w:rPr>
            </w:pPr>
            <w:r w:rsidRPr="7D95DB54">
              <w:rPr>
                <w:lang w:val="en"/>
              </w:rPr>
              <w:t>Kate Harris</w:t>
            </w:r>
          </w:p>
        </w:tc>
        <w:tc>
          <w:tcPr>
            <w:tcW w:w="2213" w:type="pct"/>
            <w:tcBorders>
              <w:top w:val="single" w:sz="4" w:space="0" w:color="000000" w:themeColor="text1"/>
              <w:bottom w:val="single" w:sz="4" w:space="0" w:color="000000" w:themeColor="text1"/>
            </w:tcBorders>
            <w:vAlign w:val="center"/>
          </w:tcPr>
          <w:p w14:paraId="3F48971F" w14:textId="77777777" w:rsidR="00E45635" w:rsidRPr="005674D6" w:rsidRDefault="780C0246" w:rsidP="7D95DB54">
            <w:pPr>
              <w:rPr>
                <w:lang w:val="en"/>
              </w:rPr>
            </w:pPr>
            <w:r w:rsidRPr="7D95DB54">
              <w:rPr>
                <w:lang w:val="en"/>
              </w:rPr>
              <w:t>Chief Deputy Commissioner, Division of Insurance</w:t>
            </w:r>
          </w:p>
        </w:tc>
        <w:tc>
          <w:tcPr>
            <w:tcW w:w="1670" w:type="pct"/>
            <w:tcBorders>
              <w:top w:val="single" w:sz="4" w:space="0" w:color="000000" w:themeColor="text1"/>
              <w:bottom w:val="single" w:sz="4" w:space="0" w:color="000000" w:themeColor="text1"/>
            </w:tcBorders>
            <w:vAlign w:val="center"/>
          </w:tcPr>
          <w:p w14:paraId="5EDA4BA3" w14:textId="77777777" w:rsidR="00E45635" w:rsidRPr="005674D6" w:rsidRDefault="780C0246" w:rsidP="7D95DB54">
            <w:pPr>
              <w:rPr>
                <w:lang w:val="en"/>
              </w:rPr>
            </w:pPr>
            <w:r w:rsidRPr="7D95DB54">
              <w:rPr>
                <w:lang w:val="en"/>
              </w:rPr>
              <w:t>Colorado</w:t>
            </w:r>
          </w:p>
        </w:tc>
      </w:tr>
      <w:tr w:rsidR="00E45635" w:rsidRPr="005674D6" w14:paraId="4A400622" w14:textId="77777777" w:rsidTr="52B404F0">
        <w:trPr>
          <w:trHeight w:val="300"/>
        </w:trPr>
        <w:tc>
          <w:tcPr>
            <w:tcW w:w="1117" w:type="pct"/>
            <w:tcBorders>
              <w:top w:val="single" w:sz="4" w:space="0" w:color="000000" w:themeColor="text1"/>
              <w:bottom w:val="single" w:sz="4" w:space="0" w:color="000000" w:themeColor="text1"/>
            </w:tcBorders>
            <w:vAlign w:val="center"/>
          </w:tcPr>
          <w:p w14:paraId="1C1AA864" w14:textId="77777777" w:rsidR="00E45635" w:rsidRPr="005674D6" w:rsidRDefault="780C0246" w:rsidP="7D95DB54">
            <w:pPr>
              <w:rPr>
                <w:lang w:val="en"/>
              </w:rPr>
            </w:pPr>
            <w:r w:rsidRPr="7D95DB54">
              <w:rPr>
                <w:lang w:val="en"/>
              </w:rPr>
              <w:t>Maddie Davis</w:t>
            </w:r>
          </w:p>
        </w:tc>
        <w:tc>
          <w:tcPr>
            <w:tcW w:w="2213" w:type="pct"/>
            <w:tcBorders>
              <w:top w:val="single" w:sz="4" w:space="0" w:color="000000" w:themeColor="text1"/>
              <w:bottom w:val="single" w:sz="4" w:space="0" w:color="000000" w:themeColor="text1"/>
            </w:tcBorders>
            <w:vAlign w:val="center"/>
          </w:tcPr>
          <w:p w14:paraId="45BAD6F9" w14:textId="77777777" w:rsidR="00E45635" w:rsidRPr="005674D6" w:rsidRDefault="780C0246" w:rsidP="7D95DB54">
            <w:r>
              <w:t>Colorado Option Program Administrator</w:t>
            </w:r>
          </w:p>
        </w:tc>
        <w:tc>
          <w:tcPr>
            <w:tcW w:w="1670" w:type="pct"/>
            <w:tcBorders>
              <w:top w:val="single" w:sz="4" w:space="0" w:color="000000" w:themeColor="text1"/>
              <w:bottom w:val="single" w:sz="4" w:space="0" w:color="000000" w:themeColor="text1"/>
            </w:tcBorders>
            <w:vAlign w:val="center"/>
          </w:tcPr>
          <w:p w14:paraId="2BD5F5B6" w14:textId="77777777" w:rsidR="00E45635" w:rsidRPr="005674D6" w:rsidRDefault="780C0246" w:rsidP="7D95DB54">
            <w:pPr>
              <w:rPr>
                <w:lang w:val="en"/>
              </w:rPr>
            </w:pPr>
            <w:r w:rsidRPr="7D95DB54">
              <w:rPr>
                <w:lang w:val="en"/>
              </w:rPr>
              <w:t>Colorado</w:t>
            </w:r>
          </w:p>
        </w:tc>
      </w:tr>
      <w:tr w:rsidR="00E45635" w:rsidRPr="005674D6" w14:paraId="58249B9E" w14:textId="77777777" w:rsidTr="52B404F0">
        <w:trPr>
          <w:trHeight w:val="374"/>
        </w:trPr>
        <w:tc>
          <w:tcPr>
            <w:tcW w:w="1117" w:type="pct"/>
            <w:tcBorders>
              <w:top w:val="single" w:sz="4" w:space="0" w:color="000000" w:themeColor="text1"/>
              <w:bottom w:val="single" w:sz="4" w:space="0" w:color="000000" w:themeColor="text1"/>
            </w:tcBorders>
            <w:vAlign w:val="center"/>
          </w:tcPr>
          <w:p w14:paraId="153816FA" w14:textId="77777777" w:rsidR="00E45635" w:rsidRPr="005674D6" w:rsidRDefault="780C0246" w:rsidP="7D95DB54">
            <w:pPr>
              <w:rPr>
                <w:lang w:val="en"/>
              </w:rPr>
            </w:pPr>
            <w:r w:rsidRPr="7D95DB54">
              <w:rPr>
                <w:lang w:val="en"/>
              </w:rPr>
              <w:t>Lindsi Swartz</w:t>
            </w:r>
          </w:p>
        </w:tc>
        <w:tc>
          <w:tcPr>
            <w:tcW w:w="2213" w:type="pct"/>
            <w:tcBorders>
              <w:top w:val="single" w:sz="4" w:space="0" w:color="000000" w:themeColor="text1"/>
              <w:bottom w:val="single" w:sz="4" w:space="0" w:color="000000" w:themeColor="text1"/>
            </w:tcBorders>
            <w:vAlign w:val="center"/>
          </w:tcPr>
          <w:p w14:paraId="23D63962" w14:textId="77777777" w:rsidR="00E45635" w:rsidRPr="005674D6" w:rsidRDefault="780C0246" w:rsidP="7D95DB54">
            <w:r>
              <w:t>Senior Advisor to the Insurance Commissioner</w:t>
            </w:r>
          </w:p>
        </w:tc>
        <w:tc>
          <w:tcPr>
            <w:tcW w:w="1670" w:type="pct"/>
            <w:tcBorders>
              <w:top w:val="single" w:sz="4" w:space="0" w:color="000000" w:themeColor="text1"/>
              <w:bottom w:val="single" w:sz="4" w:space="0" w:color="000000" w:themeColor="text1"/>
            </w:tcBorders>
            <w:vAlign w:val="center"/>
          </w:tcPr>
          <w:p w14:paraId="6C641FCB" w14:textId="77777777" w:rsidR="00E45635" w:rsidRPr="005674D6" w:rsidRDefault="780C0246" w:rsidP="7D95DB54">
            <w:pPr>
              <w:rPr>
                <w:lang w:val="en"/>
              </w:rPr>
            </w:pPr>
            <w:r w:rsidRPr="7D95DB54">
              <w:rPr>
                <w:lang w:val="en"/>
              </w:rPr>
              <w:t>Pennsylvania</w:t>
            </w:r>
          </w:p>
        </w:tc>
      </w:tr>
      <w:tr w:rsidR="00E45635" w:rsidRPr="005674D6" w14:paraId="4DBE2B16" w14:textId="77777777" w:rsidTr="52B404F0">
        <w:trPr>
          <w:trHeight w:val="420"/>
        </w:trPr>
        <w:tc>
          <w:tcPr>
            <w:tcW w:w="1117" w:type="pct"/>
            <w:tcBorders>
              <w:top w:val="single" w:sz="4" w:space="0" w:color="000000" w:themeColor="text1"/>
            </w:tcBorders>
            <w:vAlign w:val="center"/>
          </w:tcPr>
          <w:p w14:paraId="0F72D365" w14:textId="77777777" w:rsidR="00E45635" w:rsidRPr="005674D6" w:rsidRDefault="780C0246" w:rsidP="7D95DB54">
            <w:pPr>
              <w:rPr>
                <w:lang w:val="en"/>
              </w:rPr>
            </w:pPr>
            <w:r w:rsidRPr="7D95DB54">
              <w:rPr>
                <w:lang w:val="en"/>
              </w:rPr>
              <w:t>Rachel Bowden</w:t>
            </w:r>
          </w:p>
        </w:tc>
        <w:tc>
          <w:tcPr>
            <w:tcW w:w="2213" w:type="pct"/>
            <w:tcBorders>
              <w:top w:val="single" w:sz="4" w:space="0" w:color="000000" w:themeColor="text1"/>
            </w:tcBorders>
            <w:vAlign w:val="center"/>
          </w:tcPr>
          <w:p w14:paraId="432478BF" w14:textId="77777777" w:rsidR="00E45635" w:rsidRPr="005674D6" w:rsidRDefault="780C0246" w:rsidP="7D95DB54">
            <w:pPr>
              <w:rPr>
                <w:lang w:val="en"/>
              </w:rPr>
            </w:pPr>
            <w:r w:rsidRPr="7D95DB54">
              <w:rPr>
                <w:lang w:val="en"/>
              </w:rPr>
              <w:t>Director of Regulatory Initiatives for Life and Health</w:t>
            </w:r>
          </w:p>
        </w:tc>
        <w:tc>
          <w:tcPr>
            <w:tcW w:w="1670" w:type="pct"/>
            <w:tcBorders>
              <w:top w:val="single" w:sz="4" w:space="0" w:color="000000" w:themeColor="text1"/>
            </w:tcBorders>
            <w:vAlign w:val="center"/>
          </w:tcPr>
          <w:p w14:paraId="693913EC" w14:textId="77777777" w:rsidR="00E45635" w:rsidRPr="005674D6" w:rsidRDefault="780C0246" w:rsidP="7D95DB54">
            <w:pPr>
              <w:rPr>
                <w:lang w:val="en"/>
              </w:rPr>
            </w:pPr>
            <w:r w:rsidRPr="7D95DB54">
              <w:rPr>
                <w:lang w:val="en"/>
              </w:rPr>
              <w:t>Texas</w:t>
            </w:r>
          </w:p>
        </w:tc>
      </w:tr>
    </w:tbl>
    <w:p w14:paraId="0D884DDF" w14:textId="77777777" w:rsidR="002A2F15" w:rsidRPr="005674D6" w:rsidRDefault="002A2F15" w:rsidP="00646036">
      <w:pPr>
        <w:rPr>
          <w:lang w:val="en"/>
        </w:rPr>
      </w:pPr>
    </w:p>
    <w:p w14:paraId="53BD1275" w14:textId="2CF35172" w:rsidR="00B45CAB" w:rsidRPr="005674D6" w:rsidRDefault="00B45CAB" w:rsidP="0094443C">
      <w:pPr>
        <w:pStyle w:val="NonTOCHeading"/>
        <w:rPr>
          <w:bCs/>
          <w:lang w:val="en"/>
        </w:rPr>
      </w:pPr>
      <w:r w:rsidRPr="005674D6">
        <w:rPr>
          <w:lang w:val="en"/>
        </w:rPr>
        <w:t>Connection to Affordability</w:t>
      </w:r>
    </w:p>
    <w:p w14:paraId="4111F8A5" w14:textId="3108D34F" w:rsidR="002A2F15" w:rsidRPr="005674D6" w:rsidRDefault="298B7EDD" w:rsidP="00C53BA8">
      <w:pPr>
        <w:rPr>
          <w:lang w:val="en"/>
        </w:rPr>
      </w:pPr>
      <w:r>
        <w:t>The level of insurer payments to health care providers is a key part of pricing a health insurance policy. Reference</w:t>
      </w:r>
      <w:r w:rsidR="15D14F3A">
        <w:t>-</w:t>
      </w:r>
      <w:r>
        <w:t xml:space="preserve">based pricing (RBP) largely means setting payment levels for </w:t>
      </w:r>
      <w:r w:rsidR="00192162">
        <w:t>covered</w:t>
      </w:r>
      <w:r>
        <w:t xml:space="preserve"> services</w:t>
      </w:r>
      <w:r w:rsidR="00F100A6">
        <w:t xml:space="preserve"> by reference to a third-party standard</w:t>
      </w:r>
      <w:r w:rsidR="00FC3B19">
        <w:t>, rather than through</w:t>
      </w:r>
      <w:r w:rsidR="00F100A6">
        <w:t xml:space="preserve"> pay</w:t>
      </w:r>
      <w:r w:rsidR="00A82FCE">
        <w:t>e</w:t>
      </w:r>
      <w:r w:rsidR="00F100A6">
        <w:t>r-provider negotiations. RBP is often used for non-network services</w:t>
      </w:r>
      <w:r>
        <w:t xml:space="preserve">, such as emergency or urgent services or when a network provider is unavailable or inaccessible. Some states and self-funded plans have set prices </w:t>
      </w:r>
      <w:r w:rsidR="00FC3B19">
        <w:t>for</w:t>
      </w:r>
      <w:r>
        <w:t xml:space="preserve"> their plans as a cost containment mechanism, either through reference-based pricing or other limits on prices, referred to in this section as reference-based pricing adjacent policies.</w:t>
      </w:r>
      <w:r w:rsidR="00C53BA8">
        <w:br/>
      </w:r>
    </w:p>
    <w:p w14:paraId="3AE5A3B8" w14:textId="398F147E" w:rsidR="00B45CAB" w:rsidRPr="005674D6" w:rsidRDefault="00B45CAB" w:rsidP="0094443C">
      <w:pPr>
        <w:pStyle w:val="NonTOCHeading"/>
        <w:rPr>
          <w:bCs/>
          <w:sz w:val="24"/>
          <w:szCs w:val="24"/>
          <w:lang w:val="en"/>
        </w:rPr>
      </w:pPr>
      <w:r w:rsidRPr="005674D6">
        <w:rPr>
          <w:lang w:val="en"/>
        </w:rPr>
        <w:t>Introduction</w:t>
      </w:r>
    </w:p>
    <w:p w14:paraId="16C6A51C" w14:textId="0049A195" w:rsidR="00B45CAB" w:rsidRPr="005674D6" w:rsidRDefault="298B7EDD" w:rsidP="00646036">
      <w:bookmarkStart w:id="16" w:name="_hnp34flmehnv"/>
      <w:bookmarkEnd w:id="16"/>
      <w:r>
        <w:t>Regulators and others have looked at Reference</w:t>
      </w:r>
      <w:r w:rsidR="48351DB1">
        <w:t>-</w:t>
      </w:r>
      <w:r>
        <w:t>Based Pricing (RBP) in health care to try to answer two complex questions: “What amount of payment is too little?” and “What amount of charge is too much?” The far ends of balance between these questions can facilitate fraud, waste, and abuse, inflating premiums, draining resources, and reducing quality of care.</w:t>
      </w:r>
    </w:p>
    <w:p w14:paraId="7C9E224D" w14:textId="687FB028" w:rsidR="52B404F0" w:rsidRDefault="52B404F0"/>
    <w:p w14:paraId="5DB8DFCA" w14:textId="77777777" w:rsidR="00B45CAB" w:rsidRPr="005674D6" w:rsidRDefault="00B45CAB" w:rsidP="00646036">
      <w:pPr>
        <w:rPr>
          <w:rFonts w:ascii="Inter" w:eastAsia="Inter" w:hAnsi="Inter" w:cs="Inter"/>
          <w:lang w:val="en"/>
        </w:rPr>
      </w:pPr>
      <w:r w:rsidRPr="005674D6">
        <w:t>Insurers and other payers often seek contracted payment rates with health care providers, but when such a payment arrangement cannot be reached, a payment amount must be determined. Payers do not typically pay the billed charge. Reference price standards may set thresholds for network contracts but also provide a minimum or maximum payment in the absence of a network contract. This may be applicable in emergency situations, where network adequacy is lacking, or where state laws require coverage for out-of-network benefits. A reference price establishes a payment threshold; it does not, by itself, establish the quality, appropriateness, or value of care.</w:t>
      </w:r>
    </w:p>
    <w:p w14:paraId="186E2034" w14:textId="77777777" w:rsidR="00B45CAB" w:rsidRPr="005674D6" w:rsidRDefault="00B45CAB" w:rsidP="00646036"/>
    <w:p w14:paraId="53D619DF" w14:textId="5E6E374C" w:rsidR="00B45CAB" w:rsidRPr="005674D6" w:rsidRDefault="298B7EDD" w:rsidP="00646036">
      <w:bookmarkStart w:id="17" w:name="_q56440kkkcid"/>
      <w:bookmarkEnd w:id="17"/>
      <w:r>
        <w:t>Reference</w:t>
      </w:r>
      <w:r w:rsidR="3F8E28EA">
        <w:t>-</w:t>
      </w:r>
      <w:r>
        <w:t xml:space="preserve">based pricing is a tool used by health plans to set health care payment rates using a reference price, rather than a negotiated rate. The reference price could be a percentage of the Medicare rate or another </w:t>
      </w:r>
      <w:r w:rsidR="7605FF81">
        <w:t>publicly-available</w:t>
      </w:r>
      <w:r>
        <w:t xml:space="preserve"> source, or a proprietary rate established by the health plan. Payments that differ from a reference amount may recognize variations within clinical outcomes, patient complexity, access, continuity of care, geography, and other factors. </w:t>
      </w:r>
    </w:p>
    <w:p w14:paraId="57AB5594" w14:textId="77777777" w:rsidR="00B45CAB" w:rsidRPr="005674D6" w:rsidRDefault="00B45CAB" w:rsidP="00646036"/>
    <w:p w14:paraId="62FEF93D" w14:textId="77777777" w:rsidR="00B45CAB" w:rsidRPr="005674D6" w:rsidRDefault="00B45CAB" w:rsidP="00646036">
      <w:r w:rsidRPr="005674D6">
        <w:t xml:space="preserve">Some reference-based pricing models establish a reimbursement benchmark without requiring providers to </w:t>
      </w:r>
    </w:p>
    <w:p w14:paraId="7568714C" w14:textId="20B7FE56" w:rsidR="00B45CAB" w:rsidRPr="005674D6" w:rsidRDefault="00B45CAB" w:rsidP="00646036">
      <w:r w:rsidRPr="005674D6">
        <w:t>accept the payment amount as payment in full. In these arrangements, patients may remain exposed to balance bills if a provider does not accept the reference-based payment amount.</w:t>
      </w:r>
    </w:p>
    <w:p w14:paraId="42CF6BA4" w14:textId="77777777" w:rsidR="00B45CAB" w:rsidRPr="005674D6" w:rsidRDefault="00B45CAB" w:rsidP="00646036"/>
    <w:p w14:paraId="2A61564F" w14:textId="77777777" w:rsidR="00B45CAB" w:rsidRPr="005674D6" w:rsidRDefault="00B45CAB" w:rsidP="00646036">
      <w:r w:rsidRPr="005674D6">
        <w:t xml:space="preserve">Policymakers evaluating reference-based pricing strategies may wish to consider safeguards designed to </w:t>
      </w:r>
    </w:p>
    <w:p w14:paraId="7338E578" w14:textId="77777777" w:rsidR="00B45CAB" w:rsidRPr="005674D6" w:rsidRDefault="00B45CAB" w:rsidP="00646036">
      <w:r w:rsidRPr="005674D6">
        <w:t xml:space="preserve">minimize patient confusion and unexpected financial liability, including clear enrollee disclosures, patient </w:t>
      </w:r>
    </w:p>
    <w:p w14:paraId="68C82573" w14:textId="77777777" w:rsidR="00B45CAB" w:rsidRPr="005674D6" w:rsidRDefault="00B45CAB" w:rsidP="00646036">
      <w:r w:rsidRPr="005674D6">
        <w:t xml:space="preserve">advocacy services, and protections against balance billing where appropriate. As a result, reference-based </w:t>
      </w:r>
    </w:p>
    <w:p w14:paraId="6151AC87" w14:textId="77777777" w:rsidR="00B45CAB" w:rsidRPr="005674D6" w:rsidRDefault="00B45CAB" w:rsidP="00646036">
      <w:r w:rsidRPr="005674D6">
        <w:t xml:space="preserve">pricing models can present both opportunities for cost containment and consumer protection considerations </w:t>
      </w:r>
    </w:p>
    <w:p w14:paraId="1554ABA2" w14:textId="77777777" w:rsidR="00B45CAB" w:rsidRPr="005674D6" w:rsidRDefault="00B45CAB" w:rsidP="00646036">
      <w:r w:rsidRPr="005674D6">
        <w:t>that should be evaluated together.</w:t>
      </w:r>
    </w:p>
    <w:p w14:paraId="63025751" w14:textId="77777777" w:rsidR="002A2F15" w:rsidRPr="00C53BA8" w:rsidRDefault="002A2F15" w:rsidP="00C53BA8">
      <w:pPr>
        <w:rPr>
          <w:b/>
          <w:bCs/>
        </w:rPr>
      </w:pPr>
    </w:p>
    <w:p w14:paraId="6C49319A" w14:textId="77777777" w:rsidR="00B45CAB" w:rsidRPr="00C53BA8" w:rsidRDefault="47B5760B" w:rsidP="00C53BA8">
      <w:pPr>
        <w:rPr>
          <w:b/>
          <w:bCs/>
          <w:lang w:val="en"/>
        </w:rPr>
      </w:pPr>
      <w:r w:rsidRPr="00C53BA8">
        <w:rPr>
          <w:b/>
          <w:bCs/>
          <w:lang w:val="en"/>
        </w:rPr>
        <w:t xml:space="preserve">Traditional major medical plans </w:t>
      </w:r>
    </w:p>
    <w:p w14:paraId="4F00D349" w14:textId="61DC8807" w:rsidR="00B45CAB" w:rsidRPr="005674D6" w:rsidRDefault="298B7EDD" w:rsidP="00646036">
      <w:pPr>
        <w:rPr>
          <w:lang w:val="en"/>
        </w:rPr>
      </w:pPr>
      <w:r>
        <w:t xml:space="preserve">Traditional major medical indemnity plans paid on an expenses-incurred basis up to a limit—typically the "usual and customary rate" (UCR). The UCR represented what </w:t>
      </w:r>
      <w:r w:rsidR="00A82FCE">
        <w:t>payer</w:t>
      </w:r>
      <w:r>
        <w:t xml:space="preserve">s felt was a fair market price, based on what health care providers in a market normally charged. </w:t>
      </w:r>
    </w:p>
    <w:p w14:paraId="2A8D9FE4" w14:textId="77777777" w:rsidR="002A2F15" w:rsidRPr="005674D6" w:rsidRDefault="002A2F15" w:rsidP="00646036">
      <w:pPr>
        <w:rPr>
          <w:lang w:val="en"/>
        </w:rPr>
      </w:pPr>
    </w:p>
    <w:p w14:paraId="6DB6788D" w14:textId="77777777" w:rsidR="00B45CAB" w:rsidRPr="00C53BA8" w:rsidRDefault="47B5760B" w:rsidP="00C53BA8">
      <w:pPr>
        <w:rPr>
          <w:b/>
          <w:bCs/>
          <w:lang w:val="en"/>
        </w:rPr>
      </w:pPr>
      <w:r w:rsidRPr="00C53BA8">
        <w:rPr>
          <w:b/>
          <w:bCs/>
          <w:lang w:val="en"/>
        </w:rPr>
        <w:t>Out-of-network payment standards</w:t>
      </w:r>
    </w:p>
    <w:p w14:paraId="0C3B9BAF" w14:textId="1F3C675E" w:rsidR="00B45CAB" w:rsidRPr="005674D6" w:rsidRDefault="00B45CAB" w:rsidP="00646036">
      <w:r w:rsidRPr="005674D6">
        <w:t xml:space="preserve">When managed care plans emerged, </w:t>
      </w:r>
      <w:r w:rsidR="00A82FCE">
        <w:t>payer</w:t>
      </w:r>
      <w:r w:rsidRPr="005674D6">
        <w:t>s negotiated in-network rates and continued using UCR as an out-of-network payment methodology. As billed charges moved further away from negotiated rates, plans looked for alternative out-of-network payment methodologies, with many plans using a percentage of the Medicare rate. For out-of-network care governed by the No Surprises Act, in the absence of a state-regulated payment standard, plans must consider the qualifying payment amount (QPA) when calculating consumer cost sharing, which is generally the plan’s median contracted rate on January 31, 2019, increased for inflation. This amount is also part of the federal independent dispute resolution process.</w:t>
      </w:r>
    </w:p>
    <w:p w14:paraId="4E5EC6AE" w14:textId="77777777" w:rsidR="002A2F15" w:rsidRPr="005674D6" w:rsidRDefault="002A2F15" w:rsidP="00646036"/>
    <w:p w14:paraId="65D02FC2" w14:textId="77777777" w:rsidR="00B45CAB" w:rsidRPr="00C53BA8" w:rsidRDefault="47B5760B" w:rsidP="00C53BA8">
      <w:pPr>
        <w:rPr>
          <w:b/>
          <w:bCs/>
          <w:lang w:val="en"/>
        </w:rPr>
      </w:pPr>
      <w:r w:rsidRPr="00C53BA8">
        <w:rPr>
          <w:b/>
          <w:bCs/>
          <w:lang w:val="en"/>
        </w:rPr>
        <w:t>ERISA plans and state employee plans</w:t>
      </w:r>
    </w:p>
    <w:p w14:paraId="7EC5259A" w14:textId="77777777" w:rsidR="00B45CAB" w:rsidRPr="005674D6" w:rsidRDefault="00B45CAB" w:rsidP="00646036">
      <w:r w:rsidRPr="005674D6">
        <w:t>Recognizing that broad variation in in-network reimbursement rates results in unnecessary claims costs, some self-funded plans use reference pricing as a strategy to maintain broad networks, while steering enrollees towards high value care. For specific services where price variation leads to unnecessary spending and where it is feasible for enrollees to shop in advance of care, the plan sets a reference price as the maximum payment amount. If an enrollee chooses a higher cost provider, they are responsible for any cost beyond the reference price. CMS and DOL provide guidance on how a plan can maintain compliance with ACA requirements in the CMS FAQs About Affordable Care Act Implementation Part XIX and Part XXI.</w:t>
      </w:r>
      <w:r w:rsidRPr="005674D6">
        <w:rPr>
          <w:vertAlign w:val="superscript"/>
        </w:rPr>
        <w:footnoteReference w:id="23"/>
      </w:r>
    </w:p>
    <w:p w14:paraId="0A00FB79" w14:textId="77777777" w:rsidR="002A2F15" w:rsidRPr="005674D6" w:rsidRDefault="002A2F15" w:rsidP="00646036">
      <w:pPr>
        <w:rPr>
          <w:rFonts w:ascii="Inter" w:eastAsia="Inter" w:hAnsi="Inter" w:cs="Inter"/>
          <w:lang w:val="en"/>
        </w:rPr>
      </w:pPr>
    </w:p>
    <w:p w14:paraId="6C407602" w14:textId="77777777" w:rsidR="00B45CAB" w:rsidRPr="00C53BA8" w:rsidRDefault="47B5760B" w:rsidP="00C53BA8">
      <w:pPr>
        <w:rPr>
          <w:b/>
          <w:bCs/>
          <w:lang w:val="en"/>
        </w:rPr>
      </w:pPr>
      <w:r w:rsidRPr="00C53BA8">
        <w:rPr>
          <w:b/>
          <w:bCs/>
          <w:lang w:val="en"/>
        </w:rPr>
        <w:t>Fixed indemnity excepted benefit plans</w:t>
      </w:r>
    </w:p>
    <w:p w14:paraId="7FFC2EAC" w14:textId="77777777" w:rsidR="00B45CAB" w:rsidRPr="005674D6" w:rsidRDefault="00B45CAB" w:rsidP="00646036">
      <w:r w:rsidRPr="005674D6">
        <w:t>In states that permit per-service fixed indemnity plans, some plans base the fixed payment amount on a reference price, with granular service definitions down to the CPT code level. The reference prices are designed to approximate expenses incurred, often using Medicare rates or an approximation of what providers accept as cash prices. Some states have not approved these plans as excepted benefit plans because the reference prices are not "regardless of expenses incurred."</w:t>
      </w:r>
    </w:p>
    <w:p w14:paraId="10F1ED9C" w14:textId="77777777" w:rsidR="002A2F15" w:rsidRPr="005674D6" w:rsidRDefault="002A2F15" w:rsidP="00646036"/>
    <w:p w14:paraId="089777BF" w14:textId="77777777" w:rsidR="00B45CAB" w:rsidRPr="00C53BA8" w:rsidRDefault="47B5760B" w:rsidP="00C53BA8">
      <w:pPr>
        <w:rPr>
          <w:b/>
          <w:bCs/>
          <w:lang w:val="en"/>
        </w:rPr>
      </w:pPr>
      <w:r w:rsidRPr="00C53BA8">
        <w:rPr>
          <w:b/>
          <w:bCs/>
          <w:lang w:val="en"/>
        </w:rPr>
        <w:t>Non-network major medical plans</w:t>
      </w:r>
    </w:p>
    <w:p w14:paraId="35D98639" w14:textId="77777777" w:rsidR="00B45CAB" w:rsidRPr="005674D6" w:rsidRDefault="00B45CAB" w:rsidP="00646036">
      <w:r w:rsidRPr="005674D6">
        <w:t>Some states have approved non-network major medical plans that pay for medical expenses based on proprietary reference prices that are designed to align with what most health care providers accept as cash prices. Starting in 2027</w:t>
      </w:r>
      <w:r w:rsidRPr="005674D6" w:rsidDel="05B0006D">
        <w:t xml:space="preserve">, </w:t>
      </w:r>
      <w:r w:rsidRPr="005674D6">
        <w:t>CMS rules permit these plans to be offered as QHPs on state-based exchanges and on the federal marketplaces in plan year 2028, subject to state approval. Enrollees have the flexibility to use any provider, but any costs beyond the payment amount are not covered by the plan or counted towards the out-of-pocket maximum. This model places the full burden of price discovery and cost calculation on the enrollee at the point of care.</w:t>
      </w:r>
    </w:p>
    <w:p w14:paraId="4A07AD8C" w14:textId="575EAB09" w:rsidR="002A2F15" w:rsidRPr="005674D6" w:rsidRDefault="47B5760B" w:rsidP="00C53BA8">
      <w:pPr>
        <w:pStyle w:val="NonTOCHeading"/>
        <w:rPr>
          <w:lang w:val="en"/>
        </w:rPr>
      </w:pPr>
      <w:r w:rsidRPr="7D95DB54">
        <w:rPr>
          <w:lang w:val="en"/>
        </w:rPr>
        <w:t>Premium Impact and Savings Analysis</w:t>
      </w:r>
    </w:p>
    <w:p w14:paraId="5D121B6E" w14:textId="4A76BA93" w:rsidR="00B45CAB" w:rsidRPr="005674D6" w:rsidRDefault="298B7EDD" w:rsidP="00874BEB">
      <w:pPr>
        <w:rPr>
          <w:rFonts w:ascii="Inter" w:eastAsia="Inter" w:hAnsi="Inter" w:cs="Inter"/>
          <w:lang w:val="en"/>
        </w:rPr>
      </w:pPr>
      <w:r>
        <w:t>The following matrix includes a description of broad policy savings resulting from reference-based</w:t>
      </w:r>
      <w:r w:rsidR="397491DC">
        <w:t xml:space="preserve"> pricing</w:t>
      </w:r>
      <w:r>
        <w:t>.</w:t>
      </w:r>
    </w:p>
    <w:tbl>
      <w:tblPr>
        <w:tblW w:w="5000" w:type="pct"/>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1460"/>
        <w:gridCol w:w="2445"/>
        <w:gridCol w:w="3365"/>
        <w:gridCol w:w="2810"/>
      </w:tblGrid>
      <w:tr w:rsidR="00B45CAB" w:rsidRPr="005674D6" w14:paraId="52BA5C27" w14:textId="77777777" w:rsidTr="7D95DB54">
        <w:trPr>
          <w:trHeight w:val="376"/>
          <w:tblHeader/>
        </w:trPr>
        <w:tc>
          <w:tcPr>
            <w:tcW w:w="724" w:type="pct"/>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vAlign w:val="center"/>
          </w:tcPr>
          <w:p w14:paraId="1AB337E9" w14:textId="77777777" w:rsidR="00B45CAB" w:rsidRPr="005674D6" w:rsidRDefault="47B5760B" w:rsidP="7D95DB54">
            <w:pPr>
              <w:rPr>
                <w:b/>
                <w:bCs/>
                <w:lang w:val="en"/>
              </w:rPr>
            </w:pPr>
            <w:r w:rsidRPr="7D95DB54">
              <w:rPr>
                <w:b/>
                <w:bCs/>
                <w:lang w:val="en"/>
              </w:rPr>
              <w:t>State</w:t>
            </w:r>
          </w:p>
        </w:tc>
        <w:tc>
          <w:tcPr>
            <w:tcW w:w="1213" w:type="pct"/>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vAlign w:val="center"/>
          </w:tcPr>
          <w:p w14:paraId="68749D2A" w14:textId="77777777" w:rsidR="00B45CAB" w:rsidRPr="005674D6" w:rsidRDefault="47B5760B" w:rsidP="7D95DB54">
            <w:pPr>
              <w:rPr>
                <w:b/>
                <w:bCs/>
                <w:lang w:val="en"/>
              </w:rPr>
            </w:pPr>
            <w:r w:rsidRPr="7D95DB54">
              <w:rPr>
                <w:b/>
                <w:bCs/>
                <w:lang w:val="en"/>
              </w:rPr>
              <w:t>Value/Metric</w:t>
            </w:r>
          </w:p>
        </w:tc>
        <w:tc>
          <w:tcPr>
            <w:tcW w:w="1669" w:type="pct"/>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vAlign w:val="center"/>
          </w:tcPr>
          <w:p w14:paraId="5CBE44F3" w14:textId="77777777" w:rsidR="00B45CAB" w:rsidRPr="005674D6" w:rsidRDefault="47B5760B" w:rsidP="7D95DB54">
            <w:pPr>
              <w:rPr>
                <w:b/>
                <w:bCs/>
                <w:lang w:val="en"/>
              </w:rPr>
            </w:pPr>
            <w:r w:rsidRPr="7D95DB54">
              <w:rPr>
                <w:b/>
                <w:bCs/>
                <w:lang w:val="en"/>
              </w:rPr>
              <w:t>Description</w:t>
            </w:r>
          </w:p>
        </w:tc>
        <w:tc>
          <w:tcPr>
            <w:tcW w:w="1394" w:type="pct"/>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vAlign w:val="center"/>
          </w:tcPr>
          <w:p w14:paraId="0A67FF50" w14:textId="77777777" w:rsidR="00B45CAB" w:rsidRPr="005674D6" w:rsidRDefault="47B5760B" w:rsidP="7D95DB54">
            <w:pPr>
              <w:rPr>
                <w:b/>
                <w:bCs/>
                <w:lang w:val="en"/>
              </w:rPr>
            </w:pPr>
            <w:r w:rsidRPr="7D95DB54">
              <w:rPr>
                <w:b/>
                <w:bCs/>
                <w:lang w:val="en"/>
              </w:rPr>
              <w:t>Source</w:t>
            </w:r>
          </w:p>
        </w:tc>
      </w:tr>
      <w:tr w:rsidR="00B45CAB" w:rsidRPr="005674D6" w14:paraId="6CDFCBC8" w14:textId="77777777" w:rsidTr="7D95DB54">
        <w:trPr>
          <w:trHeight w:val="564"/>
        </w:trPr>
        <w:tc>
          <w:tcPr>
            <w:tcW w:w="724"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4CE9A27C" w14:textId="77777777" w:rsidR="00B45CAB" w:rsidRPr="005674D6" w:rsidRDefault="00B45CAB" w:rsidP="00646036">
            <w:pPr>
              <w:rPr>
                <w:lang w:val="en"/>
              </w:rPr>
            </w:pPr>
            <w:r w:rsidRPr="005674D6">
              <w:rPr>
                <w:lang w:val="en"/>
              </w:rPr>
              <w:t>California</w:t>
            </w:r>
          </w:p>
        </w:tc>
        <w:tc>
          <w:tcPr>
            <w:tcW w:w="1213"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3A0B4BE2" w14:textId="557145E6" w:rsidR="00B45CAB" w:rsidRPr="005674D6" w:rsidRDefault="00B45CAB" w:rsidP="00646036">
            <w:pPr>
              <w:rPr>
                <w:lang w:val="en"/>
              </w:rPr>
            </w:pPr>
            <w:r w:rsidRPr="005674D6">
              <w:rPr>
                <w:lang w:val="en"/>
              </w:rPr>
              <w:t xml:space="preserve">Lower </w:t>
            </w:r>
            <w:r w:rsidR="007C1C4E">
              <w:rPr>
                <w:lang w:val="en"/>
              </w:rPr>
              <w:t>health care</w:t>
            </w:r>
            <w:r w:rsidRPr="005674D6">
              <w:rPr>
                <w:lang w:val="en"/>
              </w:rPr>
              <w:t xml:space="preserve"> spending for the state employee health plan</w:t>
            </w:r>
          </w:p>
        </w:tc>
        <w:tc>
          <w:tcPr>
            <w:tcW w:w="1669"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5E6AF8F6" w14:textId="77777777" w:rsidR="00B45CAB" w:rsidRPr="005674D6" w:rsidRDefault="00B45CAB" w:rsidP="00646036">
            <w:r w:rsidRPr="005674D6">
              <w:t>After implementing a reference-based payment program, CalPERS saved $7.0 million on spending for colonoscopies in the first two years of implementation (2011-2012).</w:t>
            </w:r>
          </w:p>
        </w:tc>
        <w:tc>
          <w:tcPr>
            <w:tcW w:w="1394"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48DDE9BB" w14:textId="77777777" w:rsidR="00B45CAB" w:rsidRPr="005674D6" w:rsidRDefault="00B45CAB" w:rsidP="00646036">
            <w:pPr>
              <w:rPr>
                <w:lang w:val="en"/>
              </w:rPr>
            </w:pPr>
            <w:r w:rsidRPr="005674D6">
              <w:rPr>
                <w:lang w:val="en"/>
              </w:rPr>
              <w:t>JAMA Internal Medicine. (November 2015)</w:t>
            </w:r>
          </w:p>
          <w:p w14:paraId="045C8826" w14:textId="77777777" w:rsidR="00B45CAB" w:rsidRPr="005674D6" w:rsidRDefault="00B45CAB" w:rsidP="00646036">
            <w:pPr>
              <w:rPr>
                <w:lang w:val="en"/>
              </w:rPr>
            </w:pPr>
          </w:p>
        </w:tc>
      </w:tr>
      <w:tr w:rsidR="00B45CAB" w:rsidRPr="005674D6" w14:paraId="30DF06AE" w14:textId="77777777" w:rsidTr="7D95DB54">
        <w:trPr>
          <w:trHeight w:val="564"/>
        </w:trPr>
        <w:tc>
          <w:tcPr>
            <w:tcW w:w="724"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099976A" w14:textId="77777777" w:rsidR="00B45CAB" w:rsidRPr="005674D6" w:rsidRDefault="00B45CAB" w:rsidP="00646036">
            <w:pPr>
              <w:rPr>
                <w:lang w:val="en"/>
              </w:rPr>
            </w:pPr>
            <w:r w:rsidRPr="005674D6">
              <w:rPr>
                <w:lang w:val="en"/>
              </w:rPr>
              <w:t>Montana</w:t>
            </w:r>
          </w:p>
        </w:tc>
        <w:tc>
          <w:tcPr>
            <w:tcW w:w="1213"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7F529CBD" w14:textId="31ED9178" w:rsidR="00B45CAB" w:rsidRPr="005674D6" w:rsidRDefault="00B45CAB" w:rsidP="00646036">
            <w:pPr>
              <w:rPr>
                <w:lang w:val="en"/>
              </w:rPr>
            </w:pPr>
            <w:r w:rsidRPr="005674D6">
              <w:rPr>
                <w:lang w:val="en"/>
              </w:rPr>
              <w:t xml:space="preserve">Lower </w:t>
            </w:r>
            <w:r w:rsidR="007C1C4E">
              <w:rPr>
                <w:lang w:val="en"/>
              </w:rPr>
              <w:t>health care</w:t>
            </w:r>
            <w:r w:rsidRPr="005674D6">
              <w:rPr>
                <w:lang w:val="en"/>
              </w:rPr>
              <w:t xml:space="preserve"> spending for the state employee health plan</w:t>
            </w:r>
          </w:p>
        </w:tc>
        <w:tc>
          <w:tcPr>
            <w:tcW w:w="1669"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F53F9B2" w14:textId="77777777" w:rsidR="00B45CAB" w:rsidRPr="005674D6" w:rsidRDefault="00B45CAB" w:rsidP="00646036">
            <w:r w:rsidRPr="005674D6">
              <w:t xml:space="preserve">Montana’s reference-based payment program is estimated to have saved $30.3 million in inpatient hospital services and $17.5 million in outpatient services for a combined total savings of $47.8 million from state fiscal year (SFY) 2017 to 2019. </w:t>
            </w:r>
          </w:p>
        </w:tc>
        <w:tc>
          <w:tcPr>
            <w:tcW w:w="1394"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739EDF07" w14:textId="77777777" w:rsidR="00B45CAB" w:rsidRPr="005674D6" w:rsidRDefault="00B45CAB" w:rsidP="00646036">
            <w:pPr>
              <w:rPr>
                <w:lang w:val="en"/>
              </w:rPr>
            </w:pPr>
            <w:r w:rsidRPr="005674D6">
              <w:rPr>
                <w:lang w:val="en"/>
              </w:rPr>
              <w:t xml:space="preserve">National Academy for State Health Policy. (April 2021) </w:t>
            </w:r>
          </w:p>
        </w:tc>
      </w:tr>
      <w:tr w:rsidR="00B45CAB" w:rsidRPr="005674D6" w14:paraId="4FB8AFAB" w14:textId="77777777" w:rsidTr="7D95DB54">
        <w:trPr>
          <w:trHeight w:val="564"/>
        </w:trPr>
        <w:tc>
          <w:tcPr>
            <w:tcW w:w="724"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771013DB" w14:textId="77777777" w:rsidR="00B45CAB" w:rsidRPr="005674D6" w:rsidRDefault="00B45CAB" w:rsidP="00646036">
            <w:pPr>
              <w:rPr>
                <w:lang w:val="en"/>
              </w:rPr>
            </w:pPr>
            <w:r w:rsidRPr="005674D6">
              <w:rPr>
                <w:lang w:val="en"/>
              </w:rPr>
              <w:t>Oregon</w:t>
            </w:r>
          </w:p>
        </w:tc>
        <w:tc>
          <w:tcPr>
            <w:tcW w:w="1213"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3ED69FCF" w14:textId="4D0A4A73" w:rsidR="00B45CAB" w:rsidRPr="005674D6" w:rsidRDefault="00B45CAB" w:rsidP="00646036">
            <w:pPr>
              <w:rPr>
                <w:lang w:val="en"/>
              </w:rPr>
            </w:pPr>
            <w:r w:rsidRPr="005674D6">
              <w:rPr>
                <w:lang w:val="en"/>
              </w:rPr>
              <w:t xml:space="preserve">Lower </w:t>
            </w:r>
            <w:r w:rsidR="007C1C4E">
              <w:rPr>
                <w:lang w:val="en"/>
              </w:rPr>
              <w:t>health care</w:t>
            </w:r>
            <w:r w:rsidRPr="005674D6">
              <w:rPr>
                <w:lang w:val="en"/>
              </w:rPr>
              <w:t xml:space="preserve"> spending for the state employee health plan</w:t>
            </w:r>
          </w:p>
        </w:tc>
        <w:tc>
          <w:tcPr>
            <w:tcW w:w="1669"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4ABDADBA" w14:textId="77777777" w:rsidR="00B45CAB" w:rsidRPr="005674D6" w:rsidRDefault="00B45CAB" w:rsidP="00646036">
            <w:r w:rsidRPr="005674D6">
              <w:t>Over 27 months, Oregon saved $107.5 million, equivalent to 4% of plan spending, by capping in-network payments at 200% of Medicare and out-of-network payments at 185% of Medicare. Out-of-pocket spending was reduced by 9.5%.</w:t>
            </w:r>
          </w:p>
        </w:tc>
        <w:tc>
          <w:tcPr>
            <w:tcW w:w="1394" w:type="pct"/>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9BE9721" w14:textId="77777777" w:rsidR="00B45CAB" w:rsidRPr="005674D6" w:rsidRDefault="00B45CAB" w:rsidP="00646036">
            <w:pPr>
              <w:rPr>
                <w:lang w:val="en"/>
              </w:rPr>
            </w:pPr>
            <w:r w:rsidRPr="005674D6">
              <w:rPr>
                <w:lang w:val="en"/>
              </w:rPr>
              <w:t>Brown University School of Public Health. (December 2025)</w:t>
            </w:r>
          </w:p>
        </w:tc>
      </w:tr>
    </w:tbl>
    <w:p w14:paraId="41DAB48A" w14:textId="77777777" w:rsidR="00874BEB" w:rsidRDefault="00874BEB" w:rsidP="52B404F0">
      <w:pPr>
        <w:pStyle w:val="Heading3"/>
        <w:rPr>
          <w:sz w:val="20"/>
          <w:szCs w:val="20"/>
          <w:lang w:val="en"/>
        </w:rPr>
      </w:pPr>
    </w:p>
    <w:p w14:paraId="5D6BD517" w14:textId="698C6F8A" w:rsidR="00B45CAB" w:rsidRPr="005674D6" w:rsidRDefault="00B45CAB" w:rsidP="00C53BA8">
      <w:pPr>
        <w:pStyle w:val="NonTOCHeading"/>
        <w:rPr>
          <w:rFonts w:ascii="Inter Medium" w:eastAsia="Inter Medium" w:hAnsi="Inter Medium" w:cs="Inter Medium"/>
          <w:bCs/>
          <w:lang w:val="en"/>
        </w:rPr>
      </w:pPr>
      <w:r w:rsidRPr="005674D6">
        <w:rPr>
          <w:lang w:val="en"/>
        </w:rPr>
        <w:t>Reference-Based Pricing State Policy Options</w:t>
      </w:r>
    </w:p>
    <w:p w14:paraId="0CDABECE" w14:textId="77777777" w:rsidR="00B45CAB" w:rsidRPr="00C53BA8" w:rsidRDefault="298B7EDD" w:rsidP="00C53BA8">
      <w:pPr>
        <w:rPr>
          <w:b/>
          <w:bCs/>
        </w:rPr>
      </w:pPr>
      <w:r w:rsidRPr="00C53BA8">
        <w:rPr>
          <w:b/>
          <w:bCs/>
          <w:lang w:val="en"/>
        </w:rPr>
        <w:t>States with Reference-Based Pricing Policies and Reference-Based Pricing Adjacent Policies</w:t>
      </w:r>
    </w:p>
    <w:p w14:paraId="3ED6AA72" w14:textId="77777777" w:rsidR="00B45CAB" w:rsidRPr="005674D6" w:rsidRDefault="00B45CAB" w:rsidP="00646036">
      <w:r w:rsidRPr="005674D6">
        <w:t>Across the United States, states have adopted a wide range of strategies aimed at improving the affordability and transparency of health care prices. Although these initiatives vary considerably in scope, structure, and regulatory authority, many share a common objective: to slow the growth of hospital and professional service prices and reduce unwarranted variation in what purchasers pay. Programs differ in the mechanisms they employ — some establish explicit benchmark</w:t>
      </w:r>
      <w:r w:rsidRPr="005674D6">
        <w:rPr>
          <w:rFonts w:ascii="Inter" w:eastAsia="Inter" w:hAnsi="Inter" w:cs="Inter"/>
          <w:lang w:val="en"/>
        </w:rPr>
        <w:noBreakHyphen/>
      </w:r>
      <w:r w:rsidRPr="005674D6">
        <w:t>indexed reimbursement limits, while others rely on regulatory oversight, transparency tools, payment reform models, or cost</w:t>
      </w:r>
      <w:r w:rsidRPr="005674D6">
        <w:rPr>
          <w:rFonts w:ascii="Inter" w:eastAsia="Inter" w:hAnsi="Inter" w:cs="Inter"/>
          <w:lang w:val="en"/>
        </w:rPr>
        <w:noBreakHyphen/>
      </w:r>
      <w:r w:rsidRPr="005674D6">
        <w:t>growth targets to influence prices indirectly. To organize this landscape, the following section identifies states with policies that reflect or incorporate elements of Reference</w:t>
      </w:r>
      <w:r w:rsidRPr="005674D6">
        <w:rPr>
          <w:rFonts w:ascii="Inter" w:eastAsia="Inter" w:hAnsi="Inter" w:cs="Inter"/>
          <w:lang w:val="en"/>
        </w:rPr>
        <w:noBreakHyphen/>
      </w:r>
      <w:r w:rsidRPr="005674D6">
        <w:t>Based Pricing (RBP) or RBP</w:t>
      </w:r>
      <w:r w:rsidRPr="005674D6">
        <w:rPr>
          <w:rFonts w:ascii="Inter" w:eastAsia="Inter" w:hAnsi="Inter" w:cs="Inter"/>
          <w:lang w:val="en"/>
        </w:rPr>
        <w:noBreakHyphen/>
      </w:r>
      <w:r w:rsidRPr="005674D6">
        <w:t>Adjacent strategies. The definitions below outline these categories, and the accompanying matrix summarizes the states, program characteristics, and key policy design features relevant to each.</w:t>
      </w:r>
    </w:p>
    <w:p w14:paraId="3409FEB3" w14:textId="77777777" w:rsidR="002A2F15" w:rsidRPr="005674D6" w:rsidRDefault="002A2F15" w:rsidP="00646036"/>
    <w:p w14:paraId="4C55A770" w14:textId="77777777" w:rsidR="00B45CAB" w:rsidRPr="00C53BA8" w:rsidRDefault="298B7EDD" w:rsidP="00C53BA8">
      <w:pPr>
        <w:rPr>
          <w:b/>
          <w:bCs/>
          <w:i/>
        </w:rPr>
      </w:pPr>
      <w:r w:rsidRPr="00C53BA8">
        <w:rPr>
          <w:b/>
          <w:bCs/>
        </w:rPr>
        <w:t>Reference</w:t>
      </w:r>
      <w:r w:rsidR="00B45CAB" w:rsidRPr="00C53BA8">
        <w:rPr>
          <w:b/>
          <w:bCs/>
        </w:rPr>
        <w:noBreakHyphen/>
      </w:r>
      <w:r w:rsidRPr="00C53BA8">
        <w:rPr>
          <w:b/>
          <w:bCs/>
        </w:rPr>
        <w:t>Based Pricing Policies</w:t>
      </w:r>
    </w:p>
    <w:p w14:paraId="0D054D3B" w14:textId="77777777" w:rsidR="00B45CAB" w:rsidRPr="005674D6" w:rsidRDefault="00B45CAB" w:rsidP="00646036">
      <w:r w:rsidRPr="005674D6">
        <w:t xml:space="preserve">RBP is a payment approach in which a purchaser or payer sets a fixed, transparent maximum or minimum reimbursement level (“ceilings” or “floors”) for specific health care services, explicitly tied to an external reference benchmark—most commonly the Medicare fee schedule. Traditionally under RBP, the benchmark (e.g., 180% or 220% of Medicare, or a defined “reference price” for a procedure) serves as the upper limit of what the payer will reimburse. Providers may not bill above that amount when patient protections apply, and members face limited or no balance billing exposure. </w:t>
      </w:r>
      <w:r w:rsidRPr="005674D6">
        <w:rPr>
          <w:rFonts w:ascii="Inter" w:eastAsia="Inter" w:hAnsi="Inter" w:cs="Inter"/>
          <w:lang w:val="en"/>
        </w:rPr>
        <w:br/>
      </w:r>
    </w:p>
    <w:p w14:paraId="1F70863C" w14:textId="74AD95D8" w:rsidR="00B45CAB" w:rsidRPr="005674D6" w:rsidRDefault="298B7EDD" w:rsidP="00646036">
      <w:r>
        <w:t>RBP is defined by uniform benchmark</w:t>
      </w:r>
      <w:r w:rsidR="00B45CAB">
        <w:noBreakHyphen/>
      </w:r>
      <w:r>
        <w:t xml:space="preserve">indexed rates, predictable pricing, and substantial reductions in unwarranted price variation across providers. </w:t>
      </w:r>
      <w:r w:rsidRPr="52B404F0">
        <w:rPr>
          <w:lang w:val="en"/>
        </w:rPr>
        <w:t xml:space="preserve">However, a uniform benchmark may not fully account for differences in local labor and operating costs, patient complexity, service mix, geography, specialized capacity, or a provider’s role in maintaining access for enrollees. These issues in </w:t>
      </w:r>
      <w:r w:rsidR="7333D3FD" w:rsidRPr="52B404F0">
        <w:rPr>
          <w:lang w:val="en"/>
        </w:rPr>
        <w:t>particular</w:t>
      </w:r>
      <w:r w:rsidRPr="52B404F0">
        <w:rPr>
          <w:lang w:val="en"/>
        </w:rPr>
        <w:t xml:space="preserve"> may be more pronounced in rural, underserved, or otherwise constrained markets where consumers have fewer alternative sources of care. </w:t>
      </w:r>
      <w:r>
        <w:t>Broad benchmark-based standards may also limit flexibility for value-based contracts, bundled payments, quality incentives, and other arrangements that do not fit neatly within a uniform fee-for-service methodology.</w:t>
      </w:r>
    </w:p>
    <w:p w14:paraId="18D1B398" w14:textId="77777777" w:rsidR="002A2F15" w:rsidRPr="005674D6" w:rsidRDefault="002A2F15" w:rsidP="00646036"/>
    <w:p w14:paraId="3ADA6F4F" w14:textId="77777777" w:rsidR="00B45CAB" w:rsidRPr="00C53BA8" w:rsidRDefault="298B7EDD" w:rsidP="00C53BA8">
      <w:pPr>
        <w:rPr>
          <w:b/>
          <w:bCs/>
          <w:i/>
        </w:rPr>
      </w:pPr>
      <w:r w:rsidRPr="00C53BA8">
        <w:rPr>
          <w:b/>
          <w:bCs/>
        </w:rPr>
        <w:t>RBP</w:t>
      </w:r>
      <w:r w:rsidR="00B45CAB" w:rsidRPr="00C53BA8">
        <w:rPr>
          <w:b/>
          <w:bCs/>
        </w:rPr>
        <w:noBreakHyphen/>
      </w:r>
      <w:r w:rsidRPr="00C53BA8">
        <w:rPr>
          <w:b/>
          <w:bCs/>
        </w:rPr>
        <w:t>Adjacent Policies</w:t>
      </w:r>
    </w:p>
    <w:p w14:paraId="68ECF66C" w14:textId="77777777" w:rsidR="00B45CAB" w:rsidRPr="005674D6" w:rsidRDefault="00B45CAB" w:rsidP="00646036">
      <w:r w:rsidRPr="005674D6">
        <w:t>RBP</w:t>
      </w:r>
      <w:r w:rsidRPr="005674D6">
        <w:rPr>
          <w:rFonts w:ascii="Inter" w:eastAsia="Inter" w:hAnsi="Inter" w:cs="Inter"/>
          <w:lang w:val="en"/>
        </w:rPr>
        <w:noBreakHyphen/>
      </w:r>
      <w:r w:rsidRPr="005674D6">
        <w:t>Adjacent policies are cost containment or regulatory strategies that use Medicare or other external benchmarks as comparative reference points but do not establish binding reimbursement “ceilings” or “floors” tied directly to those benchmarks. These models may incorporate reference values into rate review, transparency initiatives, out</w:t>
      </w:r>
      <w:r w:rsidRPr="005674D6">
        <w:rPr>
          <w:rFonts w:ascii="Inter" w:eastAsia="Inter" w:hAnsi="Inter" w:cs="Inter"/>
          <w:lang w:val="en"/>
        </w:rPr>
        <w:noBreakHyphen/>
      </w:r>
      <w:r w:rsidRPr="005674D6">
        <w:t>of</w:t>
      </w:r>
      <w:r w:rsidRPr="005674D6">
        <w:rPr>
          <w:rFonts w:ascii="Inter" w:eastAsia="Inter" w:hAnsi="Inter" w:cs="Inter"/>
          <w:lang w:val="en"/>
        </w:rPr>
        <w:noBreakHyphen/>
      </w:r>
      <w:r w:rsidRPr="005674D6">
        <w:t>network payment rules, regulatory hearings, or oversight of provider contracting. They also include policies—such as site</w:t>
      </w:r>
      <w:r w:rsidRPr="005674D6">
        <w:rPr>
          <w:rFonts w:ascii="Inter" w:eastAsia="Inter" w:hAnsi="Inter" w:cs="Inter"/>
          <w:lang w:val="en"/>
        </w:rPr>
        <w:noBreakHyphen/>
      </w:r>
      <w:r w:rsidRPr="005674D6">
        <w:t>neutral payment requirements, facility</w:t>
      </w:r>
      <w:r w:rsidRPr="005674D6">
        <w:rPr>
          <w:rFonts w:ascii="Inter" w:eastAsia="Inter" w:hAnsi="Inter" w:cs="Inter"/>
          <w:lang w:val="en"/>
        </w:rPr>
        <w:noBreakHyphen/>
      </w:r>
      <w:r w:rsidRPr="005674D6">
        <w:t>fee restrictions, and payment</w:t>
      </w:r>
      <w:r w:rsidRPr="005674D6">
        <w:rPr>
          <w:rFonts w:ascii="Inter" w:eastAsia="Inter" w:hAnsi="Inter" w:cs="Inter"/>
          <w:lang w:val="en"/>
        </w:rPr>
        <w:noBreakHyphen/>
      </w:r>
      <w:r w:rsidRPr="005674D6">
        <w:t>parity rules—that reduce unwarranted price variation by standardizing reimbursement across care settings or limiting add</w:t>
      </w:r>
      <w:r w:rsidRPr="005674D6">
        <w:rPr>
          <w:rFonts w:ascii="Inter" w:eastAsia="Inter" w:hAnsi="Inter" w:cs="Inter"/>
          <w:lang w:val="en"/>
        </w:rPr>
        <w:noBreakHyphen/>
      </w:r>
      <w:r w:rsidRPr="005674D6">
        <w:t xml:space="preserve">on fees not justified by clinical complexity. </w:t>
      </w:r>
    </w:p>
    <w:p w14:paraId="65B68D6F" w14:textId="77777777" w:rsidR="00B45CAB" w:rsidRPr="005674D6" w:rsidRDefault="00B45CAB" w:rsidP="00646036">
      <w:r w:rsidRPr="005674D6">
        <w:t xml:space="preserve"> </w:t>
      </w:r>
      <w:r w:rsidRPr="005674D6">
        <w:rPr>
          <w:rFonts w:ascii="Inter" w:eastAsia="Inter" w:hAnsi="Inter" w:cs="Inter"/>
          <w:lang w:val="en"/>
        </w:rPr>
        <w:br/>
      </w:r>
      <w:r w:rsidRPr="005674D6">
        <w:t>Although these approaches do not set payments at a fixed percentage of Medicare or another benchmark, they influence prices indirectly through transparency, parity</w:t>
      </w:r>
      <w:r w:rsidRPr="005674D6">
        <w:rPr>
          <w:rFonts w:ascii="Inter" w:eastAsia="Inter" w:hAnsi="Inter" w:cs="Inter"/>
          <w:lang w:val="en"/>
        </w:rPr>
        <w:noBreakHyphen/>
      </w:r>
      <w:r w:rsidRPr="005674D6">
        <w:t>based standards, or regulatory leverage, rather than through a formal reference</w:t>
      </w:r>
      <w:r w:rsidRPr="005674D6">
        <w:rPr>
          <w:rFonts w:ascii="Inter" w:eastAsia="Inter" w:hAnsi="Inter" w:cs="Inter"/>
          <w:lang w:val="en"/>
        </w:rPr>
        <w:noBreakHyphen/>
      </w:r>
      <w:r w:rsidRPr="005674D6">
        <w:t>priced reimbursement structure.</w:t>
      </w:r>
    </w:p>
    <w:p w14:paraId="275CD35C" w14:textId="77777777" w:rsidR="00B45CAB" w:rsidRPr="005674D6" w:rsidRDefault="00B45CAB" w:rsidP="00646036"/>
    <w:tbl>
      <w:tblPr>
        <w:tblStyle w:val="TableGrid20"/>
        <w:tblW w:w="10080" w:type="dxa"/>
        <w:tblLook w:val="06A0" w:firstRow="1" w:lastRow="0" w:firstColumn="1" w:lastColumn="0" w:noHBand="1" w:noVBand="1"/>
      </w:tblPr>
      <w:tblGrid>
        <w:gridCol w:w="1327"/>
        <w:gridCol w:w="1773"/>
        <w:gridCol w:w="2147"/>
        <w:gridCol w:w="2240"/>
        <w:gridCol w:w="2593"/>
      </w:tblGrid>
      <w:tr w:rsidR="00B45CAB" w:rsidRPr="005674D6" w14:paraId="1FD26C88" w14:textId="77777777" w:rsidTr="00B94A58">
        <w:trPr>
          <w:trHeight w:val="300"/>
          <w:tblHeader/>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tcPr>
          <w:p w14:paraId="448D7ECA" w14:textId="55989042" w:rsidR="00B45CAB" w:rsidRPr="00874BEB" w:rsidRDefault="298B7EDD" w:rsidP="52B404F0">
            <w:pPr>
              <w:rPr>
                <w:b/>
                <w:bCs/>
                <w:sz w:val="20"/>
                <w:szCs w:val="20"/>
                <w:lang w:val="en"/>
              </w:rPr>
            </w:pPr>
            <w:r w:rsidRPr="52B404F0">
              <w:rPr>
                <w:b/>
                <w:bCs/>
                <w:sz w:val="20"/>
                <w:szCs w:val="20"/>
                <w:lang w:val="en"/>
              </w:rPr>
              <w:t>State</w:t>
            </w:r>
          </w:p>
          <w:p w14:paraId="0345D724" w14:textId="77777777" w:rsidR="00B45CAB" w:rsidRPr="00874BEB" w:rsidRDefault="00B45CAB" w:rsidP="52B404F0">
            <w:pPr>
              <w:rPr>
                <w:b/>
                <w:bCs/>
                <w:sz w:val="20"/>
                <w:szCs w:val="20"/>
              </w:rPr>
            </w:pP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tcPr>
          <w:p w14:paraId="28C1D830" w14:textId="63809094" w:rsidR="00B45CAB" w:rsidRPr="00874BEB" w:rsidRDefault="298B7EDD" w:rsidP="52B404F0">
            <w:pPr>
              <w:rPr>
                <w:b/>
                <w:bCs/>
                <w:sz w:val="20"/>
                <w:szCs w:val="20"/>
                <w:lang w:val="en"/>
              </w:rPr>
            </w:pPr>
            <w:r w:rsidRPr="52B404F0">
              <w:rPr>
                <w:b/>
                <w:bCs/>
                <w:sz w:val="20"/>
                <w:szCs w:val="20"/>
                <w:lang w:val="en"/>
              </w:rPr>
              <w:t>Implementation Date</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tcPr>
          <w:p w14:paraId="2C92B029" w14:textId="4F1B961B" w:rsidR="00B45CAB" w:rsidRPr="00874BEB" w:rsidRDefault="298B7EDD" w:rsidP="52B404F0">
            <w:pPr>
              <w:rPr>
                <w:b/>
                <w:bCs/>
                <w:sz w:val="20"/>
                <w:szCs w:val="20"/>
              </w:rPr>
            </w:pPr>
            <w:r w:rsidRPr="52B404F0">
              <w:rPr>
                <w:b/>
                <w:bCs/>
                <w:sz w:val="20"/>
                <w:szCs w:val="20"/>
              </w:rPr>
              <w:t>Type</w:t>
            </w: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tcPr>
          <w:p w14:paraId="5BC8CC06" w14:textId="28CC9408" w:rsidR="00B45CAB" w:rsidRPr="00874BEB" w:rsidRDefault="298B7EDD" w:rsidP="52B404F0">
            <w:pPr>
              <w:rPr>
                <w:b/>
                <w:bCs/>
                <w:sz w:val="20"/>
                <w:szCs w:val="20"/>
                <w:lang w:val="en"/>
              </w:rPr>
            </w:pPr>
            <w:r w:rsidRPr="52B404F0">
              <w:rPr>
                <w:b/>
                <w:bCs/>
                <w:sz w:val="20"/>
                <w:szCs w:val="20"/>
                <w:lang w:val="en"/>
              </w:rPr>
              <w:t>Market Applicability</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F2" w:themeFill="background2" w:themeFillShade="F2"/>
          </w:tcPr>
          <w:p w14:paraId="01045F8E" w14:textId="338112FC" w:rsidR="00B45CAB" w:rsidRPr="00874BEB" w:rsidRDefault="298B7EDD" w:rsidP="52B404F0">
            <w:pPr>
              <w:rPr>
                <w:b/>
                <w:bCs/>
                <w:sz w:val="20"/>
                <w:szCs w:val="20"/>
                <w:lang w:val="en"/>
              </w:rPr>
            </w:pPr>
            <w:r w:rsidRPr="52B404F0">
              <w:rPr>
                <w:b/>
                <w:bCs/>
                <w:sz w:val="20"/>
                <w:szCs w:val="20"/>
                <w:lang w:val="en"/>
              </w:rPr>
              <w:t>Key Variations/Notes</w:t>
            </w:r>
          </w:p>
        </w:tc>
      </w:tr>
      <w:tr w:rsidR="00B45CAB" w:rsidRPr="005674D6" w14:paraId="5B3FB4ED"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69A5BBF" w14:textId="77777777" w:rsidR="00B45CAB" w:rsidRPr="00874BEB" w:rsidRDefault="00B45CAB" w:rsidP="00646036">
            <w:pPr>
              <w:rPr>
                <w:sz w:val="20"/>
                <w:szCs w:val="20"/>
                <w:lang w:val="en"/>
              </w:rPr>
            </w:pPr>
            <w:r w:rsidRPr="00874BEB">
              <w:rPr>
                <w:sz w:val="20"/>
                <w:szCs w:val="20"/>
                <w:lang w:val="en"/>
              </w:rPr>
              <w:t>Rhode Island</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4ABE9886" w14:textId="77777777" w:rsidR="00B45CAB" w:rsidRPr="00874BEB" w:rsidRDefault="00B45CAB" w:rsidP="00646036">
            <w:pPr>
              <w:rPr>
                <w:sz w:val="20"/>
                <w:szCs w:val="20"/>
              </w:rPr>
            </w:pPr>
            <w:r w:rsidRPr="00874BEB">
              <w:rPr>
                <w:sz w:val="20"/>
                <w:szCs w:val="20"/>
              </w:rPr>
              <w:t>2010</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0CEE1EA8" w14:textId="77777777" w:rsidR="00B45CAB" w:rsidRPr="00874BEB" w:rsidRDefault="00B45CAB" w:rsidP="00646036">
            <w:pPr>
              <w:rPr>
                <w:sz w:val="20"/>
                <w:szCs w:val="20"/>
              </w:rPr>
            </w:pPr>
            <w:r w:rsidRPr="00874BEB">
              <w:rPr>
                <w:sz w:val="20"/>
                <w:szCs w:val="20"/>
              </w:rPr>
              <w:t>RBP</w:t>
            </w:r>
            <w:r w:rsidRPr="00874BEB">
              <w:rPr>
                <w:rFonts w:eastAsia="Inter" w:cs="Inter"/>
                <w:sz w:val="20"/>
                <w:szCs w:val="20"/>
                <w:lang w:val="en"/>
              </w:rPr>
              <w:noBreakHyphen/>
            </w:r>
            <w:r w:rsidRPr="00874BEB">
              <w:rPr>
                <w:sz w:val="20"/>
                <w:szCs w:val="20"/>
              </w:rPr>
              <w:t>ADJACENT</w:t>
            </w:r>
          </w:p>
          <w:p w14:paraId="261ABB92" w14:textId="77777777" w:rsidR="00B45CAB" w:rsidRPr="00874BEB" w:rsidRDefault="00B45CAB" w:rsidP="00646036">
            <w:pPr>
              <w:rPr>
                <w:sz w:val="20"/>
                <w:szCs w:val="20"/>
              </w:rPr>
            </w:pPr>
          </w:p>
          <w:p w14:paraId="6A9A8DC7" w14:textId="77777777" w:rsidR="00B45CAB" w:rsidRPr="00874BEB" w:rsidRDefault="00B45CAB" w:rsidP="00646036">
            <w:pPr>
              <w:rPr>
                <w:sz w:val="20"/>
                <w:szCs w:val="20"/>
              </w:rPr>
            </w:pPr>
            <w:r w:rsidRPr="00874BEB">
              <w:rPr>
                <w:sz w:val="20"/>
                <w:szCs w:val="20"/>
              </w:rPr>
              <w:t>Inflation</w:t>
            </w:r>
            <w:r w:rsidRPr="00874BEB">
              <w:rPr>
                <w:rFonts w:eastAsia="Inter" w:cs="Inter"/>
                <w:sz w:val="20"/>
                <w:szCs w:val="20"/>
                <w:lang w:val="en"/>
              </w:rPr>
              <w:noBreakHyphen/>
            </w:r>
            <w:r w:rsidRPr="00874BEB">
              <w:rPr>
                <w:sz w:val="20"/>
                <w:szCs w:val="20"/>
              </w:rPr>
              <w:t>indexed growth caps using benchmark comparisons</w:t>
            </w:r>
          </w:p>
          <w:p w14:paraId="463DFEE8"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5368EE89" w14:textId="77777777" w:rsidR="00B45CAB" w:rsidRPr="00874BEB" w:rsidRDefault="298B7EDD" w:rsidP="52B404F0">
            <w:pPr>
              <w:rPr>
                <w:sz w:val="20"/>
                <w:szCs w:val="20"/>
              </w:rPr>
            </w:pPr>
            <w:r w:rsidRPr="52B404F0">
              <w:rPr>
                <w:sz w:val="20"/>
                <w:szCs w:val="20"/>
              </w:rPr>
              <w:t>Commercial fully insured (individual, small group, large group)</w:t>
            </w:r>
          </w:p>
          <w:p w14:paraId="24098E6B" w14:textId="12E204C4" w:rsidR="52B404F0" w:rsidRDefault="52B404F0" w:rsidP="52B404F0">
            <w:pPr>
              <w:rPr>
                <w:sz w:val="20"/>
                <w:szCs w:val="20"/>
              </w:rPr>
            </w:pPr>
          </w:p>
          <w:p w14:paraId="7B93D8F4" w14:textId="77777777" w:rsidR="00B45CAB" w:rsidRPr="00874BEB" w:rsidRDefault="298B7EDD" w:rsidP="52B404F0">
            <w:pPr>
              <w:rPr>
                <w:sz w:val="20"/>
                <w:szCs w:val="20"/>
              </w:rPr>
            </w:pPr>
            <w:r w:rsidRPr="52B404F0">
              <w:rPr>
                <w:sz w:val="20"/>
                <w:szCs w:val="20"/>
              </w:rPr>
              <w:t>Does not apply to self</w:t>
            </w:r>
            <w:r w:rsidR="00B45CAB">
              <w:noBreakHyphen/>
            </w:r>
            <w:r w:rsidRPr="52B404F0">
              <w:rPr>
                <w:sz w:val="20"/>
                <w:szCs w:val="20"/>
              </w:rPr>
              <w:t>funded, Medicare, Medicaid</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1F70B03" w14:textId="77777777" w:rsidR="00B45CAB" w:rsidRPr="00874BEB" w:rsidRDefault="298B7EDD" w:rsidP="52B404F0">
            <w:pPr>
              <w:rPr>
                <w:sz w:val="20"/>
                <w:szCs w:val="20"/>
              </w:rPr>
            </w:pPr>
            <w:r w:rsidRPr="52B404F0">
              <w:rPr>
                <w:sz w:val="20"/>
                <w:szCs w:val="20"/>
              </w:rPr>
              <w:t>Caps annual hospital price growth at inflation + 1%</w:t>
            </w:r>
          </w:p>
          <w:p w14:paraId="248CE5B6" w14:textId="469DDD53" w:rsidR="52B404F0" w:rsidRDefault="52B404F0" w:rsidP="52B404F0">
            <w:pPr>
              <w:rPr>
                <w:sz w:val="20"/>
                <w:szCs w:val="20"/>
              </w:rPr>
            </w:pPr>
          </w:p>
          <w:p w14:paraId="2D6E7464" w14:textId="77777777" w:rsidR="00B45CAB" w:rsidRPr="00874BEB" w:rsidRDefault="298B7EDD" w:rsidP="52B404F0">
            <w:pPr>
              <w:rPr>
                <w:sz w:val="20"/>
                <w:szCs w:val="20"/>
              </w:rPr>
            </w:pPr>
            <w:r w:rsidRPr="52B404F0">
              <w:rPr>
                <w:sz w:val="20"/>
                <w:szCs w:val="20"/>
              </w:rPr>
              <w:t>Rate review examines trends vs. historical and national benchmarks</w:t>
            </w:r>
          </w:p>
          <w:p w14:paraId="06C12C37" w14:textId="1A0579CF" w:rsidR="52B404F0" w:rsidRDefault="52B404F0" w:rsidP="52B404F0">
            <w:pPr>
              <w:rPr>
                <w:sz w:val="20"/>
                <w:szCs w:val="20"/>
              </w:rPr>
            </w:pPr>
          </w:p>
          <w:p w14:paraId="0173F560" w14:textId="77777777" w:rsidR="00B45CAB" w:rsidRPr="00874BEB" w:rsidRDefault="298B7EDD" w:rsidP="52B404F0">
            <w:pPr>
              <w:rPr>
                <w:sz w:val="20"/>
                <w:szCs w:val="20"/>
              </w:rPr>
            </w:pPr>
            <w:r w:rsidRPr="52B404F0">
              <w:rPr>
                <w:sz w:val="20"/>
                <w:szCs w:val="20"/>
              </w:rPr>
              <w:t>Primary care investment mandates (33%+ increase since 2008)</w:t>
            </w:r>
          </w:p>
          <w:p w14:paraId="76509934" w14:textId="62FE6AFA" w:rsidR="52B404F0" w:rsidRDefault="52B404F0" w:rsidP="52B404F0">
            <w:pPr>
              <w:rPr>
                <w:sz w:val="20"/>
                <w:szCs w:val="20"/>
              </w:rPr>
            </w:pPr>
          </w:p>
          <w:p w14:paraId="58991D92" w14:textId="77777777" w:rsidR="00B45CAB" w:rsidRPr="00874BEB" w:rsidRDefault="298B7EDD" w:rsidP="52B404F0">
            <w:pPr>
              <w:rPr>
                <w:sz w:val="20"/>
                <w:szCs w:val="20"/>
              </w:rPr>
            </w:pPr>
            <w:r w:rsidRPr="52B404F0">
              <w:rPr>
                <w:sz w:val="20"/>
                <w:szCs w:val="20"/>
              </w:rPr>
              <w:t>Alternative Payment Model (APM) adoption targets across carriers</w:t>
            </w:r>
          </w:p>
          <w:p w14:paraId="70573803" w14:textId="6343358A" w:rsidR="52B404F0" w:rsidRDefault="52B404F0" w:rsidP="52B404F0">
            <w:pPr>
              <w:rPr>
                <w:sz w:val="20"/>
                <w:szCs w:val="20"/>
              </w:rPr>
            </w:pPr>
          </w:p>
          <w:p w14:paraId="05103EA3" w14:textId="12A5F3B1" w:rsidR="00B45CAB" w:rsidRPr="00874BEB" w:rsidRDefault="298B7EDD" w:rsidP="52B404F0">
            <w:pPr>
              <w:rPr>
                <w:sz w:val="20"/>
                <w:szCs w:val="20"/>
              </w:rPr>
            </w:pPr>
            <w:r w:rsidRPr="52B404F0">
              <w:rPr>
                <w:sz w:val="20"/>
                <w:szCs w:val="20"/>
              </w:rPr>
              <w:t>2010–2024 program evolution: RI has gradually strengthened its affordability standards by tightening hospital price</w:t>
            </w:r>
            <w:r w:rsidR="00B45CAB">
              <w:noBreakHyphen/>
            </w:r>
            <w:r w:rsidRPr="52B404F0">
              <w:rPr>
                <w:sz w:val="20"/>
                <w:szCs w:val="20"/>
              </w:rPr>
              <w:t>growth caps, expanding benchmark comparisons, and increasing scrutiny of commercial insurer rate filings. RI has also integrated primary care investment requirements and introduced APM adoption targets across carriers. These updates have shifted the program from a static inflation</w:t>
            </w:r>
            <w:r w:rsidR="00B45CAB">
              <w:noBreakHyphen/>
            </w:r>
            <w:r w:rsidRPr="52B404F0">
              <w:rPr>
                <w:sz w:val="20"/>
                <w:szCs w:val="20"/>
              </w:rPr>
              <w:t>indexed cap into a broader, more coordinated cost</w:t>
            </w:r>
            <w:r w:rsidR="00B45CAB">
              <w:noBreakHyphen/>
            </w:r>
            <w:r w:rsidRPr="52B404F0">
              <w:rPr>
                <w:sz w:val="20"/>
                <w:szCs w:val="20"/>
              </w:rPr>
              <w:t>containment framework.</w:t>
            </w:r>
          </w:p>
        </w:tc>
      </w:tr>
      <w:tr w:rsidR="00B45CAB" w:rsidRPr="005674D6" w14:paraId="603AC794"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360CCD67" w14:textId="77777777" w:rsidR="00B45CAB" w:rsidRPr="00874BEB" w:rsidRDefault="00B45CAB" w:rsidP="00646036">
            <w:pPr>
              <w:rPr>
                <w:sz w:val="20"/>
                <w:szCs w:val="20"/>
                <w:lang w:val="en"/>
              </w:rPr>
            </w:pPr>
            <w:r w:rsidRPr="00874BEB">
              <w:rPr>
                <w:sz w:val="20"/>
                <w:szCs w:val="20"/>
                <w:lang w:val="en"/>
              </w:rPr>
              <w:t>California</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430B213" w14:textId="77777777" w:rsidR="00B45CAB" w:rsidRPr="00874BEB" w:rsidRDefault="00B45CAB" w:rsidP="00646036">
            <w:pPr>
              <w:rPr>
                <w:sz w:val="20"/>
                <w:szCs w:val="20"/>
              </w:rPr>
            </w:pPr>
            <w:r w:rsidRPr="00874BEB">
              <w:rPr>
                <w:sz w:val="20"/>
                <w:szCs w:val="20"/>
              </w:rPr>
              <w:t>2011-2012</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B2C4B94" w14:textId="77777777" w:rsidR="00B45CAB" w:rsidRPr="00874BEB" w:rsidRDefault="00B45CAB" w:rsidP="00646036">
            <w:pPr>
              <w:rPr>
                <w:sz w:val="20"/>
                <w:szCs w:val="20"/>
              </w:rPr>
            </w:pPr>
            <w:r w:rsidRPr="00874BEB">
              <w:rPr>
                <w:sz w:val="20"/>
                <w:szCs w:val="20"/>
              </w:rPr>
              <w:t>RBP (Sets “Ceiling”)</w:t>
            </w:r>
          </w:p>
          <w:p w14:paraId="6D5C744F" w14:textId="77777777" w:rsidR="00B45CAB" w:rsidRPr="00874BEB" w:rsidRDefault="00B45CAB" w:rsidP="00646036">
            <w:pPr>
              <w:rPr>
                <w:sz w:val="20"/>
                <w:szCs w:val="20"/>
              </w:rPr>
            </w:pPr>
          </w:p>
          <w:p w14:paraId="50051A13" w14:textId="0F22907D" w:rsidR="00B45CAB" w:rsidRPr="00874BEB" w:rsidRDefault="298B7EDD" w:rsidP="00646036">
            <w:pPr>
              <w:rPr>
                <w:sz w:val="20"/>
                <w:szCs w:val="20"/>
              </w:rPr>
            </w:pPr>
            <w:r w:rsidRPr="52B404F0">
              <w:rPr>
                <w:sz w:val="20"/>
                <w:szCs w:val="20"/>
              </w:rPr>
              <w:t>Shoppable procedure reference pricing</w:t>
            </w: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EC6396B" w14:textId="77777777" w:rsidR="00B45CAB" w:rsidRPr="00874BEB" w:rsidRDefault="298B7EDD" w:rsidP="52B404F0">
            <w:pPr>
              <w:rPr>
                <w:sz w:val="20"/>
                <w:szCs w:val="20"/>
              </w:rPr>
            </w:pPr>
            <w:r w:rsidRPr="52B404F0">
              <w:rPr>
                <w:sz w:val="20"/>
                <w:szCs w:val="20"/>
              </w:rPr>
              <w:t>Self</w:t>
            </w:r>
            <w:r w:rsidR="00B45CAB">
              <w:noBreakHyphen/>
            </w:r>
            <w:r w:rsidRPr="52B404F0">
              <w:rPr>
                <w:sz w:val="20"/>
                <w:szCs w:val="20"/>
              </w:rPr>
              <w:t>funded: CalPERS PPO plans for state workers/retirees</w:t>
            </w:r>
          </w:p>
          <w:p w14:paraId="58138EE1" w14:textId="1DE9E5C1" w:rsidR="52B404F0" w:rsidRDefault="52B404F0" w:rsidP="52B404F0">
            <w:pPr>
              <w:rPr>
                <w:sz w:val="20"/>
                <w:szCs w:val="20"/>
              </w:rPr>
            </w:pPr>
          </w:p>
          <w:p w14:paraId="4595BB00" w14:textId="77777777" w:rsidR="00B45CAB" w:rsidRPr="00874BEB" w:rsidRDefault="298B7EDD" w:rsidP="52B404F0">
            <w:pPr>
              <w:rPr>
                <w:sz w:val="20"/>
                <w:szCs w:val="20"/>
              </w:rPr>
            </w:pPr>
            <w:r w:rsidRPr="52B404F0">
              <w:rPr>
                <w:sz w:val="20"/>
                <w:szCs w:val="20"/>
              </w:rPr>
              <w:t>Not applicable to broader commercial markets</w:t>
            </w:r>
          </w:p>
          <w:p w14:paraId="1C33D607" w14:textId="77777777" w:rsidR="00B45CAB" w:rsidRPr="00874BEB" w:rsidRDefault="00B45CAB" w:rsidP="00646036">
            <w:pPr>
              <w:rPr>
                <w:sz w:val="20"/>
                <w:szCs w:val="20"/>
              </w:rPr>
            </w:pP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0BA69B05" w14:textId="77777777" w:rsidR="00B45CAB" w:rsidRPr="00874BEB" w:rsidRDefault="298B7EDD" w:rsidP="52B404F0">
            <w:pPr>
              <w:rPr>
                <w:sz w:val="20"/>
                <w:szCs w:val="20"/>
              </w:rPr>
            </w:pPr>
            <w:r w:rsidRPr="52B404F0">
              <w:rPr>
                <w:sz w:val="20"/>
                <w:szCs w:val="20"/>
              </w:rPr>
              <w:t>Applies to high</w:t>
            </w:r>
            <w:r w:rsidR="00B45CAB">
              <w:noBreakHyphen/>
            </w:r>
            <w:r w:rsidRPr="52B404F0">
              <w:rPr>
                <w:sz w:val="20"/>
                <w:szCs w:val="20"/>
              </w:rPr>
              <w:t>variation procedures: joint replacement, cataract, colonoscopy, arthroscopy</w:t>
            </w:r>
          </w:p>
          <w:p w14:paraId="0060E29A" w14:textId="12BEC5EF" w:rsidR="52B404F0" w:rsidRDefault="52B404F0" w:rsidP="52B404F0">
            <w:pPr>
              <w:rPr>
                <w:sz w:val="20"/>
                <w:szCs w:val="20"/>
              </w:rPr>
            </w:pPr>
          </w:p>
          <w:p w14:paraId="1195C571" w14:textId="77777777" w:rsidR="00B45CAB" w:rsidRPr="00874BEB" w:rsidRDefault="298B7EDD" w:rsidP="52B404F0">
            <w:pPr>
              <w:rPr>
                <w:sz w:val="20"/>
                <w:szCs w:val="20"/>
              </w:rPr>
            </w:pPr>
            <w:r w:rsidRPr="52B404F0">
              <w:rPr>
                <w:sz w:val="20"/>
                <w:szCs w:val="20"/>
              </w:rPr>
              <w:t>Reference ceilings based on high</w:t>
            </w:r>
            <w:r w:rsidR="00B45CAB">
              <w:noBreakHyphen/>
            </w:r>
            <w:r w:rsidRPr="52B404F0">
              <w:rPr>
                <w:sz w:val="20"/>
                <w:szCs w:val="20"/>
              </w:rPr>
              <w:t>value providers; enrollees pay difference</w:t>
            </w:r>
          </w:p>
          <w:p w14:paraId="39C4437D" w14:textId="2B46CBF7" w:rsidR="00B45CAB" w:rsidRPr="00874BEB" w:rsidRDefault="298B7EDD" w:rsidP="52B404F0">
            <w:pPr>
              <w:rPr>
                <w:sz w:val="20"/>
                <w:szCs w:val="20"/>
              </w:rPr>
            </w:pPr>
            <w:r w:rsidRPr="52B404F0">
              <w:rPr>
                <w:sz w:val="20"/>
                <w:szCs w:val="20"/>
              </w:rPr>
              <w:t>One of the earliest large purchaser RBP models in the U.S.</w:t>
            </w:r>
          </w:p>
          <w:p w14:paraId="3EBB04F9" w14:textId="4B42AA4C" w:rsidR="52B404F0" w:rsidRDefault="52B404F0" w:rsidP="52B404F0">
            <w:pPr>
              <w:rPr>
                <w:sz w:val="20"/>
                <w:szCs w:val="20"/>
              </w:rPr>
            </w:pPr>
          </w:p>
          <w:p w14:paraId="395DD82B" w14:textId="77777777" w:rsidR="00B45CAB" w:rsidRPr="00874BEB" w:rsidRDefault="298B7EDD" w:rsidP="52B404F0">
            <w:pPr>
              <w:rPr>
                <w:sz w:val="20"/>
                <w:szCs w:val="20"/>
              </w:rPr>
            </w:pPr>
            <w:r w:rsidRPr="52B404F0">
              <w:rPr>
                <w:sz w:val="20"/>
                <w:szCs w:val="20"/>
              </w:rPr>
              <w:t>2022–2023 program evolution: CalPERS strengthened its RBP strategy by integrating procedural reference pricing with site</w:t>
            </w:r>
            <w:r w:rsidR="00B45CAB">
              <w:noBreakHyphen/>
            </w:r>
            <w:r w:rsidRPr="52B404F0">
              <w:rPr>
                <w:sz w:val="20"/>
                <w:szCs w:val="20"/>
              </w:rPr>
              <w:t>of</w:t>
            </w:r>
            <w:r w:rsidR="00B45CAB">
              <w:noBreakHyphen/>
            </w:r>
            <w:r w:rsidRPr="52B404F0">
              <w:rPr>
                <w:sz w:val="20"/>
                <w:szCs w:val="20"/>
              </w:rPr>
              <w:t>service steering, specialty pharmacy contracting, and targeted bundles. It also expanded the use of analytics to identify additional shoppable service lines, reflecting a continued modernization of its RBP framework rather than a static legacy program.</w:t>
            </w:r>
          </w:p>
        </w:tc>
      </w:tr>
      <w:tr w:rsidR="00B45CAB" w:rsidRPr="005674D6" w14:paraId="6F38C145"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4A07706D" w14:textId="77777777" w:rsidR="00B45CAB" w:rsidRPr="00874BEB" w:rsidRDefault="00B45CAB" w:rsidP="00646036">
            <w:pPr>
              <w:rPr>
                <w:sz w:val="20"/>
                <w:szCs w:val="20"/>
                <w:lang w:val="en"/>
              </w:rPr>
            </w:pPr>
            <w:r w:rsidRPr="00874BEB">
              <w:rPr>
                <w:sz w:val="20"/>
                <w:szCs w:val="20"/>
                <w:lang w:val="en"/>
              </w:rPr>
              <w:t>Vermont</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1A70E283" w14:textId="77777777" w:rsidR="00B45CAB" w:rsidRPr="00874BEB" w:rsidRDefault="00B45CAB" w:rsidP="00646036">
            <w:pPr>
              <w:rPr>
                <w:sz w:val="20"/>
                <w:szCs w:val="20"/>
              </w:rPr>
            </w:pPr>
            <w:r w:rsidRPr="00874BEB">
              <w:rPr>
                <w:sz w:val="20"/>
                <w:szCs w:val="20"/>
              </w:rPr>
              <w:t>2014</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7AE780E" w14:textId="77777777" w:rsidR="00B45CAB" w:rsidRPr="00874BEB" w:rsidRDefault="00B45CAB" w:rsidP="00646036">
            <w:pPr>
              <w:rPr>
                <w:sz w:val="20"/>
                <w:szCs w:val="20"/>
              </w:rPr>
            </w:pPr>
            <w:r w:rsidRPr="00874BEB">
              <w:rPr>
                <w:sz w:val="20"/>
                <w:szCs w:val="20"/>
              </w:rPr>
              <w:t>RBP</w:t>
            </w:r>
            <w:r w:rsidRPr="00874BEB">
              <w:rPr>
                <w:rFonts w:eastAsia="Inter" w:cs="Inter"/>
                <w:sz w:val="20"/>
                <w:szCs w:val="20"/>
                <w:lang w:val="en"/>
              </w:rPr>
              <w:noBreakHyphen/>
            </w:r>
            <w:r w:rsidRPr="00874BEB">
              <w:rPr>
                <w:sz w:val="20"/>
                <w:szCs w:val="20"/>
              </w:rPr>
              <w:t xml:space="preserve">ADJACENT </w:t>
            </w:r>
          </w:p>
          <w:p w14:paraId="7B40A153" w14:textId="77777777" w:rsidR="00B45CAB" w:rsidRPr="00874BEB" w:rsidRDefault="00B45CAB" w:rsidP="00646036">
            <w:pPr>
              <w:rPr>
                <w:sz w:val="20"/>
                <w:szCs w:val="20"/>
              </w:rPr>
            </w:pPr>
          </w:p>
          <w:p w14:paraId="7979F13F" w14:textId="77777777" w:rsidR="00B45CAB" w:rsidRPr="00874BEB" w:rsidRDefault="00B45CAB" w:rsidP="00646036">
            <w:pPr>
              <w:rPr>
                <w:sz w:val="20"/>
                <w:szCs w:val="20"/>
              </w:rPr>
            </w:pPr>
            <w:r w:rsidRPr="00874BEB">
              <w:rPr>
                <w:sz w:val="20"/>
                <w:szCs w:val="20"/>
              </w:rPr>
              <w:t>Hospital budget caps referencing benchmarks</w:t>
            </w:r>
          </w:p>
          <w:p w14:paraId="56290714"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F017A94" w14:textId="77777777" w:rsidR="00B45CAB" w:rsidRPr="00874BEB" w:rsidRDefault="298B7EDD" w:rsidP="52B404F0">
            <w:pPr>
              <w:rPr>
                <w:sz w:val="20"/>
                <w:szCs w:val="20"/>
              </w:rPr>
            </w:pPr>
            <w:r w:rsidRPr="52B404F0">
              <w:rPr>
                <w:sz w:val="20"/>
                <w:szCs w:val="20"/>
              </w:rPr>
              <w:t>Hospitals statewide: annual budget submission and cap</w:t>
            </w:r>
          </w:p>
          <w:p w14:paraId="1370C78C" w14:textId="63FE71AB" w:rsidR="52B404F0" w:rsidRDefault="52B404F0" w:rsidP="52B404F0">
            <w:pPr>
              <w:rPr>
                <w:sz w:val="20"/>
                <w:szCs w:val="20"/>
              </w:rPr>
            </w:pPr>
          </w:p>
          <w:p w14:paraId="76C88AAE" w14:textId="77777777" w:rsidR="00B45CAB" w:rsidRPr="00874BEB" w:rsidRDefault="298B7EDD" w:rsidP="52B404F0">
            <w:pPr>
              <w:rPr>
                <w:sz w:val="20"/>
                <w:szCs w:val="20"/>
              </w:rPr>
            </w:pPr>
            <w:r w:rsidRPr="52B404F0">
              <w:rPr>
                <w:sz w:val="20"/>
                <w:szCs w:val="20"/>
              </w:rPr>
              <w:t>Commercial fully insured: rate review aligned with budget decisions</w:t>
            </w:r>
          </w:p>
          <w:p w14:paraId="76459645" w14:textId="6F2048F7" w:rsidR="52B404F0" w:rsidRDefault="52B404F0" w:rsidP="52B404F0">
            <w:pPr>
              <w:rPr>
                <w:sz w:val="20"/>
                <w:szCs w:val="20"/>
              </w:rPr>
            </w:pPr>
          </w:p>
          <w:p w14:paraId="067D2C6D" w14:textId="77777777" w:rsidR="00B45CAB" w:rsidRPr="00874BEB" w:rsidRDefault="298B7EDD" w:rsidP="52B404F0">
            <w:pPr>
              <w:rPr>
                <w:sz w:val="20"/>
                <w:szCs w:val="20"/>
              </w:rPr>
            </w:pPr>
            <w:r w:rsidRPr="52B404F0">
              <w:rPr>
                <w:sz w:val="20"/>
                <w:szCs w:val="20"/>
              </w:rPr>
              <w:t>Medicare and Medicaid: integrated under the Vermont All-Payer Model</w:t>
            </w:r>
          </w:p>
          <w:p w14:paraId="05D9711D" w14:textId="55636091" w:rsidR="52B404F0" w:rsidRDefault="52B404F0" w:rsidP="52B404F0">
            <w:pPr>
              <w:rPr>
                <w:sz w:val="20"/>
                <w:szCs w:val="20"/>
              </w:rPr>
            </w:pPr>
          </w:p>
          <w:p w14:paraId="0B1E04C7" w14:textId="77777777" w:rsidR="00B45CAB" w:rsidRPr="00874BEB" w:rsidRDefault="298B7EDD" w:rsidP="52B404F0">
            <w:pPr>
              <w:rPr>
                <w:sz w:val="20"/>
                <w:szCs w:val="20"/>
              </w:rPr>
            </w:pPr>
            <w:r w:rsidRPr="52B404F0">
              <w:rPr>
                <w:sz w:val="20"/>
                <w:szCs w:val="20"/>
              </w:rPr>
              <w:t>Not applicable to self</w:t>
            </w:r>
            <w:r w:rsidR="00B45CAB">
              <w:noBreakHyphen/>
            </w:r>
            <w:r w:rsidRPr="52B404F0">
              <w:rPr>
                <w:sz w:val="20"/>
                <w:szCs w:val="20"/>
              </w:rPr>
              <w:t>funded ERISA directly</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19A9FC18" w14:textId="77777777" w:rsidR="00B45CAB" w:rsidRPr="00874BEB" w:rsidRDefault="298B7EDD" w:rsidP="52B404F0">
            <w:pPr>
              <w:rPr>
                <w:sz w:val="20"/>
                <w:szCs w:val="20"/>
              </w:rPr>
            </w:pPr>
            <w:r w:rsidRPr="52B404F0">
              <w:rPr>
                <w:sz w:val="20"/>
                <w:szCs w:val="20"/>
              </w:rPr>
              <w:t>Green Mountain Care Board (GMCB) sets allowable Net Patient Revenue growth (e.g., 3–4%)</w:t>
            </w:r>
          </w:p>
          <w:p w14:paraId="642CC274" w14:textId="7AD5BA18" w:rsidR="52B404F0" w:rsidRDefault="52B404F0" w:rsidP="52B404F0">
            <w:pPr>
              <w:rPr>
                <w:sz w:val="20"/>
                <w:szCs w:val="20"/>
              </w:rPr>
            </w:pPr>
          </w:p>
          <w:p w14:paraId="2938E83B" w14:textId="77777777" w:rsidR="00B45CAB" w:rsidRPr="00874BEB" w:rsidRDefault="298B7EDD" w:rsidP="52B404F0">
            <w:pPr>
              <w:rPr>
                <w:sz w:val="20"/>
                <w:szCs w:val="20"/>
              </w:rPr>
            </w:pPr>
            <w:r w:rsidRPr="52B404F0">
              <w:rPr>
                <w:sz w:val="20"/>
                <w:szCs w:val="20"/>
              </w:rPr>
              <w:t>Unified payer oversight enhances cross</w:t>
            </w:r>
            <w:r w:rsidR="00B45CAB">
              <w:noBreakHyphen/>
            </w:r>
            <w:r w:rsidRPr="52B404F0">
              <w:rPr>
                <w:sz w:val="20"/>
                <w:szCs w:val="20"/>
              </w:rPr>
              <w:t>market alignment</w:t>
            </w:r>
          </w:p>
          <w:p w14:paraId="4087A306" w14:textId="50467261" w:rsidR="52B404F0" w:rsidRDefault="52B404F0" w:rsidP="52B404F0">
            <w:pPr>
              <w:rPr>
                <w:sz w:val="20"/>
                <w:szCs w:val="20"/>
              </w:rPr>
            </w:pPr>
          </w:p>
          <w:p w14:paraId="0731EC2A" w14:textId="77777777" w:rsidR="00B45CAB" w:rsidRPr="00874BEB" w:rsidRDefault="298B7EDD" w:rsidP="52B404F0">
            <w:pPr>
              <w:rPr>
                <w:sz w:val="20"/>
                <w:szCs w:val="20"/>
              </w:rPr>
            </w:pPr>
            <w:r w:rsidRPr="52B404F0">
              <w:rPr>
                <w:sz w:val="20"/>
                <w:szCs w:val="20"/>
              </w:rPr>
              <w:t>Public hearings and transparency dashboards</w:t>
            </w:r>
          </w:p>
          <w:p w14:paraId="5AFC5404" w14:textId="74428719" w:rsidR="52B404F0" w:rsidRDefault="52B404F0" w:rsidP="52B404F0">
            <w:pPr>
              <w:rPr>
                <w:sz w:val="20"/>
                <w:szCs w:val="20"/>
              </w:rPr>
            </w:pPr>
          </w:p>
          <w:p w14:paraId="213DBABC" w14:textId="77777777" w:rsidR="00B45CAB" w:rsidRPr="00874BEB" w:rsidRDefault="298B7EDD" w:rsidP="52B404F0">
            <w:pPr>
              <w:rPr>
                <w:sz w:val="20"/>
                <w:szCs w:val="20"/>
              </w:rPr>
            </w:pPr>
            <w:r w:rsidRPr="52B404F0">
              <w:rPr>
                <w:sz w:val="20"/>
                <w:szCs w:val="20"/>
              </w:rPr>
              <w:t>Controls hospital financial growth but not Medicare</w:t>
            </w:r>
            <w:r w:rsidR="00B45CAB">
              <w:noBreakHyphen/>
            </w:r>
            <w:r w:rsidRPr="52B404F0">
              <w:rPr>
                <w:sz w:val="20"/>
                <w:szCs w:val="20"/>
              </w:rPr>
              <w:t>indexed caps</w:t>
            </w:r>
          </w:p>
          <w:p w14:paraId="7B296483" w14:textId="524CEAE2" w:rsidR="52B404F0" w:rsidRDefault="52B404F0" w:rsidP="52B404F0">
            <w:pPr>
              <w:rPr>
                <w:sz w:val="20"/>
                <w:szCs w:val="20"/>
              </w:rPr>
            </w:pPr>
          </w:p>
          <w:p w14:paraId="58318FF8" w14:textId="77777777" w:rsidR="00B45CAB" w:rsidRPr="00874BEB" w:rsidRDefault="298B7EDD" w:rsidP="52B404F0">
            <w:pPr>
              <w:rPr>
                <w:sz w:val="20"/>
                <w:szCs w:val="20"/>
              </w:rPr>
            </w:pPr>
            <w:r w:rsidRPr="52B404F0">
              <w:rPr>
                <w:sz w:val="20"/>
                <w:szCs w:val="20"/>
              </w:rPr>
              <w:t>One of the most comprehensive cost</w:t>
            </w:r>
            <w:r w:rsidR="00B45CAB">
              <w:noBreakHyphen/>
            </w:r>
            <w:r w:rsidRPr="52B404F0">
              <w:rPr>
                <w:sz w:val="20"/>
                <w:szCs w:val="20"/>
              </w:rPr>
              <w:t>regulation environments in the U.S.</w:t>
            </w:r>
          </w:p>
          <w:p w14:paraId="75BF13F6" w14:textId="5D8428E2" w:rsidR="52B404F0" w:rsidRDefault="52B404F0" w:rsidP="52B404F0">
            <w:pPr>
              <w:rPr>
                <w:sz w:val="20"/>
                <w:szCs w:val="20"/>
              </w:rPr>
            </w:pPr>
          </w:p>
          <w:p w14:paraId="006CF67D" w14:textId="77777777" w:rsidR="00B45CAB" w:rsidRPr="00874BEB" w:rsidRDefault="298B7EDD" w:rsidP="52B404F0">
            <w:pPr>
              <w:rPr>
                <w:sz w:val="20"/>
                <w:szCs w:val="20"/>
              </w:rPr>
            </w:pPr>
            <w:r w:rsidRPr="52B404F0">
              <w:rPr>
                <w:sz w:val="20"/>
                <w:szCs w:val="20"/>
              </w:rPr>
              <w:t>2023–2025 program evolution: The GMCB refined the state’s hospital budget review process by incorporating payer</w:t>
            </w:r>
            <w:r w:rsidR="00B45CAB">
              <w:noBreakHyphen/>
            </w:r>
            <w:r w:rsidRPr="52B404F0">
              <w:rPr>
                <w:sz w:val="20"/>
                <w:szCs w:val="20"/>
              </w:rPr>
              <w:t>specific growth targets, more granular service</w:t>
            </w:r>
            <w:r w:rsidR="00B45CAB">
              <w:noBreakHyphen/>
            </w:r>
            <w:r w:rsidRPr="52B404F0">
              <w:rPr>
                <w:sz w:val="20"/>
                <w:szCs w:val="20"/>
              </w:rPr>
              <w:t>line reporting, and updated all</w:t>
            </w:r>
            <w:r w:rsidR="00B45CAB">
              <w:noBreakHyphen/>
            </w:r>
            <w:r w:rsidRPr="52B404F0">
              <w:rPr>
                <w:sz w:val="20"/>
                <w:szCs w:val="20"/>
              </w:rPr>
              <w:t>payer cost growth benchmarks. VT also advanced a redesign of its all</w:t>
            </w:r>
            <w:r w:rsidR="00B45CAB">
              <w:noBreakHyphen/>
            </w:r>
            <w:r w:rsidRPr="52B404F0">
              <w:rPr>
                <w:sz w:val="20"/>
                <w:szCs w:val="20"/>
              </w:rPr>
              <w:t>payer model to strengthen alignment across Medicare, Medicaid, and commercial markets. This evolution moves VT toward a more integrated, benchmark</w:t>
            </w:r>
            <w:r w:rsidR="00B45CAB">
              <w:noBreakHyphen/>
            </w:r>
            <w:r w:rsidRPr="52B404F0">
              <w:rPr>
                <w:sz w:val="20"/>
                <w:szCs w:val="20"/>
              </w:rPr>
              <w:t>referenced regulatory model.</w:t>
            </w:r>
          </w:p>
        </w:tc>
      </w:tr>
      <w:tr w:rsidR="00B45CAB" w:rsidRPr="005674D6" w14:paraId="18180914"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F5B662E" w14:textId="77777777" w:rsidR="00B45CAB" w:rsidRPr="00874BEB" w:rsidRDefault="00B45CAB" w:rsidP="00646036">
            <w:pPr>
              <w:rPr>
                <w:sz w:val="20"/>
                <w:szCs w:val="20"/>
                <w:lang w:val="en"/>
              </w:rPr>
            </w:pPr>
            <w:r w:rsidRPr="00874BEB">
              <w:rPr>
                <w:sz w:val="20"/>
                <w:szCs w:val="20"/>
                <w:lang w:val="en"/>
              </w:rPr>
              <w:t>Montana</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06BF0AB" w14:textId="77777777" w:rsidR="00B45CAB" w:rsidRPr="00874BEB" w:rsidRDefault="00B45CAB" w:rsidP="00646036">
            <w:pPr>
              <w:rPr>
                <w:sz w:val="20"/>
                <w:szCs w:val="20"/>
              </w:rPr>
            </w:pPr>
            <w:r w:rsidRPr="00874BEB">
              <w:rPr>
                <w:sz w:val="20"/>
                <w:szCs w:val="20"/>
              </w:rPr>
              <w:t>2016–2017</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7FC90A2" w14:textId="77777777" w:rsidR="00B45CAB" w:rsidRPr="00874BEB" w:rsidRDefault="00B45CAB" w:rsidP="00646036">
            <w:pPr>
              <w:rPr>
                <w:sz w:val="20"/>
                <w:szCs w:val="20"/>
              </w:rPr>
            </w:pPr>
            <w:r w:rsidRPr="00874BEB">
              <w:rPr>
                <w:sz w:val="20"/>
                <w:szCs w:val="20"/>
              </w:rPr>
              <w:t>RBP (Sets “Ceiling”)</w:t>
            </w:r>
          </w:p>
          <w:p w14:paraId="5F457FC0" w14:textId="77777777" w:rsidR="00B45CAB" w:rsidRPr="00874BEB" w:rsidRDefault="00B45CAB" w:rsidP="00646036">
            <w:pPr>
              <w:rPr>
                <w:sz w:val="20"/>
                <w:szCs w:val="20"/>
              </w:rPr>
            </w:pPr>
          </w:p>
          <w:p w14:paraId="0842CDFB" w14:textId="77777777" w:rsidR="00B45CAB" w:rsidRPr="00874BEB" w:rsidRDefault="00B45CAB" w:rsidP="00646036">
            <w:pPr>
              <w:rPr>
                <w:sz w:val="20"/>
                <w:szCs w:val="20"/>
              </w:rPr>
            </w:pPr>
            <w:r w:rsidRPr="00874BEB">
              <w:rPr>
                <w:sz w:val="20"/>
                <w:szCs w:val="20"/>
              </w:rPr>
              <w:t>Medicare</w:t>
            </w:r>
            <w:r w:rsidRPr="00874BEB">
              <w:rPr>
                <w:rFonts w:eastAsia="Inter" w:cs="Inter"/>
                <w:sz w:val="20"/>
                <w:szCs w:val="20"/>
                <w:lang w:val="en"/>
              </w:rPr>
              <w:noBreakHyphen/>
            </w:r>
            <w:r w:rsidRPr="00874BEB">
              <w:rPr>
                <w:sz w:val="20"/>
                <w:szCs w:val="20"/>
              </w:rPr>
              <w:t>indexed uniform hospital contracting</w:t>
            </w:r>
          </w:p>
          <w:p w14:paraId="05E4D8E0" w14:textId="77777777" w:rsidR="00B45CAB" w:rsidRPr="00874BEB" w:rsidRDefault="00B45CAB" w:rsidP="00646036">
            <w:pPr>
              <w:rPr>
                <w:sz w:val="20"/>
                <w:szCs w:val="20"/>
              </w:rPr>
            </w:pPr>
          </w:p>
          <w:p w14:paraId="3760AFD0"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13459F5F" w14:textId="77777777" w:rsidR="00B45CAB" w:rsidRPr="00874BEB" w:rsidRDefault="298B7EDD" w:rsidP="52B404F0">
            <w:pPr>
              <w:rPr>
                <w:sz w:val="20"/>
                <w:szCs w:val="20"/>
              </w:rPr>
            </w:pPr>
            <w:r w:rsidRPr="52B404F0">
              <w:rPr>
                <w:sz w:val="20"/>
                <w:szCs w:val="20"/>
              </w:rPr>
              <w:t>Self</w:t>
            </w:r>
            <w:r w:rsidR="00B45CAB">
              <w:noBreakHyphen/>
            </w:r>
            <w:r w:rsidRPr="52B404F0">
              <w:rPr>
                <w:sz w:val="20"/>
                <w:szCs w:val="20"/>
              </w:rPr>
              <w:t xml:space="preserve">funded: State Employee Health Plan </w:t>
            </w:r>
          </w:p>
          <w:p w14:paraId="352809C1" w14:textId="57494B4A" w:rsidR="52B404F0" w:rsidRDefault="52B404F0" w:rsidP="52B404F0">
            <w:pPr>
              <w:rPr>
                <w:sz w:val="20"/>
                <w:szCs w:val="20"/>
              </w:rPr>
            </w:pPr>
          </w:p>
          <w:p w14:paraId="70FFCD0F" w14:textId="77777777" w:rsidR="00B45CAB" w:rsidRPr="00874BEB" w:rsidRDefault="298B7EDD" w:rsidP="52B404F0">
            <w:pPr>
              <w:rPr>
                <w:sz w:val="20"/>
                <w:szCs w:val="20"/>
              </w:rPr>
            </w:pPr>
            <w:r w:rsidRPr="52B404F0">
              <w:rPr>
                <w:sz w:val="20"/>
                <w:szCs w:val="20"/>
              </w:rPr>
              <w:t>No applicability to fully</w:t>
            </w:r>
            <w:r w:rsidR="00B45CAB">
              <w:noBreakHyphen/>
            </w:r>
            <w:r w:rsidRPr="52B404F0">
              <w:rPr>
                <w:sz w:val="20"/>
                <w:szCs w:val="20"/>
              </w:rPr>
              <w:t>insured, Medicaid, Medicare, or ACA markets</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06AB894" w14:textId="77777777" w:rsidR="00B45CAB" w:rsidRPr="00874BEB" w:rsidRDefault="298B7EDD" w:rsidP="52B404F0">
            <w:pPr>
              <w:rPr>
                <w:sz w:val="20"/>
                <w:szCs w:val="20"/>
              </w:rPr>
            </w:pPr>
            <w:r w:rsidRPr="52B404F0">
              <w:rPr>
                <w:sz w:val="20"/>
                <w:szCs w:val="20"/>
              </w:rPr>
              <w:t>State negotiated 220–250% of Medicare for hospital inpatient/outpatient services</w:t>
            </w:r>
          </w:p>
          <w:p w14:paraId="03D932EE" w14:textId="44474CF0" w:rsidR="52B404F0" w:rsidRDefault="52B404F0" w:rsidP="52B404F0">
            <w:pPr>
              <w:rPr>
                <w:sz w:val="20"/>
                <w:szCs w:val="20"/>
              </w:rPr>
            </w:pPr>
          </w:p>
          <w:p w14:paraId="3937D09F" w14:textId="77777777" w:rsidR="00B45CAB" w:rsidRPr="00874BEB" w:rsidRDefault="298B7EDD" w:rsidP="52B404F0">
            <w:pPr>
              <w:rPr>
                <w:sz w:val="20"/>
                <w:szCs w:val="20"/>
              </w:rPr>
            </w:pPr>
            <w:r w:rsidRPr="52B404F0">
              <w:rPr>
                <w:sz w:val="20"/>
                <w:szCs w:val="20"/>
              </w:rPr>
              <w:t>Critical Access Hospitals (CAH) exempt; rural and specialty adjustments applied</w:t>
            </w:r>
          </w:p>
          <w:p w14:paraId="3953FA00" w14:textId="1B7299DF" w:rsidR="52B404F0" w:rsidRDefault="52B404F0" w:rsidP="52B404F0">
            <w:pPr>
              <w:rPr>
                <w:sz w:val="20"/>
                <w:szCs w:val="20"/>
              </w:rPr>
            </w:pPr>
          </w:p>
          <w:p w14:paraId="2D4B28D9" w14:textId="77777777" w:rsidR="00B45CAB" w:rsidRPr="00874BEB" w:rsidRDefault="298B7EDD" w:rsidP="52B404F0">
            <w:pPr>
              <w:rPr>
                <w:sz w:val="20"/>
                <w:szCs w:val="20"/>
              </w:rPr>
            </w:pPr>
            <w:r w:rsidRPr="52B404F0">
              <w:rPr>
                <w:sz w:val="20"/>
                <w:szCs w:val="20"/>
              </w:rPr>
              <w:t>Replaced variable negotiated rates with statewide uniform contracts</w:t>
            </w:r>
          </w:p>
          <w:p w14:paraId="3ACC278C" w14:textId="01C6E985" w:rsidR="52B404F0" w:rsidRDefault="52B404F0" w:rsidP="52B404F0">
            <w:pPr>
              <w:rPr>
                <w:sz w:val="20"/>
                <w:szCs w:val="20"/>
              </w:rPr>
            </w:pPr>
          </w:p>
          <w:p w14:paraId="376AD271" w14:textId="05857789" w:rsidR="00B45CAB" w:rsidRPr="00874BEB" w:rsidRDefault="298B7EDD" w:rsidP="52B404F0">
            <w:pPr>
              <w:rPr>
                <w:sz w:val="20"/>
                <w:szCs w:val="20"/>
              </w:rPr>
            </w:pPr>
            <w:r w:rsidRPr="52B404F0">
              <w:rPr>
                <w:sz w:val="20"/>
                <w:szCs w:val="20"/>
              </w:rPr>
              <w:t>2023 program evolution: MT’s State Employee Health Plan transitioned to a new third</w:t>
            </w:r>
            <w:r w:rsidR="00B45CAB">
              <w:noBreakHyphen/>
            </w:r>
            <w:r w:rsidRPr="52B404F0">
              <w:rPr>
                <w:sz w:val="20"/>
                <w:szCs w:val="20"/>
              </w:rPr>
              <w:t>party administrator (BCBSMT), introducing a hybrid payment structure that blends Medicare</w:t>
            </w:r>
            <w:r w:rsidR="00B45CAB">
              <w:noBreakHyphen/>
            </w:r>
            <w:r w:rsidRPr="52B404F0">
              <w:rPr>
                <w:sz w:val="20"/>
                <w:szCs w:val="20"/>
              </w:rPr>
              <w:t>indexed RBP rates with supplemental network discounts and alternative contracting tools. This shift maintains Medicare</w:t>
            </w:r>
            <w:r w:rsidR="00B45CAB">
              <w:noBreakHyphen/>
            </w:r>
            <w:r w:rsidRPr="52B404F0">
              <w:rPr>
                <w:sz w:val="20"/>
                <w:szCs w:val="20"/>
              </w:rPr>
              <w:t>anchored pricing but allows the administrator more flexibility in meeting savings targets and supporting provider participation. The transition signaled an evolution from strict RBP to a more mixed model, while retaining RBP as the core reference framework for facility payments.</w:t>
            </w:r>
          </w:p>
        </w:tc>
      </w:tr>
      <w:tr w:rsidR="00B45CAB" w:rsidRPr="005674D6" w14:paraId="00DADADF"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D20F770" w14:textId="77777777" w:rsidR="00B45CAB" w:rsidRPr="00874BEB" w:rsidRDefault="00B45CAB" w:rsidP="00646036">
            <w:pPr>
              <w:rPr>
                <w:sz w:val="20"/>
                <w:szCs w:val="20"/>
                <w:lang w:val="en"/>
              </w:rPr>
            </w:pPr>
            <w:r w:rsidRPr="00874BEB">
              <w:rPr>
                <w:sz w:val="20"/>
                <w:szCs w:val="20"/>
                <w:lang w:val="en"/>
              </w:rPr>
              <w:t>Oregon</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4C18637" w14:textId="77777777" w:rsidR="00B45CAB" w:rsidRPr="00874BEB" w:rsidRDefault="00B45CAB" w:rsidP="00646036">
            <w:pPr>
              <w:rPr>
                <w:sz w:val="20"/>
                <w:szCs w:val="20"/>
              </w:rPr>
            </w:pPr>
            <w:r w:rsidRPr="00874BEB">
              <w:rPr>
                <w:sz w:val="20"/>
                <w:szCs w:val="20"/>
              </w:rPr>
              <w:t>2019–2020</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F46AFA4" w14:textId="77777777" w:rsidR="00B45CAB" w:rsidRPr="00874BEB" w:rsidRDefault="00B45CAB" w:rsidP="00646036">
            <w:pPr>
              <w:rPr>
                <w:sz w:val="20"/>
                <w:szCs w:val="20"/>
              </w:rPr>
            </w:pPr>
            <w:r w:rsidRPr="00874BEB">
              <w:rPr>
                <w:sz w:val="20"/>
                <w:szCs w:val="20"/>
              </w:rPr>
              <w:t>RBP (Sets “Ceiling”)</w:t>
            </w:r>
          </w:p>
          <w:p w14:paraId="45CD013E" w14:textId="77777777" w:rsidR="00B45CAB" w:rsidRPr="00874BEB" w:rsidRDefault="00B45CAB" w:rsidP="00646036">
            <w:pPr>
              <w:rPr>
                <w:sz w:val="20"/>
                <w:szCs w:val="20"/>
              </w:rPr>
            </w:pPr>
          </w:p>
          <w:p w14:paraId="64B5791E" w14:textId="77777777" w:rsidR="00B45CAB" w:rsidRPr="00874BEB" w:rsidRDefault="00B45CAB" w:rsidP="00646036">
            <w:pPr>
              <w:rPr>
                <w:sz w:val="20"/>
                <w:szCs w:val="20"/>
              </w:rPr>
            </w:pPr>
            <w:r w:rsidRPr="00874BEB">
              <w:rPr>
                <w:sz w:val="20"/>
                <w:szCs w:val="20"/>
              </w:rPr>
              <w:t>Medicare</w:t>
            </w:r>
            <w:r w:rsidRPr="00874BEB">
              <w:rPr>
                <w:rFonts w:eastAsia="Inter" w:cs="Inter"/>
                <w:sz w:val="20"/>
                <w:szCs w:val="20"/>
                <w:lang w:val="en"/>
              </w:rPr>
              <w:noBreakHyphen/>
            </w:r>
            <w:r w:rsidRPr="00874BEB">
              <w:rPr>
                <w:sz w:val="20"/>
                <w:szCs w:val="20"/>
              </w:rPr>
              <w:t>indexed hospital payment caps</w:t>
            </w:r>
          </w:p>
          <w:p w14:paraId="20F46CAF" w14:textId="77777777" w:rsidR="00B45CAB" w:rsidRPr="00874BEB" w:rsidRDefault="00B45CAB" w:rsidP="00646036">
            <w:pPr>
              <w:rPr>
                <w:sz w:val="20"/>
                <w:szCs w:val="20"/>
              </w:rPr>
            </w:pPr>
          </w:p>
          <w:p w14:paraId="5BFA47EB"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2E7A548" w14:textId="2CBB332E" w:rsidR="00B45CAB" w:rsidRPr="00874BEB" w:rsidRDefault="298B7EDD" w:rsidP="52B404F0">
            <w:r w:rsidRPr="52B404F0">
              <w:rPr>
                <w:sz w:val="20"/>
                <w:szCs w:val="20"/>
              </w:rPr>
              <w:t>Self-funded; Public Employees’ Benefit Board and Oregon Educators Benefit Board</w:t>
            </w:r>
          </w:p>
          <w:p w14:paraId="1892CC09" w14:textId="327B8718" w:rsidR="00B45CAB" w:rsidRPr="00874BEB" w:rsidRDefault="298B7EDD" w:rsidP="52B404F0">
            <w:pPr>
              <w:rPr>
                <w:sz w:val="20"/>
                <w:szCs w:val="20"/>
              </w:rPr>
            </w:pPr>
            <w:r w:rsidRPr="52B404F0">
              <w:rPr>
                <w:sz w:val="20"/>
                <w:szCs w:val="20"/>
              </w:rPr>
              <w:t>No applicability to commercial fully insured, individual/small group, Medicare, Medicaid</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52AA4465" w14:textId="77777777" w:rsidR="00B45CAB" w:rsidRPr="00874BEB" w:rsidRDefault="298B7EDD" w:rsidP="52B404F0">
            <w:pPr>
              <w:rPr>
                <w:sz w:val="20"/>
                <w:szCs w:val="20"/>
              </w:rPr>
            </w:pPr>
            <w:r w:rsidRPr="52B404F0">
              <w:rPr>
                <w:sz w:val="20"/>
                <w:szCs w:val="20"/>
              </w:rPr>
              <w:t>200% Medicare cap (in</w:t>
            </w:r>
            <w:r w:rsidR="00B45CAB">
              <w:noBreakHyphen/>
            </w:r>
            <w:r w:rsidRPr="52B404F0">
              <w:rPr>
                <w:sz w:val="20"/>
                <w:szCs w:val="20"/>
              </w:rPr>
              <w:t>network), 185% (out-of-network)</w:t>
            </w:r>
          </w:p>
          <w:p w14:paraId="74909E9E" w14:textId="53A2F910" w:rsidR="52B404F0" w:rsidRDefault="52B404F0" w:rsidP="52B404F0">
            <w:pPr>
              <w:rPr>
                <w:sz w:val="20"/>
                <w:szCs w:val="20"/>
              </w:rPr>
            </w:pPr>
          </w:p>
          <w:p w14:paraId="690EA956" w14:textId="77777777" w:rsidR="00B45CAB" w:rsidRPr="00874BEB" w:rsidRDefault="298B7EDD" w:rsidP="52B404F0">
            <w:pPr>
              <w:rPr>
                <w:sz w:val="20"/>
                <w:szCs w:val="20"/>
              </w:rPr>
            </w:pPr>
            <w:r w:rsidRPr="52B404F0">
              <w:rPr>
                <w:sz w:val="20"/>
                <w:szCs w:val="20"/>
              </w:rPr>
              <w:t>Rural hospital exemptions: CAH, Type A/B hospitals</w:t>
            </w:r>
          </w:p>
          <w:p w14:paraId="5837B451" w14:textId="5D8A5ECA" w:rsidR="52B404F0" w:rsidRDefault="52B404F0" w:rsidP="52B404F0">
            <w:pPr>
              <w:rPr>
                <w:sz w:val="20"/>
                <w:szCs w:val="20"/>
              </w:rPr>
            </w:pPr>
          </w:p>
          <w:p w14:paraId="72832F7E" w14:textId="77777777" w:rsidR="00B45CAB" w:rsidRPr="00874BEB" w:rsidRDefault="298B7EDD" w:rsidP="52B404F0">
            <w:pPr>
              <w:rPr>
                <w:sz w:val="20"/>
                <w:szCs w:val="20"/>
              </w:rPr>
            </w:pPr>
            <w:r w:rsidRPr="52B404F0">
              <w:rPr>
                <w:sz w:val="20"/>
                <w:szCs w:val="20"/>
              </w:rPr>
              <w:t>Hospital overpayments (i.e., exceeding the Medicare cap established) must be returned; no balance billing allowed (i.e., hospitals cannot pass any unpaid balance to patients)</w:t>
            </w:r>
          </w:p>
          <w:p w14:paraId="0DF0C7D9" w14:textId="6BDA5D8A" w:rsidR="52B404F0" w:rsidRDefault="52B404F0" w:rsidP="52B404F0">
            <w:pPr>
              <w:rPr>
                <w:sz w:val="20"/>
                <w:szCs w:val="20"/>
              </w:rPr>
            </w:pPr>
          </w:p>
          <w:p w14:paraId="2DC1DA27" w14:textId="77777777" w:rsidR="00B45CAB" w:rsidRPr="00874BEB" w:rsidRDefault="298B7EDD" w:rsidP="52B404F0">
            <w:pPr>
              <w:rPr>
                <w:sz w:val="20"/>
                <w:szCs w:val="20"/>
              </w:rPr>
            </w:pPr>
            <w:r w:rsidRPr="52B404F0">
              <w:rPr>
                <w:sz w:val="20"/>
                <w:szCs w:val="20"/>
              </w:rPr>
              <w:t>2023–2024 program evolution: OR updated its PEBB/OEBB hospital cap management process to incorporate blended verification audits, improved monitoring of out</w:t>
            </w:r>
            <w:r w:rsidR="00B45CAB">
              <w:noBreakHyphen/>
            </w:r>
            <w:r w:rsidRPr="52B404F0">
              <w:rPr>
                <w:sz w:val="20"/>
                <w:szCs w:val="20"/>
              </w:rPr>
              <w:t>of</w:t>
            </w:r>
            <w:r w:rsidR="00B45CAB">
              <w:noBreakHyphen/>
            </w:r>
            <w:r w:rsidRPr="52B404F0">
              <w:rPr>
                <w:sz w:val="20"/>
                <w:szCs w:val="20"/>
              </w:rPr>
              <w:t>network claims, and alignment with broader state Cost Growth Target initiatives. While the core RBP model remains intact, OR began exploring integration of RBP hospital caps with value</w:t>
            </w:r>
            <w:r w:rsidR="00B45CAB">
              <w:noBreakHyphen/>
            </w:r>
            <w:r w:rsidRPr="52B404F0">
              <w:rPr>
                <w:sz w:val="20"/>
                <w:szCs w:val="20"/>
              </w:rPr>
              <w:t>based purchasing contracts and incentives for ambulatory shifts, reflecting a gradual evolution from simple rate capping to a more comprehensive affordability strategy.</w:t>
            </w:r>
          </w:p>
        </w:tc>
      </w:tr>
      <w:tr w:rsidR="00B45CAB" w:rsidRPr="005674D6" w14:paraId="10BF1F20"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70B422D" w14:textId="77777777" w:rsidR="00B45CAB" w:rsidRPr="00874BEB" w:rsidRDefault="00B45CAB" w:rsidP="00646036">
            <w:pPr>
              <w:rPr>
                <w:sz w:val="20"/>
                <w:szCs w:val="20"/>
                <w:lang w:val="en"/>
              </w:rPr>
            </w:pPr>
            <w:r w:rsidRPr="00874BEB">
              <w:rPr>
                <w:sz w:val="20"/>
                <w:szCs w:val="20"/>
                <w:lang w:val="en"/>
              </w:rPr>
              <w:t>Washington</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35F695C9" w14:textId="77777777" w:rsidR="00B45CAB" w:rsidRPr="00874BEB" w:rsidRDefault="00B45CAB" w:rsidP="00646036">
            <w:pPr>
              <w:rPr>
                <w:sz w:val="20"/>
                <w:szCs w:val="20"/>
              </w:rPr>
            </w:pPr>
            <w:r w:rsidRPr="00874BEB">
              <w:rPr>
                <w:sz w:val="20"/>
                <w:szCs w:val="20"/>
              </w:rPr>
              <w:t>2020-2022</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4FDD125D" w14:textId="77777777" w:rsidR="00B45CAB" w:rsidRPr="00874BEB" w:rsidRDefault="00B45CAB" w:rsidP="00646036">
            <w:pPr>
              <w:rPr>
                <w:sz w:val="20"/>
                <w:szCs w:val="20"/>
              </w:rPr>
            </w:pPr>
            <w:r w:rsidRPr="00874BEB">
              <w:rPr>
                <w:sz w:val="20"/>
                <w:szCs w:val="20"/>
              </w:rPr>
              <w:t>RBP</w:t>
            </w:r>
            <w:r w:rsidRPr="00874BEB">
              <w:rPr>
                <w:rFonts w:eastAsia="Inter" w:cs="Inter"/>
                <w:sz w:val="20"/>
                <w:szCs w:val="20"/>
                <w:lang w:val="en"/>
              </w:rPr>
              <w:noBreakHyphen/>
            </w:r>
            <w:r w:rsidRPr="00874BEB">
              <w:rPr>
                <w:sz w:val="20"/>
                <w:szCs w:val="20"/>
              </w:rPr>
              <w:t>ADJACENT</w:t>
            </w:r>
          </w:p>
          <w:p w14:paraId="6F166B86" w14:textId="77777777" w:rsidR="00B45CAB" w:rsidRPr="00874BEB" w:rsidRDefault="00B45CAB" w:rsidP="00646036">
            <w:pPr>
              <w:rPr>
                <w:sz w:val="20"/>
                <w:szCs w:val="20"/>
              </w:rPr>
            </w:pPr>
          </w:p>
          <w:p w14:paraId="4A27E98B" w14:textId="77777777" w:rsidR="00B45CAB" w:rsidRPr="00874BEB" w:rsidRDefault="00B45CAB" w:rsidP="00646036">
            <w:pPr>
              <w:rPr>
                <w:sz w:val="20"/>
                <w:szCs w:val="20"/>
              </w:rPr>
            </w:pPr>
            <w:r w:rsidRPr="00874BEB">
              <w:rPr>
                <w:sz w:val="20"/>
                <w:szCs w:val="20"/>
              </w:rPr>
              <w:t>Site</w:t>
            </w:r>
            <w:r w:rsidRPr="00874BEB">
              <w:rPr>
                <w:rFonts w:eastAsia="Inter" w:cs="Inter"/>
                <w:sz w:val="20"/>
                <w:szCs w:val="20"/>
                <w:lang w:val="en"/>
              </w:rPr>
              <w:noBreakHyphen/>
            </w:r>
            <w:r w:rsidRPr="00874BEB">
              <w:rPr>
                <w:sz w:val="20"/>
                <w:szCs w:val="20"/>
              </w:rPr>
              <w:t>neutral reforms + Medicare</w:t>
            </w:r>
            <w:r w:rsidRPr="00874BEB">
              <w:rPr>
                <w:rFonts w:eastAsia="Inter" w:cs="Inter"/>
                <w:sz w:val="20"/>
                <w:szCs w:val="20"/>
                <w:lang w:val="en"/>
              </w:rPr>
              <w:noBreakHyphen/>
            </w:r>
            <w:r w:rsidRPr="00874BEB">
              <w:rPr>
                <w:sz w:val="20"/>
                <w:szCs w:val="20"/>
              </w:rPr>
              <w:t>based benchmark oversight</w:t>
            </w:r>
          </w:p>
          <w:p w14:paraId="783748B1"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BECAE46" w14:textId="77777777" w:rsidR="00B45CAB" w:rsidRPr="00874BEB" w:rsidRDefault="298B7EDD" w:rsidP="52B404F0">
            <w:pPr>
              <w:rPr>
                <w:sz w:val="20"/>
                <w:szCs w:val="20"/>
              </w:rPr>
            </w:pPr>
            <w:r w:rsidRPr="52B404F0">
              <w:rPr>
                <w:sz w:val="20"/>
                <w:szCs w:val="20"/>
              </w:rPr>
              <w:t>Commercial fully insured: individual &amp; small group (rate review)</w:t>
            </w:r>
          </w:p>
          <w:p w14:paraId="12C8C4EA" w14:textId="12DED305" w:rsidR="52B404F0" w:rsidRDefault="52B404F0" w:rsidP="52B404F0">
            <w:pPr>
              <w:rPr>
                <w:sz w:val="20"/>
                <w:szCs w:val="20"/>
              </w:rPr>
            </w:pPr>
          </w:p>
          <w:p w14:paraId="41E6BCEC" w14:textId="77777777" w:rsidR="00B45CAB" w:rsidRPr="00874BEB" w:rsidRDefault="298B7EDD" w:rsidP="52B404F0">
            <w:pPr>
              <w:rPr>
                <w:sz w:val="20"/>
                <w:szCs w:val="20"/>
              </w:rPr>
            </w:pPr>
            <w:r w:rsidRPr="52B404F0">
              <w:rPr>
                <w:sz w:val="20"/>
                <w:szCs w:val="20"/>
              </w:rPr>
              <w:t>Medicaid MCOs: subject to cost</w:t>
            </w:r>
            <w:r w:rsidR="00B45CAB">
              <w:noBreakHyphen/>
            </w:r>
            <w:r w:rsidRPr="52B404F0">
              <w:rPr>
                <w:sz w:val="20"/>
                <w:szCs w:val="20"/>
              </w:rPr>
              <w:t>growth benchmark</w:t>
            </w:r>
          </w:p>
          <w:p w14:paraId="586F856C" w14:textId="22FB07E7" w:rsidR="52B404F0" w:rsidRDefault="52B404F0" w:rsidP="52B404F0">
            <w:pPr>
              <w:rPr>
                <w:sz w:val="20"/>
                <w:szCs w:val="20"/>
              </w:rPr>
            </w:pPr>
          </w:p>
          <w:p w14:paraId="4BEA8F90" w14:textId="77777777" w:rsidR="00B45CAB" w:rsidRPr="00874BEB" w:rsidRDefault="298B7EDD" w:rsidP="52B404F0">
            <w:pPr>
              <w:rPr>
                <w:sz w:val="20"/>
                <w:szCs w:val="20"/>
              </w:rPr>
            </w:pPr>
            <w:r w:rsidRPr="52B404F0">
              <w:rPr>
                <w:sz w:val="20"/>
                <w:szCs w:val="20"/>
              </w:rPr>
              <w:t>Large provider systems: required cost reporting</w:t>
            </w:r>
          </w:p>
          <w:p w14:paraId="289EAE9F" w14:textId="3CD11A66" w:rsidR="52B404F0" w:rsidRDefault="52B404F0" w:rsidP="52B404F0">
            <w:pPr>
              <w:rPr>
                <w:sz w:val="20"/>
                <w:szCs w:val="20"/>
              </w:rPr>
            </w:pPr>
          </w:p>
          <w:p w14:paraId="00925B63" w14:textId="77777777" w:rsidR="00B45CAB" w:rsidRPr="00874BEB" w:rsidRDefault="298B7EDD" w:rsidP="52B404F0">
            <w:pPr>
              <w:rPr>
                <w:sz w:val="20"/>
                <w:szCs w:val="20"/>
              </w:rPr>
            </w:pPr>
            <w:r w:rsidRPr="52B404F0">
              <w:rPr>
                <w:sz w:val="20"/>
                <w:szCs w:val="20"/>
              </w:rPr>
              <w:t>Not applicable to self</w:t>
            </w:r>
            <w:r w:rsidR="00B45CAB">
              <w:noBreakHyphen/>
            </w:r>
            <w:r w:rsidRPr="52B404F0">
              <w:rPr>
                <w:sz w:val="20"/>
                <w:szCs w:val="20"/>
              </w:rPr>
              <w:t>funded ERISA plans</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09C890CD" w14:textId="77777777" w:rsidR="00B45CAB" w:rsidRPr="00874BEB" w:rsidRDefault="298B7EDD" w:rsidP="52B404F0">
            <w:pPr>
              <w:rPr>
                <w:sz w:val="20"/>
                <w:szCs w:val="20"/>
              </w:rPr>
            </w:pPr>
            <w:r w:rsidRPr="52B404F0">
              <w:rPr>
                <w:sz w:val="20"/>
                <w:szCs w:val="20"/>
              </w:rPr>
              <w:t>Statewide cost</w:t>
            </w:r>
            <w:r w:rsidR="00B45CAB">
              <w:noBreakHyphen/>
            </w:r>
            <w:r w:rsidRPr="52B404F0">
              <w:rPr>
                <w:sz w:val="20"/>
                <w:szCs w:val="20"/>
              </w:rPr>
              <w:t>growth benchmark program</w:t>
            </w:r>
          </w:p>
          <w:p w14:paraId="5C172075" w14:textId="58BAAC6E" w:rsidR="52B404F0" w:rsidRDefault="52B404F0" w:rsidP="52B404F0">
            <w:pPr>
              <w:rPr>
                <w:sz w:val="20"/>
                <w:szCs w:val="20"/>
              </w:rPr>
            </w:pPr>
          </w:p>
          <w:p w14:paraId="6E67C5EA" w14:textId="77777777" w:rsidR="00B45CAB" w:rsidRPr="00874BEB" w:rsidRDefault="298B7EDD" w:rsidP="52B404F0">
            <w:pPr>
              <w:rPr>
                <w:sz w:val="20"/>
                <w:szCs w:val="20"/>
              </w:rPr>
            </w:pPr>
            <w:r w:rsidRPr="52B404F0">
              <w:rPr>
                <w:sz w:val="20"/>
                <w:szCs w:val="20"/>
              </w:rPr>
              <w:t>Identifies systems exceeding allowable growth; can require corrective action plans</w:t>
            </w:r>
          </w:p>
          <w:p w14:paraId="25F6FFD2" w14:textId="2F981582" w:rsidR="52B404F0" w:rsidRDefault="52B404F0" w:rsidP="52B404F0">
            <w:pPr>
              <w:rPr>
                <w:sz w:val="20"/>
                <w:szCs w:val="20"/>
              </w:rPr>
            </w:pPr>
          </w:p>
          <w:p w14:paraId="1E208541" w14:textId="77777777" w:rsidR="00B45CAB" w:rsidRPr="00874BEB" w:rsidRDefault="298B7EDD" w:rsidP="52B404F0">
            <w:pPr>
              <w:rPr>
                <w:sz w:val="20"/>
                <w:szCs w:val="20"/>
              </w:rPr>
            </w:pPr>
            <w:r w:rsidRPr="52B404F0">
              <w:rPr>
                <w:sz w:val="20"/>
                <w:szCs w:val="20"/>
              </w:rPr>
              <w:t>Evaluates provider pricing against Medicare and peer benchmarks</w:t>
            </w:r>
          </w:p>
          <w:p w14:paraId="4F0BD5D4" w14:textId="04E08DFA" w:rsidR="52B404F0" w:rsidRDefault="52B404F0" w:rsidP="52B404F0">
            <w:pPr>
              <w:rPr>
                <w:sz w:val="20"/>
                <w:szCs w:val="20"/>
              </w:rPr>
            </w:pPr>
          </w:p>
          <w:p w14:paraId="60A4C562" w14:textId="77777777" w:rsidR="00B45CAB" w:rsidRPr="00874BEB" w:rsidRDefault="298B7EDD" w:rsidP="52B404F0">
            <w:pPr>
              <w:rPr>
                <w:sz w:val="20"/>
                <w:szCs w:val="20"/>
              </w:rPr>
            </w:pPr>
            <w:r w:rsidRPr="52B404F0">
              <w:rPr>
                <w:sz w:val="20"/>
                <w:szCs w:val="20"/>
              </w:rPr>
              <w:t>Early site</w:t>
            </w:r>
            <w:r w:rsidR="00B45CAB">
              <w:noBreakHyphen/>
            </w:r>
            <w:r w:rsidRPr="52B404F0">
              <w:rPr>
                <w:sz w:val="20"/>
                <w:szCs w:val="20"/>
              </w:rPr>
              <w:t>neutral policies limit add</w:t>
            </w:r>
            <w:r w:rsidR="00B45CAB">
              <w:noBreakHyphen/>
            </w:r>
            <w:r w:rsidRPr="52B404F0">
              <w:rPr>
                <w:sz w:val="20"/>
                <w:szCs w:val="20"/>
              </w:rPr>
              <w:t>on hospital fees in off</w:t>
            </w:r>
            <w:r w:rsidR="00B45CAB">
              <w:noBreakHyphen/>
            </w:r>
            <w:r w:rsidRPr="52B404F0">
              <w:rPr>
                <w:sz w:val="20"/>
                <w:szCs w:val="20"/>
              </w:rPr>
              <w:t>campus sites</w:t>
            </w:r>
          </w:p>
          <w:p w14:paraId="41FFBE1E" w14:textId="277F3D0C" w:rsidR="52B404F0" w:rsidRDefault="52B404F0" w:rsidP="52B404F0">
            <w:pPr>
              <w:rPr>
                <w:sz w:val="20"/>
                <w:szCs w:val="20"/>
              </w:rPr>
            </w:pPr>
          </w:p>
          <w:p w14:paraId="2C353857" w14:textId="77777777" w:rsidR="00B45CAB" w:rsidRPr="00874BEB" w:rsidRDefault="298B7EDD" w:rsidP="52B404F0">
            <w:pPr>
              <w:rPr>
                <w:sz w:val="20"/>
                <w:szCs w:val="20"/>
              </w:rPr>
            </w:pPr>
            <w:r w:rsidRPr="52B404F0">
              <w:rPr>
                <w:sz w:val="20"/>
                <w:szCs w:val="20"/>
              </w:rPr>
              <w:t>Cascade Care public option uses aggregate reimbursement limits</w:t>
            </w:r>
          </w:p>
        </w:tc>
      </w:tr>
      <w:tr w:rsidR="00B45CAB" w:rsidRPr="005674D6" w14:paraId="3308ECD3"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0F19C6F9" w14:textId="77777777" w:rsidR="00B45CAB" w:rsidRPr="00874BEB" w:rsidRDefault="00B45CAB" w:rsidP="00646036">
            <w:pPr>
              <w:rPr>
                <w:sz w:val="20"/>
                <w:szCs w:val="20"/>
                <w:lang w:val="en"/>
              </w:rPr>
            </w:pPr>
            <w:r w:rsidRPr="00874BEB">
              <w:rPr>
                <w:sz w:val="20"/>
                <w:szCs w:val="20"/>
                <w:lang w:val="en"/>
              </w:rPr>
              <w:t>Indiana</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AF308B5" w14:textId="77777777" w:rsidR="00B45CAB" w:rsidRPr="00874BEB" w:rsidRDefault="00B45CAB" w:rsidP="00646036">
            <w:pPr>
              <w:rPr>
                <w:sz w:val="20"/>
                <w:szCs w:val="20"/>
              </w:rPr>
            </w:pPr>
            <w:r w:rsidRPr="00874BEB">
              <w:rPr>
                <w:sz w:val="20"/>
                <w:szCs w:val="20"/>
              </w:rPr>
              <w:t>2020-2024</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08A2082F" w14:textId="77777777" w:rsidR="00B45CAB" w:rsidRPr="00874BEB" w:rsidRDefault="00B45CAB" w:rsidP="00646036">
            <w:pPr>
              <w:rPr>
                <w:sz w:val="20"/>
                <w:szCs w:val="20"/>
              </w:rPr>
            </w:pPr>
            <w:r w:rsidRPr="00874BEB">
              <w:rPr>
                <w:sz w:val="20"/>
                <w:szCs w:val="20"/>
              </w:rPr>
              <w:t>RBP</w:t>
            </w:r>
            <w:r w:rsidRPr="00874BEB">
              <w:rPr>
                <w:rFonts w:eastAsia="Inter" w:cs="Inter"/>
                <w:sz w:val="20"/>
                <w:szCs w:val="20"/>
                <w:lang w:val="en"/>
              </w:rPr>
              <w:noBreakHyphen/>
            </w:r>
            <w:r w:rsidRPr="00874BEB">
              <w:rPr>
                <w:sz w:val="20"/>
                <w:szCs w:val="20"/>
              </w:rPr>
              <w:t>ADJACENT</w:t>
            </w:r>
          </w:p>
          <w:p w14:paraId="4B20B370" w14:textId="77777777" w:rsidR="00B45CAB" w:rsidRPr="00874BEB" w:rsidRDefault="00B45CAB" w:rsidP="00646036">
            <w:pPr>
              <w:rPr>
                <w:sz w:val="20"/>
                <w:szCs w:val="20"/>
              </w:rPr>
            </w:pPr>
          </w:p>
          <w:p w14:paraId="4090AAA7" w14:textId="77777777" w:rsidR="00B45CAB" w:rsidRPr="00874BEB" w:rsidRDefault="00B45CAB" w:rsidP="00646036">
            <w:pPr>
              <w:rPr>
                <w:sz w:val="20"/>
                <w:szCs w:val="20"/>
              </w:rPr>
            </w:pPr>
            <w:r w:rsidRPr="00874BEB">
              <w:rPr>
                <w:sz w:val="20"/>
                <w:szCs w:val="20"/>
              </w:rPr>
              <w:t>Site</w:t>
            </w:r>
            <w:r w:rsidRPr="00874BEB">
              <w:rPr>
                <w:rFonts w:eastAsia="Inter" w:cs="Inter"/>
                <w:sz w:val="20"/>
                <w:szCs w:val="20"/>
                <w:lang w:val="en"/>
              </w:rPr>
              <w:noBreakHyphen/>
            </w:r>
            <w:r w:rsidRPr="00874BEB">
              <w:rPr>
                <w:sz w:val="20"/>
                <w:szCs w:val="20"/>
              </w:rPr>
              <w:t>neutral payment + Medicare benchmark comparison</w:t>
            </w:r>
          </w:p>
          <w:p w14:paraId="08EF8FC7" w14:textId="77777777" w:rsidR="00B45CAB" w:rsidRPr="00874BEB" w:rsidRDefault="00B45CAB" w:rsidP="00646036">
            <w:pPr>
              <w:rPr>
                <w:sz w:val="20"/>
                <w:szCs w:val="20"/>
              </w:rPr>
            </w:pPr>
          </w:p>
          <w:p w14:paraId="696B873A"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5D2FB647" w14:textId="77777777" w:rsidR="00B45CAB" w:rsidRPr="00874BEB" w:rsidRDefault="298B7EDD" w:rsidP="52B404F0">
            <w:pPr>
              <w:rPr>
                <w:sz w:val="20"/>
                <w:szCs w:val="20"/>
              </w:rPr>
            </w:pPr>
            <w:r w:rsidRPr="52B404F0">
              <w:rPr>
                <w:sz w:val="20"/>
                <w:szCs w:val="20"/>
              </w:rPr>
              <w:t>Commercial fully insured: individual, small group, large group</w:t>
            </w:r>
          </w:p>
          <w:p w14:paraId="5DD6E3DB" w14:textId="212F5FD4" w:rsidR="52B404F0" w:rsidRDefault="52B404F0" w:rsidP="52B404F0">
            <w:pPr>
              <w:rPr>
                <w:sz w:val="20"/>
                <w:szCs w:val="20"/>
              </w:rPr>
            </w:pPr>
          </w:p>
          <w:p w14:paraId="0A70A574" w14:textId="77777777" w:rsidR="00B45CAB" w:rsidRPr="00874BEB" w:rsidRDefault="298B7EDD" w:rsidP="52B404F0">
            <w:pPr>
              <w:rPr>
                <w:sz w:val="20"/>
                <w:szCs w:val="20"/>
              </w:rPr>
            </w:pPr>
            <w:r w:rsidRPr="52B404F0">
              <w:rPr>
                <w:sz w:val="20"/>
                <w:szCs w:val="20"/>
              </w:rPr>
              <w:t>Regulated hospital systems: facility fee oversight</w:t>
            </w:r>
          </w:p>
          <w:p w14:paraId="26A3B4F6" w14:textId="7257706A" w:rsidR="52B404F0" w:rsidRDefault="52B404F0" w:rsidP="52B404F0">
            <w:pPr>
              <w:rPr>
                <w:sz w:val="20"/>
                <w:szCs w:val="20"/>
              </w:rPr>
            </w:pPr>
          </w:p>
          <w:p w14:paraId="1E87F696" w14:textId="77777777" w:rsidR="00B45CAB" w:rsidRPr="00874BEB" w:rsidRDefault="298B7EDD" w:rsidP="52B404F0">
            <w:pPr>
              <w:rPr>
                <w:sz w:val="20"/>
                <w:szCs w:val="20"/>
              </w:rPr>
            </w:pPr>
            <w:r w:rsidRPr="52B404F0">
              <w:rPr>
                <w:sz w:val="20"/>
                <w:szCs w:val="20"/>
              </w:rPr>
              <w:t>Not applicable to self</w:t>
            </w:r>
            <w:r w:rsidR="00B45CAB">
              <w:noBreakHyphen/>
            </w:r>
            <w:r w:rsidRPr="52B404F0">
              <w:rPr>
                <w:sz w:val="20"/>
                <w:szCs w:val="20"/>
              </w:rPr>
              <w:t>funded ERISA unless voluntarily aligned</w:t>
            </w:r>
          </w:p>
          <w:p w14:paraId="1CE2BE85" w14:textId="0D082248" w:rsidR="52B404F0" w:rsidRDefault="52B404F0" w:rsidP="52B404F0">
            <w:pPr>
              <w:rPr>
                <w:sz w:val="20"/>
                <w:szCs w:val="20"/>
              </w:rPr>
            </w:pPr>
          </w:p>
          <w:p w14:paraId="610B88BF" w14:textId="77777777" w:rsidR="00B45CAB" w:rsidRPr="00874BEB" w:rsidRDefault="298B7EDD" w:rsidP="52B404F0">
            <w:pPr>
              <w:rPr>
                <w:sz w:val="20"/>
                <w:szCs w:val="20"/>
              </w:rPr>
            </w:pPr>
            <w:r w:rsidRPr="52B404F0">
              <w:rPr>
                <w:sz w:val="20"/>
                <w:szCs w:val="20"/>
              </w:rPr>
              <w:t>No direct applicability to Medicaid/Medicare</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1289E054" w14:textId="77777777" w:rsidR="00B45CAB" w:rsidRPr="00874BEB" w:rsidRDefault="298B7EDD" w:rsidP="52B404F0">
            <w:pPr>
              <w:rPr>
                <w:sz w:val="20"/>
                <w:szCs w:val="20"/>
              </w:rPr>
            </w:pPr>
            <w:r w:rsidRPr="52B404F0">
              <w:rPr>
                <w:sz w:val="20"/>
                <w:szCs w:val="20"/>
              </w:rPr>
              <w:t>Restricts off</w:t>
            </w:r>
            <w:r w:rsidR="00B45CAB">
              <w:noBreakHyphen/>
            </w:r>
            <w:r w:rsidRPr="52B404F0">
              <w:rPr>
                <w:sz w:val="20"/>
                <w:szCs w:val="20"/>
              </w:rPr>
              <w:t>campus hospital facility fees; promotes payment parity with independent clinics</w:t>
            </w:r>
          </w:p>
          <w:p w14:paraId="21B0D5CC" w14:textId="7F711048" w:rsidR="52B404F0" w:rsidRDefault="52B404F0" w:rsidP="52B404F0">
            <w:pPr>
              <w:rPr>
                <w:sz w:val="20"/>
                <w:szCs w:val="20"/>
              </w:rPr>
            </w:pPr>
          </w:p>
          <w:p w14:paraId="4E6FC14B" w14:textId="77777777" w:rsidR="00B45CAB" w:rsidRPr="00874BEB" w:rsidRDefault="298B7EDD" w:rsidP="52B404F0">
            <w:pPr>
              <w:rPr>
                <w:sz w:val="20"/>
                <w:szCs w:val="20"/>
              </w:rPr>
            </w:pPr>
            <w:r w:rsidRPr="52B404F0">
              <w:rPr>
                <w:sz w:val="20"/>
                <w:szCs w:val="20"/>
              </w:rPr>
              <w:t>Uses RAND studies (Medicare multiples) to evaluate high commercial prices</w:t>
            </w:r>
          </w:p>
          <w:p w14:paraId="58998899" w14:textId="0817628F" w:rsidR="52B404F0" w:rsidRDefault="52B404F0" w:rsidP="52B404F0">
            <w:pPr>
              <w:rPr>
                <w:sz w:val="20"/>
                <w:szCs w:val="20"/>
              </w:rPr>
            </w:pPr>
          </w:p>
          <w:p w14:paraId="30573EBA" w14:textId="77777777" w:rsidR="00B45CAB" w:rsidRPr="00874BEB" w:rsidRDefault="298B7EDD" w:rsidP="52B404F0">
            <w:pPr>
              <w:rPr>
                <w:sz w:val="20"/>
                <w:szCs w:val="20"/>
              </w:rPr>
            </w:pPr>
            <w:r w:rsidRPr="52B404F0">
              <w:rPr>
                <w:sz w:val="20"/>
                <w:szCs w:val="20"/>
              </w:rPr>
              <w:t>APCD launched 2024 enabling uniform benchmarking</w:t>
            </w:r>
          </w:p>
          <w:p w14:paraId="7E1E05E9" w14:textId="65A7469D" w:rsidR="52B404F0" w:rsidRDefault="52B404F0" w:rsidP="52B404F0">
            <w:pPr>
              <w:rPr>
                <w:sz w:val="20"/>
                <w:szCs w:val="20"/>
              </w:rPr>
            </w:pPr>
          </w:p>
          <w:p w14:paraId="21396CA0" w14:textId="36A409C7" w:rsidR="00B45CAB" w:rsidRPr="00874BEB" w:rsidRDefault="298B7EDD" w:rsidP="52B404F0">
            <w:pPr>
              <w:rPr>
                <w:sz w:val="20"/>
                <w:szCs w:val="20"/>
              </w:rPr>
            </w:pPr>
            <w:r w:rsidRPr="52B404F0">
              <w:rPr>
                <w:sz w:val="20"/>
                <w:szCs w:val="20"/>
              </w:rPr>
              <w:t>Transparency dashboards allow employers to compare hospital price positions</w:t>
            </w:r>
          </w:p>
        </w:tc>
      </w:tr>
      <w:tr w:rsidR="00B45CAB" w:rsidRPr="005674D6" w14:paraId="5BA679FA"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5C66C89A" w14:textId="77777777" w:rsidR="00B45CAB" w:rsidRPr="00874BEB" w:rsidRDefault="00B45CAB" w:rsidP="00646036">
            <w:pPr>
              <w:rPr>
                <w:sz w:val="20"/>
                <w:szCs w:val="20"/>
                <w:lang w:val="en"/>
              </w:rPr>
            </w:pPr>
            <w:r w:rsidRPr="00874BEB">
              <w:rPr>
                <w:sz w:val="20"/>
                <w:szCs w:val="20"/>
                <w:lang w:val="en"/>
              </w:rPr>
              <w:t>Alaska</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6E2AA178" w14:textId="77777777" w:rsidR="00B45CAB" w:rsidRPr="00874BEB" w:rsidRDefault="00B45CAB" w:rsidP="00646036">
            <w:pPr>
              <w:rPr>
                <w:sz w:val="20"/>
                <w:szCs w:val="20"/>
              </w:rPr>
            </w:pPr>
            <w:r w:rsidRPr="00874BEB">
              <w:rPr>
                <w:sz w:val="20"/>
                <w:szCs w:val="20"/>
              </w:rPr>
              <w:t>2024</w:t>
            </w:r>
          </w:p>
          <w:p w14:paraId="74817D83" w14:textId="77777777" w:rsidR="00B45CAB" w:rsidRPr="00874BEB" w:rsidRDefault="00B45CAB" w:rsidP="00646036">
            <w:pPr>
              <w:rPr>
                <w:sz w:val="20"/>
                <w:szCs w:val="20"/>
              </w:rPr>
            </w:pP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6B913C9" w14:textId="77777777" w:rsidR="00B45CAB" w:rsidRPr="00874BEB" w:rsidRDefault="00B45CAB" w:rsidP="00646036">
            <w:pPr>
              <w:rPr>
                <w:sz w:val="20"/>
                <w:szCs w:val="20"/>
              </w:rPr>
            </w:pPr>
            <w:r w:rsidRPr="00874BEB">
              <w:rPr>
                <w:sz w:val="20"/>
                <w:szCs w:val="20"/>
              </w:rPr>
              <w:t>RBP (Sets “Floor”)</w:t>
            </w:r>
          </w:p>
          <w:p w14:paraId="2538CFFA" w14:textId="77777777" w:rsidR="00B45CAB" w:rsidRPr="00874BEB" w:rsidRDefault="00B45CAB" w:rsidP="00646036">
            <w:pPr>
              <w:rPr>
                <w:sz w:val="20"/>
                <w:szCs w:val="20"/>
              </w:rPr>
            </w:pPr>
          </w:p>
          <w:p w14:paraId="0F8F6804" w14:textId="77777777" w:rsidR="00B45CAB" w:rsidRPr="00874BEB" w:rsidRDefault="00B45CAB" w:rsidP="00646036">
            <w:pPr>
              <w:rPr>
                <w:sz w:val="20"/>
                <w:szCs w:val="20"/>
              </w:rPr>
            </w:pPr>
            <w:r w:rsidRPr="00874BEB">
              <w:rPr>
                <w:sz w:val="20"/>
                <w:szCs w:val="20"/>
              </w:rPr>
              <w:t>Medicare</w:t>
            </w:r>
            <w:r w:rsidRPr="00874BEB">
              <w:rPr>
                <w:rFonts w:eastAsia="Inter" w:cs="Inter"/>
                <w:sz w:val="20"/>
                <w:szCs w:val="20"/>
                <w:lang w:val="en"/>
              </w:rPr>
              <w:noBreakHyphen/>
            </w:r>
            <w:r w:rsidRPr="00874BEB">
              <w:rPr>
                <w:sz w:val="20"/>
                <w:szCs w:val="20"/>
              </w:rPr>
              <w:t>referenced OON minimums (carrier</w:t>
            </w:r>
            <w:r w:rsidRPr="00874BEB">
              <w:rPr>
                <w:rFonts w:eastAsia="Inter" w:cs="Inter"/>
                <w:sz w:val="20"/>
                <w:szCs w:val="20"/>
                <w:lang w:val="en"/>
              </w:rPr>
              <w:noBreakHyphen/>
            </w:r>
            <w:r w:rsidRPr="00874BEB">
              <w:rPr>
                <w:sz w:val="20"/>
                <w:szCs w:val="20"/>
              </w:rPr>
              <w:t>driven)</w:t>
            </w:r>
          </w:p>
          <w:p w14:paraId="0B960BCB" w14:textId="77777777" w:rsidR="00B45CAB" w:rsidRPr="00874BEB" w:rsidRDefault="00B45CAB" w:rsidP="00646036">
            <w:pPr>
              <w:rPr>
                <w:sz w:val="20"/>
                <w:szCs w:val="20"/>
              </w:rPr>
            </w:pPr>
          </w:p>
          <w:p w14:paraId="164F0FEA"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2223B14" w14:textId="77777777" w:rsidR="00B45CAB" w:rsidRPr="00874BEB" w:rsidRDefault="298B7EDD" w:rsidP="52B404F0">
            <w:pPr>
              <w:rPr>
                <w:sz w:val="20"/>
                <w:szCs w:val="20"/>
              </w:rPr>
            </w:pPr>
            <w:r w:rsidRPr="52B404F0">
              <w:rPr>
                <w:sz w:val="20"/>
                <w:szCs w:val="20"/>
              </w:rPr>
              <w:t>Commercial fully insured: Premera dominant market share</w:t>
            </w:r>
          </w:p>
          <w:p w14:paraId="706E27BB" w14:textId="6F0CF827" w:rsidR="52B404F0" w:rsidRDefault="52B404F0" w:rsidP="52B404F0">
            <w:pPr>
              <w:rPr>
                <w:sz w:val="20"/>
                <w:szCs w:val="20"/>
              </w:rPr>
            </w:pPr>
          </w:p>
          <w:p w14:paraId="26415B83" w14:textId="77777777" w:rsidR="00B45CAB" w:rsidRPr="00874BEB" w:rsidRDefault="298B7EDD" w:rsidP="52B404F0">
            <w:pPr>
              <w:rPr>
                <w:sz w:val="20"/>
                <w:szCs w:val="20"/>
              </w:rPr>
            </w:pPr>
            <w:r w:rsidRPr="52B404F0">
              <w:rPr>
                <w:sz w:val="20"/>
                <w:szCs w:val="20"/>
              </w:rPr>
              <w:t>Self</w:t>
            </w:r>
            <w:r w:rsidR="00B45CAB">
              <w:noBreakHyphen/>
            </w:r>
            <w:r w:rsidRPr="52B404F0">
              <w:rPr>
                <w:sz w:val="20"/>
                <w:szCs w:val="20"/>
              </w:rPr>
              <w:t>funded Administrative Services Only (ASO) clients: adopting same out-of-network policies</w:t>
            </w:r>
          </w:p>
          <w:p w14:paraId="207D9339" w14:textId="04B36AB4" w:rsidR="52B404F0" w:rsidRDefault="52B404F0" w:rsidP="52B404F0">
            <w:pPr>
              <w:rPr>
                <w:sz w:val="20"/>
                <w:szCs w:val="20"/>
              </w:rPr>
            </w:pPr>
          </w:p>
          <w:p w14:paraId="34608423" w14:textId="77777777" w:rsidR="00B45CAB" w:rsidRPr="00874BEB" w:rsidRDefault="298B7EDD" w:rsidP="52B404F0">
            <w:pPr>
              <w:rPr>
                <w:sz w:val="20"/>
                <w:szCs w:val="20"/>
              </w:rPr>
            </w:pPr>
            <w:r w:rsidRPr="52B404F0">
              <w:rPr>
                <w:sz w:val="20"/>
                <w:szCs w:val="20"/>
              </w:rPr>
              <w:t>Not a state mandate; no applicability to Medicaid/Medicare</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5B9FA7E" w14:textId="77777777" w:rsidR="00B45CAB" w:rsidRPr="00874BEB" w:rsidRDefault="298B7EDD" w:rsidP="52B404F0">
            <w:pPr>
              <w:rPr>
                <w:sz w:val="20"/>
                <w:szCs w:val="20"/>
              </w:rPr>
            </w:pPr>
            <w:r w:rsidRPr="52B404F0">
              <w:rPr>
                <w:sz w:val="20"/>
                <w:szCs w:val="20"/>
              </w:rPr>
              <w:t>Replacement of 80th percentile rule (from 2004) with out-of-network (OON) payment tied to ~125–200% of Medicare</w:t>
            </w:r>
          </w:p>
          <w:p w14:paraId="33ADDE93" w14:textId="41F56828" w:rsidR="52B404F0" w:rsidRDefault="52B404F0" w:rsidP="52B404F0">
            <w:pPr>
              <w:rPr>
                <w:sz w:val="20"/>
                <w:szCs w:val="20"/>
              </w:rPr>
            </w:pPr>
          </w:p>
          <w:p w14:paraId="7ACBB46C" w14:textId="77777777" w:rsidR="00B45CAB" w:rsidRPr="00874BEB" w:rsidRDefault="298B7EDD" w:rsidP="52B404F0">
            <w:pPr>
              <w:rPr>
                <w:sz w:val="20"/>
                <w:szCs w:val="20"/>
              </w:rPr>
            </w:pPr>
            <w:r w:rsidRPr="52B404F0">
              <w:rPr>
                <w:sz w:val="20"/>
                <w:szCs w:val="20"/>
              </w:rPr>
              <w:t>Eliminates inflationary charge</w:t>
            </w:r>
            <w:r w:rsidR="00B45CAB">
              <w:noBreakHyphen/>
            </w:r>
            <w:r w:rsidRPr="52B404F0">
              <w:rPr>
                <w:sz w:val="20"/>
                <w:szCs w:val="20"/>
              </w:rPr>
              <w:t>based minimum payments (which were less stable and more influenced by provider price inflation)</w:t>
            </w:r>
          </w:p>
          <w:p w14:paraId="25B347B1" w14:textId="1FC817FB" w:rsidR="52B404F0" w:rsidRDefault="52B404F0" w:rsidP="52B404F0">
            <w:pPr>
              <w:rPr>
                <w:sz w:val="20"/>
                <w:szCs w:val="20"/>
              </w:rPr>
            </w:pPr>
          </w:p>
          <w:p w14:paraId="73D58ECA" w14:textId="77777777" w:rsidR="00B45CAB" w:rsidRPr="00874BEB" w:rsidRDefault="298B7EDD" w:rsidP="52B404F0">
            <w:pPr>
              <w:rPr>
                <w:sz w:val="20"/>
                <w:szCs w:val="20"/>
              </w:rPr>
            </w:pPr>
            <w:r w:rsidRPr="52B404F0">
              <w:rPr>
                <w:sz w:val="20"/>
                <w:szCs w:val="20"/>
              </w:rPr>
              <w:t>Represents market</w:t>
            </w:r>
            <w:r w:rsidR="00B45CAB">
              <w:noBreakHyphen/>
            </w:r>
            <w:r w:rsidRPr="52B404F0">
              <w:rPr>
                <w:sz w:val="20"/>
                <w:szCs w:val="20"/>
              </w:rPr>
              <w:t>driven shift toward Medicare benchmarking (which is more stable and less influenced by provider price inflation)</w:t>
            </w:r>
          </w:p>
          <w:p w14:paraId="5B173B1B" w14:textId="60CD73A7" w:rsidR="52B404F0" w:rsidRDefault="52B404F0" w:rsidP="52B404F0">
            <w:pPr>
              <w:rPr>
                <w:sz w:val="20"/>
                <w:szCs w:val="20"/>
              </w:rPr>
            </w:pPr>
          </w:p>
          <w:p w14:paraId="62D3C973" w14:textId="77777777" w:rsidR="00B45CAB" w:rsidRPr="00874BEB" w:rsidRDefault="298B7EDD" w:rsidP="52B404F0">
            <w:pPr>
              <w:rPr>
                <w:sz w:val="20"/>
                <w:szCs w:val="20"/>
              </w:rPr>
            </w:pPr>
            <w:r w:rsidRPr="52B404F0">
              <w:rPr>
                <w:sz w:val="20"/>
                <w:szCs w:val="20"/>
              </w:rPr>
              <w:t>Major carrier policy decision, not a statute—creates partial RBP dynamics in OON care</w:t>
            </w:r>
          </w:p>
          <w:p w14:paraId="5E95539A" w14:textId="14A454AC" w:rsidR="52B404F0" w:rsidRDefault="52B404F0" w:rsidP="52B404F0">
            <w:pPr>
              <w:rPr>
                <w:sz w:val="20"/>
                <w:szCs w:val="20"/>
              </w:rPr>
            </w:pPr>
          </w:p>
          <w:p w14:paraId="71E43A88" w14:textId="77777777" w:rsidR="00B45CAB" w:rsidRPr="00874BEB" w:rsidRDefault="298B7EDD" w:rsidP="52B404F0">
            <w:pPr>
              <w:rPr>
                <w:sz w:val="20"/>
                <w:szCs w:val="20"/>
              </w:rPr>
            </w:pPr>
            <w:r w:rsidRPr="52B404F0">
              <w:rPr>
                <w:sz w:val="20"/>
                <w:szCs w:val="20"/>
              </w:rPr>
              <w:t>Legislature continues to explore state mandated OON minimums</w:t>
            </w:r>
          </w:p>
        </w:tc>
      </w:tr>
      <w:tr w:rsidR="00B45CAB" w:rsidRPr="005674D6" w14:paraId="43C0898B" w14:textId="77777777" w:rsidTr="00B94A58">
        <w:trPr>
          <w:trHeight w:val="300"/>
        </w:trPr>
        <w:tc>
          <w:tcPr>
            <w:tcW w:w="132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3A92CA12" w14:textId="77777777" w:rsidR="00B45CAB" w:rsidRPr="00874BEB" w:rsidRDefault="00B45CAB" w:rsidP="00646036">
            <w:pPr>
              <w:rPr>
                <w:rFonts w:eastAsia="Inter" w:cs="Inter"/>
                <w:sz w:val="20"/>
                <w:szCs w:val="20"/>
                <w:lang w:val="en"/>
              </w:rPr>
            </w:pPr>
            <w:r w:rsidRPr="00874BEB">
              <w:rPr>
                <w:sz w:val="20"/>
                <w:szCs w:val="20"/>
                <w:lang w:val="en"/>
              </w:rPr>
              <w:t>Delaware</w:t>
            </w:r>
          </w:p>
        </w:tc>
        <w:tc>
          <w:tcPr>
            <w:tcW w:w="177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2C5EF14D" w14:textId="77777777" w:rsidR="00B45CAB" w:rsidRPr="00874BEB" w:rsidRDefault="00B45CAB" w:rsidP="00646036">
            <w:pPr>
              <w:rPr>
                <w:rFonts w:eastAsia="Inter" w:cs="Inter"/>
                <w:sz w:val="20"/>
                <w:szCs w:val="20"/>
                <w:lang w:val="en"/>
              </w:rPr>
            </w:pPr>
            <w:r w:rsidRPr="00874BEB">
              <w:rPr>
                <w:sz w:val="20"/>
                <w:szCs w:val="20"/>
              </w:rPr>
              <w:t>2026</w:t>
            </w:r>
          </w:p>
        </w:tc>
        <w:tc>
          <w:tcPr>
            <w:tcW w:w="2147"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515BEBDE" w14:textId="77777777" w:rsidR="00B45CAB" w:rsidRPr="00874BEB" w:rsidRDefault="00B45CAB" w:rsidP="00646036">
            <w:pPr>
              <w:rPr>
                <w:rFonts w:eastAsia="Inter" w:cs="Inter"/>
                <w:sz w:val="20"/>
                <w:szCs w:val="20"/>
                <w:lang w:val="en"/>
              </w:rPr>
            </w:pPr>
            <w:r w:rsidRPr="00874BEB">
              <w:rPr>
                <w:sz w:val="20"/>
                <w:szCs w:val="20"/>
              </w:rPr>
              <w:t>RBP</w:t>
            </w:r>
          </w:p>
          <w:p w14:paraId="4E7475C5" w14:textId="77777777" w:rsidR="00B45CAB" w:rsidRPr="00874BEB" w:rsidRDefault="00B45CAB" w:rsidP="00646036">
            <w:pPr>
              <w:rPr>
                <w:sz w:val="20"/>
                <w:szCs w:val="20"/>
              </w:rPr>
            </w:pPr>
          </w:p>
          <w:p w14:paraId="64D6E367" w14:textId="77777777" w:rsidR="00B45CAB" w:rsidRPr="00874BEB" w:rsidRDefault="00B45CAB" w:rsidP="00646036">
            <w:pPr>
              <w:rPr>
                <w:rFonts w:eastAsia="Inter" w:cs="Inter"/>
                <w:sz w:val="20"/>
                <w:szCs w:val="20"/>
                <w:lang w:val="en"/>
              </w:rPr>
            </w:pPr>
            <w:r w:rsidRPr="00874BEB">
              <w:rPr>
                <w:sz w:val="20"/>
                <w:szCs w:val="20"/>
              </w:rPr>
              <w:t>Primary Care reimbursement cap</w:t>
            </w:r>
          </w:p>
          <w:p w14:paraId="22DEC248" w14:textId="77777777" w:rsidR="00B45CAB" w:rsidRPr="00874BEB" w:rsidRDefault="00B45CAB" w:rsidP="00646036">
            <w:pPr>
              <w:rPr>
                <w:sz w:val="20"/>
                <w:szCs w:val="20"/>
              </w:rPr>
            </w:pPr>
          </w:p>
          <w:p w14:paraId="56D01228" w14:textId="77777777" w:rsidR="00B45CAB" w:rsidRPr="00874BEB" w:rsidRDefault="00B45CAB" w:rsidP="00646036">
            <w:pPr>
              <w:rPr>
                <w:sz w:val="20"/>
                <w:szCs w:val="20"/>
              </w:rPr>
            </w:pPr>
          </w:p>
        </w:tc>
        <w:tc>
          <w:tcPr>
            <w:tcW w:w="224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075565BF" w14:textId="77777777" w:rsidR="00B45CAB" w:rsidRPr="00874BEB" w:rsidRDefault="298B7EDD" w:rsidP="52B404F0">
            <w:pPr>
              <w:rPr>
                <w:sz w:val="20"/>
                <w:szCs w:val="20"/>
              </w:rPr>
            </w:pPr>
            <w:r w:rsidRPr="52B404F0">
              <w:rPr>
                <w:sz w:val="20"/>
                <w:szCs w:val="20"/>
              </w:rPr>
              <w:t>Primary Care providers in the fully insured market</w:t>
            </w:r>
          </w:p>
        </w:tc>
        <w:tc>
          <w:tcPr>
            <w:tcW w:w="2593"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FFFFF" w:themeFill="background2"/>
          </w:tcPr>
          <w:p w14:paraId="722D025C" w14:textId="77777777" w:rsidR="00B45CAB" w:rsidRPr="00874BEB" w:rsidRDefault="298B7EDD" w:rsidP="52B404F0">
            <w:pPr>
              <w:rPr>
                <w:sz w:val="20"/>
                <w:szCs w:val="20"/>
              </w:rPr>
            </w:pPr>
            <w:r w:rsidRPr="52B404F0">
              <w:rPr>
                <w:sz w:val="20"/>
                <w:szCs w:val="20"/>
              </w:rPr>
              <w:t>2028 and thereafter, cost per service for health benefit plans may not exceed 250% of Medicare reimbursement for comparable services, or a rate set by regulation, unless operating under a federal or state global budget model approved by the Department. Carriers issuing plans in the commercial market for 2 consecutive years and that cover more than 5,000 members must meet minimum percentages of alternative payment model contracting, as specified.</w:t>
            </w:r>
          </w:p>
        </w:tc>
      </w:tr>
    </w:tbl>
    <w:p w14:paraId="0549729B" w14:textId="34FE15B4" w:rsidR="00B45CAB" w:rsidRPr="005674D6" w:rsidRDefault="00B45CAB" w:rsidP="52B404F0">
      <w:pPr>
        <w:rPr>
          <w:lang w:val="en"/>
        </w:rPr>
      </w:pPr>
    </w:p>
    <w:p w14:paraId="6DBE6186" w14:textId="77777777" w:rsidR="00B45CAB" w:rsidRPr="005674D6" w:rsidRDefault="00B45CAB" w:rsidP="00C53BA8">
      <w:pPr>
        <w:pStyle w:val="NonTOCHeading"/>
        <w:rPr>
          <w:rFonts w:ascii="Inter" w:eastAsia="Inter" w:hAnsi="Inter" w:cs="Inter"/>
          <w:bCs/>
          <w:sz w:val="22"/>
          <w:szCs w:val="22"/>
          <w:lang w:val="en"/>
        </w:rPr>
      </w:pPr>
      <w:r w:rsidRPr="005674D6">
        <w:rPr>
          <w:lang w:val="en"/>
        </w:rPr>
        <w:t>Discussion of Broad Policy Levers to Consider</w:t>
      </w:r>
    </w:p>
    <w:p w14:paraId="3BB03AE1" w14:textId="77777777" w:rsidR="00B45CAB" w:rsidRPr="005674D6" w:rsidRDefault="298B7EDD" w:rsidP="00646036">
      <w:r>
        <w:t>There are multiple broad policy levers states can consider when pursuing reference-based pricing or reference-based pricing adjacent state policy options.</w:t>
      </w:r>
    </w:p>
    <w:p w14:paraId="4429A1D0" w14:textId="2289DF9B" w:rsidR="52B404F0" w:rsidRDefault="52B404F0" w:rsidP="52B404F0">
      <w:pPr>
        <w:rPr>
          <w:lang w:val="en"/>
        </w:rPr>
      </w:pPr>
    </w:p>
    <w:p w14:paraId="72CFA479" w14:textId="77777777" w:rsidR="00B45CAB" w:rsidRPr="00C53BA8" w:rsidRDefault="298B7EDD" w:rsidP="00C53BA8">
      <w:pPr>
        <w:rPr>
          <w:b/>
          <w:bCs/>
          <w:lang w:val="en"/>
        </w:rPr>
      </w:pPr>
      <w:r w:rsidRPr="00C53BA8">
        <w:rPr>
          <w:b/>
          <w:bCs/>
          <w:lang w:val="en"/>
        </w:rPr>
        <w:t>RBP and Facility Fees</w:t>
      </w:r>
    </w:p>
    <w:p w14:paraId="22E5B4E3" w14:textId="35B8AA2A" w:rsidR="00B45CAB" w:rsidRPr="005674D6" w:rsidRDefault="00B45CAB" w:rsidP="00646036">
      <w:r w:rsidRPr="005674D6">
        <w:rPr>
          <w:lang w:val="en"/>
        </w:rPr>
        <w:t xml:space="preserve">Facility-fee reform is one policy lever states may consider when examining </w:t>
      </w:r>
      <w:r w:rsidR="007C1C4E">
        <w:rPr>
          <w:lang w:val="en"/>
        </w:rPr>
        <w:t>health care</w:t>
      </w:r>
      <w:r w:rsidRPr="005674D6">
        <w:rPr>
          <w:lang w:val="en"/>
        </w:rPr>
        <w:t xml:space="preserve"> </w:t>
      </w:r>
      <w:r w:rsidRPr="005674D6">
        <w:t>affordability and site-of-care payment differences. When a hospital or health system acquires a physician practice or designates an outpatient location as hospital-based, routine services may be billed with an additional facility charge even when the clinician, location, and care provided have not materially changed. These charges can increase health plan claims, consumer cost-sharing, and ultimately premiums without necessarily reflecting additional clinical value or hospital-level resources.</w:t>
      </w:r>
    </w:p>
    <w:p w14:paraId="615936EA" w14:textId="77777777" w:rsidR="00B45CAB" w:rsidRPr="005674D6" w:rsidRDefault="00B45CAB" w:rsidP="00646036"/>
    <w:p w14:paraId="369C8FAB" w14:textId="77777777" w:rsidR="00B45CAB" w:rsidRPr="005674D6" w:rsidRDefault="00B45CAB" w:rsidP="00646036">
      <w:r w:rsidRPr="005674D6">
        <w:t>States have taken different approaches depending on their markets, regulatory authority, and affordability priorities. Available policy options include enhanced disclosure and reporting requirements, accurate identification of the site of care on claims, limits on facility fees for specified services or locations, and site-neutral payment requirements for services that can be safely and appropriately delivered in multiple settings.</w:t>
      </w:r>
    </w:p>
    <w:p w14:paraId="2F4052BD" w14:textId="77777777" w:rsidR="00B45CAB" w:rsidRPr="005674D6" w:rsidRDefault="00B45CAB" w:rsidP="00646036"/>
    <w:p w14:paraId="51B2D84D" w14:textId="77777777" w:rsidR="00B45CAB" w:rsidRPr="005674D6" w:rsidRDefault="298B7EDD" w:rsidP="00646036">
      <w:r>
        <w:t>Where a state chooses to pursue facility-fee reform, relevant design considerations may include:</w:t>
      </w:r>
    </w:p>
    <w:p w14:paraId="4719C78A" w14:textId="1981DF24" w:rsidR="52B404F0" w:rsidRDefault="52B404F0"/>
    <w:p w14:paraId="5520F24A" w14:textId="77777777" w:rsidR="00B45CAB" w:rsidRPr="005674D6" w:rsidRDefault="00B45CAB" w:rsidP="00932C4D">
      <w:pPr>
        <w:pStyle w:val="ListParagraph"/>
        <w:numPr>
          <w:ilvl w:val="0"/>
          <w:numId w:val="40"/>
        </w:numPr>
      </w:pPr>
      <w:r w:rsidRPr="005674D6">
        <w:t xml:space="preserve">Whether the policy applies to particular services, locations, or both; </w:t>
      </w:r>
    </w:p>
    <w:p w14:paraId="6BFBE56F" w14:textId="77777777" w:rsidR="00B45CAB" w:rsidRPr="005674D6" w:rsidRDefault="00B45CAB" w:rsidP="00932C4D">
      <w:pPr>
        <w:pStyle w:val="ListParagraph"/>
        <w:numPr>
          <w:ilvl w:val="0"/>
          <w:numId w:val="40"/>
        </w:numPr>
      </w:pPr>
      <w:r w:rsidRPr="005674D6">
        <w:t xml:space="preserve">Whether it regulates provider billing, insurer reimbursement, or consumer cost-sharing; </w:t>
      </w:r>
    </w:p>
    <w:p w14:paraId="399DCA63" w14:textId="77777777" w:rsidR="00B45CAB" w:rsidRPr="005674D6" w:rsidRDefault="00B45CAB" w:rsidP="00932C4D">
      <w:pPr>
        <w:pStyle w:val="ListParagraph"/>
        <w:numPr>
          <w:ilvl w:val="0"/>
          <w:numId w:val="40"/>
        </w:numPr>
      </w:pPr>
      <w:r w:rsidRPr="005674D6">
        <w:t xml:space="preserve">How claims will identify the actual site where care was delivered; </w:t>
      </w:r>
    </w:p>
    <w:p w14:paraId="756A0391" w14:textId="77777777" w:rsidR="00B45CAB" w:rsidRPr="005674D6" w:rsidRDefault="00B45CAB" w:rsidP="00932C4D">
      <w:pPr>
        <w:pStyle w:val="ListParagraph"/>
        <w:numPr>
          <w:ilvl w:val="0"/>
          <w:numId w:val="40"/>
        </w:numPr>
      </w:pPr>
      <w:r w:rsidRPr="005674D6">
        <w:t xml:space="preserve">Whether prohibited amounts may be billed to the consumer; </w:t>
      </w:r>
    </w:p>
    <w:p w14:paraId="7F17B613" w14:textId="77777777" w:rsidR="00B45CAB" w:rsidRPr="005674D6" w:rsidRDefault="00B45CAB" w:rsidP="00932C4D">
      <w:pPr>
        <w:pStyle w:val="ListParagraph"/>
        <w:numPr>
          <w:ilvl w:val="0"/>
          <w:numId w:val="40"/>
        </w:numPr>
      </w:pPr>
      <w:r w:rsidRPr="005674D6">
        <w:t xml:space="preserve">How emergency, trauma, rural, safety-net, or essential-access services are treated; </w:t>
      </w:r>
    </w:p>
    <w:p w14:paraId="4BB10664" w14:textId="77777777" w:rsidR="00B45CAB" w:rsidRPr="005674D6" w:rsidRDefault="00B45CAB" w:rsidP="00932C4D">
      <w:pPr>
        <w:pStyle w:val="ListParagraph"/>
        <w:numPr>
          <w:ilvl w:val="0"/>
          <w:numId w:val="40"/>
        </w:numPr>
      </w:pPr>
      <w:r w:rsidRPr="005674D6">
        <w:t xml:space="preserve">How existing contracts transition; and </w:t>
      </w:r>
    </w:p>
    <w:p w14:paraId="614EFE2C" w14:textId="77777777" w:rsidR="00B45CAB" w:rsidRPr="005674D6" w:rsidRDefault="00B45CAB" w:rsidP="00932C4D">
      <w:pPr>
        <w:pStyle w:val="ListParagraph"/>
        <w:numPr>
          <w:ilvl w:val="0"/>
          <w:numId w:val="40"/>
        </w:numPr>
      </w:pPr>
      <w:r w:rsidRPr="005674D6">
        <w:t xml:space="preserve">What reporting, audit, repayment, and enforcement mechanisms are appropriate. </w:t>
      </w:r>
    </w:p>
    <w:p w14:paraId="2E79C1A4" w14:textId="77777777" w:rsidR="00B45CAB" w:rsidRPr="005674D6" w:rsidRDefault="00B45CAB" w:rsidP="00646036"/>
    <w:p w14:paraId="10067A63" w14:textId="77777777" w:rsidR="00B45CAB" w:rsidRPr="005674D6" w:rsidRDefault="00B45CAB" w:rsidP="00646036">
      <w:r w:rsidRPr="005674D6">
        <w:t>Disclosure requirements can improve transparency, but policymakers may also evaluate whether disclosure alone is sufficient when consumers have limited ability to select an alternative provider or site of care. From the payer perspective, policies that directly address unjustified facility charges may have a greater affordability impact than disclosure-only requirements, while still allowing narrowly tailored exceptions where hospital-level resources are demonstrably necessary.</w:t>
      </w:r>
    </w:p>
    <w:p w14:paraId="211702BC" w14:textId="77777777" w:rsidR="002A2F15" w:rsidRPr="005674D6" w:rsidRDefault="002A2F15" w:rsidP="00646036">
      <w:pPr>
        <w:rPr>
          <w:sz w:val="22"/>
          <w:szCs w:val="22"/>
          <w:lang w:val="en"/>
        </w:rPr>
      </w:pPr>
    </w:p>
    <w:p w14:paraId="6391D838" w14:textId="77777777" w:rsidR="00B45CAB" w:rsidRPr="00C53BA8" w:rsidRDefault="298B7EDD" w:rsidP="00C53BA8">
      <w:pPr>
        <w:rPr>
          <w:b/>
          <w:bCs/>
          <w:i/>
          <w:lang w:val="en"/>
        </w:rPr>
      </w:pPr>
      <w:r w:rsidRPr="00C53BA8">
        <w:rPr>
          <w:b/>
          <w:bCs/>
          <w:lang w:val="en"/>
        </w:rPr>
        <w:t xml:space="preserve">RBP and Site Neutral Payments </w:t>
      </w:r>
    </w:p>
    <w:p w14:paraId="6D20B548" w14:textId="77777777" w:rsidR="00B45CAB" w:rsidRPr="005674D6" w:rsidRDefault="00B45CAB" w:rsidP="00646036">
      <w:r w:rsidRPr="005674D6">
        <w:rPr>
          <w:rFonts w:eastAsia="Times New Roman" w:cs="Times New Roman"/>
        </w:rPr>
        <w:t>I</w:t>
      </w:r>
      <w:r w:rsidRPr="005674D6">
        <w:t>n response to facility fees, Medicare and some states are exploring site neutral payments. Site Neutral Payments are the concept of paying the same amount for services regardless of whether the patient is treated in an inpatient hospital or in an outpatient setting.</w:t>
      </w:r>
    </w:p>
    <w:p w14:paraId="5599A415" w14:textId="77777777" w:rsidR="002A2F15" w:rsidRPr="005674D6" w:rsidRDefault="002A2F15" w:rsidP="00646036"/>
    <w:p w14:paraId="1AD77C4D" w14:textId="1FA9B6C9" w:rsidR="00B45CAB" w:rsidRPr="005674D6" w:rsidRDefault="00B45CAB" w:rsidP="00646036">
      <w:r w:rsidRPr="033CF5A2">
        <w:t xml:space="preserve">Site-neutral payments are a policy implemented by the Centers for Medicare and Medicaid Services that aims to reduce </w:t>
      </w:r>
      <w:r w:rsidR="007C1C4E">
        <w:t>health care</w:t>
      </w:r>
      <w:r w:rsidRPr="033CF5A2">
        <w:t xml:space="preserve"> costs by aligning payment amounts for services provided in different care settings. One goal of site-neutral payments is to eliminate the incentive for providers to acquire facilities, such as physician offices or surgical centers, that Medicare reimburses at the lower non-facility rate and convert those settings into hospital outpatient departments, where Medicare reimburses at the higher facility rate. Although initiated by Congress to address payment disparities in Medicare, similar payment discrepancies can be seen in the commercial market where individual and employer-sponsored health plans often pay more for certain outpatient services depending on their location.</w:t>
      </w:r>
    </w:p>
    <w:p w14:paraId="51587EED" w14:textId="77777777" w:rsidR="002A2F15" w:rsidRPr="005674D6" w:rsidRDefault="002A2F15" w:rsidP="00646036">
      <w:pPr>
        <w:rPr>
          <w:rFonts w:eastAsia="Times New Roman" w:cs="Times New Roman"/>
        </w:rPr>
      </w:pPr>
    </w:p>
    <w:p w14:paraId="57C8543D" w14:textId="77777777" w:rsidR="00B45CAB" w:rsidRPr="005674D6" w:rsidRDefault="00B45CAB" w:rsidP="00646036">
      <w:r w:rsidRPr="005674D6">
        <w:t>Facility-fee restrictions and site-neutral payment policies address overlapping but distinct affordability issues. Facility-fee policies generally focus on whether an additional institutional charge may be billed or collected. Site-neutral payment policies focus more broadly on whether the total payment for a service should differ based on the setting in which it is furnished. Both approaches respond to circumstances in which a change in hospital ownership or billing designation may increase the cost of care even when the underlying service, location, quality of care, and resources involved have not materially changed.</w:t>
      </w:r>
    </w:p>
    <w:p w14:paraId="6095A567" w14:textId="77777777" w:rsidR="002A2F15" w:rsidRPr="005674D6" w:rsidRDefault="002A2F15" w:rsidP="00646036"/>
    <w:p w14:paraId="3B547FD4" w14:textId="77777777" w:rsidR="00B45CAB" w:rsidRPr="005674D6" w:rsidRDefault="00B45CAB" w:rsidP="00646036">
      <w:r w:rsidRPr="005674D6">
        <w:t>Accurate identification of the location where a service was furnished is an important prerequisite for evaluating or administering facility-fee and site-neutral payment policies. When a hospital and multiple off-campus outpatient departments bill under the same National Provider Identifier, claims data may not clearly distinguish the main hospital campus from the individual locations where care was delivered. This can make it more difficult to identify facility fees, compare payments across settings, and evaluate the effects of hospital acquisitions or changes in provider-based status.</w:t>
      </w:r>
    </w:p>
    <w:p w14:paraId="13F2B719" w14:textId="77777777" w:rsidR="002A2F15" w:rsidRPr="005674D6" w:rsidRDefault="002A2F15" w:rsidP="00646036"/>
    <w:p w14:paraId="33B8AF6C" w14:textId="77777777" w:rsidR="00B45CAB" w:rsidRPr="005674D6" w:rsidRDefault="00B45CAB" w:rsidP="00646036">
      <w:pPr>
        <w:rPr>
          <w:rFonts w:ascii="Times New Roman" w:hAnsi="Times New Roman"/>
        </w:rPr>
      </w:pPr>
      <w:r w:rsidRPr="005674D6">
        <w:t>These billing and identification gaps can have direct affordability consequences. When routine outpatient services are reimbursed at higher hospital outpatient rates or include additional facility fees primarily because of hospital ownership or site designation, medical costs can increase without a corresponding change in the care delivered. These higher allowed amounts contribute to overall medical cost trends and, over time, can be reflected in higher premiums and increased consumer cost-sharing. Clear, site-specific claims information can help regulators and market participants determine whether payment differences reflect legitimate clinical or resource needs or are driven primarily by ownership and billing status.</w:t>
      </w:r>
    </w:p>
    <w:p w14:paraId="4F2EA00B" w14:textId="77777777" w:rsidR="00B45CAB" w:rsidRDefault="00B45CAB" w:rsidP="00646036">
      <w:pPr>
        <w:rPr>
          <w:lang w:val="en"/>
        </w:rPr>
      </w:pPr>
    </w:p>
    <w:p w14:paraId="46C92FF9" w14:textId="77777777" w:rsidR="00C53BA8" w:rsidRDefault="00C53BA8" w:rsidP="00646036">
      <w:pPr>
        <w:rPr>
          <w:lang w:val="en"/>
        </w:rPr>
      </w:pPr>
    </w:p>
    <w:p w14:paraId="1BF6F59E" w14:textId="77777777" w:rsidR="00C53BA8" w:rsidRPr="005674D6" w:rsidRDefault="00C53BA8" w:rsidP="00646036">
      <w:pPr>
        <w:rPr>
          <w:lang w:val="en"/>
        </w:rPr>
      </w:pPr>
    </w:p>
    <w:p w14:paraId="4ABEAFB8" w14:textId="77777777" w:rsidR="00B45CAB" w:rsidRPr="005674D6" w:rsidRDefault="00B45CAB" w:rsidP="00C53BA8">
      <w:pPr>
        <w:pStyle w:val="NonTOCHeading"/>
        <w:rPr>
          <w:bCs/>
          <w:lang w:val="en"/>
        </w:rPr>
      </w:pPr>
      <w:r w:rsidRPr="005674D6">
        <w:rPr>
          <w:lang w:val="en"/>
        </w:rPr>
        <w:t xml:space="preserve">RBP and Industry Concerns </w:t>
      </w:r>
    </w:p>
    <w:p w14:paraId="10680B00" w14:textId="77777777" w:rsidR="00B45CAB" w:rsidRPr="005674D6" w:rsidRDefault="298B7EDD" w:rsidP="00646036">
      <w:r w:rsidRPr="52B404F0">
        <w:rPr>
          <w:lang w:val="en"/>
        </w:rPr>
        <w:t>Affordability policies should address the underlying drivers of health care costs while preserving competition, consumer access and choice, and potential movement toward value-based care. Considerations include:</w:t>
      </w:r>
    </w:p>
    <w:p w14:paraId="36A9A419" w14:textId="489FEB90" w:rsidR="52B404F0" w:rsidRDefault="52B404F0" w:rsidP="52B404F0">
      <w:pPr>
        <w:rPr>
          <w:lang w:val="en"/>
        </w:rPr>
      </w:pPr>
    </w:p>
    <w:p w14:paraId="027ABAB9" w14:textId="77777777" w:rsidR="00B45CAB" w:rsidRPr="005674D6" w:rsidRDefault="00B45CAB" w:rsidP="00932C4D">
      <w:pPr>
        <w:pStyle w:val="ListParagraph"/>
        <w:numPr>
          <w:ilvl w:val="0"/>
          <w:numId w:val="39"/>
        </w:numPr>
      </w:pPr>
      <w:r w:rsidRPr="005674D6">
        <w:t xml:space="preserve">Preserving negotiated commercial arrangements. Broad payment ceilings or requirements tying commercial reimbursement to a fixed percentage of Medicare may displace negotiations that account for network participation, access, service availability, quality expectations, and local market conditions. </w:t>
      </w:r>
    </w:p>
    <w:p w14:paraId="3959F5C4" w14:textId="77777777" w:rsidR="00B45CAB" w:rsidRPr="005674D6" w:rsidRDefault="00B45CAB" w:rsidP="00932C4D">
      <w:pPr>
        <w:pStyle w:val="ListParagraph"/>
        <w:numPr>
          <w:ilvl w:val="0"/>
          <w:numId w:val="39"/>
        </w:numPr>
      </w:pPr>
      <w:r w:rsidRPr="005674D6">
        <w:t xml:space="preserve">Avoiding unintended pricing and access effects. A ceiling that is not appropriately calibrated may affect provider participation, network stability, or the availability of particular services. A payment floor may increase costs where negotiated rates are already below the benchmark. Either may also become a negotiating anchor rather than simply an outer payment limit. </w:t>
      </w:r>
    </w:p>
    <w:p w14:paraId="4B3640A3" w14:textId="77777777" w:rsidR="00B45CAB" w:rsidRPr="005674D6" w:rsidRDefault="00B45CAB" w:rsidP="00932C4D">
      <w:pPr>
        <w:pStyle w:val="ListParagraph"/>
        <w:numPr>
          <w:ilvl w:val="0"/>
          <w:numId w:val="39"/>
        </w:numPr>
      </w:pPr>
      <w:r w:rsidRPr="005674D6">
        <w:t xml:space="preserve">Maintaining flexibility to reward quality and value. RBP methodologies generally focus on the price of individual services and may not inherently account for clinical outcomes, patient experience, care coordination, efficiency, or total cost of care. Uniform fee-for-service benchmarks may also be difficult to reconcile with bundled payments, shared savings, population-based payments, quality incentives, and other value-based arrangements unless those models are expressly accommodated. </w:t>
      </w:r>
    </w:p>
    <w:p w14:paraId="7B5A9549" w14:textId="77777777" w:rsidR="00B45CAB" w:rsidRPr="005674D6" w:rsidRDefault="00B45CAB" w:rsidP="00932C4D">
      <w:pPr>
        <w:pStyle w:val="ListParagraph"/>
        <w:numPr>
          <w:ilvl w:val="0"/>
          <w:numId w:val="39"/>
        </w:numPr>
      </w:pPr>
      <w:r w:rsidRPr="005674D6">
        <w:t xml:space="preserve">Matching the policy to the identified cost driver. Depending on the issue being addressed, more targeted tools—such as facility-fee limitations, unique site-level NPIs, accurate claims submission, honest-billing requirements, price transparency, competition policy, or consumer protections—may address specific affordability concerns without establishing a uniform commercial payment level. </w:t>
      </w:r>
    </w:p>
    <w:p w14:paraId="5D1E1D2F" w14:textId="77777777" w:rsidR="00B45CAB" w:rsidRPr="005674D6" w:rsidRDefault="00B45CAB" w:rsidP="00932C4D">
      <w:pPr>
        <w:pStyle w:val="ListParagraph"/>
        <w:numPr>
          <w:ilvl w:val="0"/>
          <w:numId w:val="39"/>
        </w:numPr>
      </w:pPr>
      <w:r w:rsidRPr="005674D6">
        <w:t>Protecting consumers and supporting workable implementation. Any RBP structure should clearly address balance billing, provider availability, continuity of care, clinical exceptions, appeals, treatment of amounts above the reference price, reliable claims data, and dispute resolution.</w:t>
      </w:r>
    </w:p>
    <w:p w14:paraId="67528417" w14:textId="77777777" w:rsidR="00B45CAB" w:rsidRPr="005674D6" w:rsidRDefault="00B45CAB" w:rsidP="00932C4D">
      <w:pPr>
        <w:pStyle w:val="ListParagraph"/>
        <w:numPr>
          <w:ilvl w:val="0"/>
          <w:numId w:val="39"/>
        </w:numPr>
      </w:pPr>
      <w:r w:rsidRPr="005674D6">
        <w:t>Evaluating broader market effects. Assessment should extend beyond initial payment reductions to include premiums, consumer cost-sharing, access, quality, utilization, network participation, administrative burden, provider responses, and the continued development of value-based care.</w:t>
      </w:r>
    </w:p>
    <w:p w14:paraId="07CEE553" w14:textId="77777777" w:rsidR="002A2F15" w:rsidRPr="005674D6" w:rsidRDefault="002A2F15" w:rsidP="00646036"/>
    <w:p w14:paraId="63A25566" w14:textId="05577923" w:rsidR="00B45CAB" w:rsidRPr="00AB4FAB" w:rsidRDefault="00B45CAB" w:rsidP="00C53BA8">
      <w:pPr>
        <w:pStyle w:val="NonTOCHeading"/>
        <w:rPr>
          <w:bCs/>
        </w:rPr>
      </w:pPr>
      <w:r w:rsidRPr="00AB4FAB">
        <w:t>Conclusion</w:t>
      </w:r>
    </w:p>
    <w:p w14:paraId="65B30B3C" w14:textId="27EE7D71" w:rsidR="00B45CAB" w:rsidRPr="00AB4FAB" w:rsidRDefault="00B45CAB" w:rsidP="00646036">
      <w:pPr>
        <w:rPr>
          <w:color w:val="auto"/>
        </w:rPr>
      </w:pPr>
      <w:r w:rsidRPr="00AB4FAB">
        <w:rPr>
          <w:color w:val="auto"/>
        </w:rPr>
        <w:t>The above policy approaches to reference-based pricing and RBP adjacent policies implemented by various states. Questions remain regarding the appropriate levels of RBP for different states and markets. RBP is typically limited to specific types of services (non-network, emergency, etc.) or specific plans</w:t>
      </w:r>
      <w:r w:rsidR="009D2155">
        <w:rPr>
          <w:color w:val="auto"/>
        </w:rPr>
        <w:t xml:space="preserve"> such as a state-employee health benefits plan</w:t>
      </w:r>
      <w:r w:rsidRPr="00AB4FAB">
        <w:rPr>
          <w:color w:val="auto"/>
        </w:rPr>
        <w:t xml:space="preserve">. RBP has demonstrated differing effects in different markets. </w:t>
      </w:r>
    </w:p>
    <w:p w14:paraId="16E19A93" w14:textId="77777777" w:rsidR="002A2F15" w:rsidRPr="00AB4FAB" w:rsidRDefault="002A2F15" w:rsidP="00646036">
      <w:pPr>
        <w:rPr>
          <w:color w:val="auto"/>
        </w:rPr>
      </w:pPr>
    </w:p>
    <w:p w14:paraId="711235F5" w14:textId="7B7A1E19" w:rsidR="00B45CAB" w:rsidRPr="00AB4FAB" w:rsidRDefault="00B45CAB" w:rsidP="00C53BA8">
      <w:pPr>
        <w:pStyle w:val="NonTOCHeading"/>
        <w:rPr>
          <w:bCs/>
          <w:highlight w:val="yellow"/>
        </w:rPr>
      </w:pPr>
      <w:r w:rsidRPr="00AB4FAB">
        <w:rPr>
          <w:lang w:val="en"/>
        </w:rPr>
        <w:t>Sources</w:t>
      </w:r>
    </w:p>
    <w:p w14:paraId="62ACEAF1" w14:textId="78BD40B3" w:rsidR="00B45CAB" w:rsidRPr="00AB4FAB" w:rsidRDefault="00B45CAB" w:rsidP="00646036">
      <w:pPr>
        <w:rPr>
          <w:color w:val="auto"/>
        </w:rPr>
      </w:pPr>
      <w:r w:rsidRPr="00AB4FAB">
        <w:rPr>
          <w:color w:val="auto"/>
        </w:rPr>
        <w:t xml:space="preserve">Alaska Beacon. (2025, September 11). </w:t>
      </w:r>
      <w:r w:rsidRPr="00AB4FAB">
        <w:rPr>
          <w:i/>
          <w:iCs/>
          <w:color w:val="auto"/>
        </w:rPr>
        <w:t>Alaska judge rules in state’s favor on repeal of a rule intended to limit health care costs</w:t>
      </w:r>
      <w:r w:rsidRPr="00AB4FAB">
        <w:rPr>
          <w:color w:val="auto"/>
        </w:rPr>
        <w:t xml:space="preserve">. </w:t>
      </w:r>
      <w:hyperlink r:id="rId62">
        <w:r w:rsidRPr="009D2155">
          <w:rPr>
            <w:color w:val="0070C0"/>
            <w:u w:val="single"/>
          </w:rPr>
          <w:t>https://alaskabeacon.com/briefs/alaska-judge-rules-in-states-favor-on-repeal-of-a-rule-intended-to-limit-health-care-costs/</w:t>
        </w:r>
      </w:hyperlink>
      <w:r w:rsidRPr="009D2155">
        <w:rPr>
          <w:color w:val="0070C0"/>
        </w:rPr>
        <w:t xml:space="preserve"> </w:t>
      </w:r>
    </w:p>
    <w:p w14:paraId="1EBE11F8" w14:textId="77777777" w:rsidR="00B45CAB" w:rsidRPr="00AB4FAB" w:rsidRDefault="00B45CAB" w:rsidP="00646036">
      <w:pPr>
        <w:rPr>
          <w:color w:val="auto"/>
        </w:rPr>
      </w:pPr>
    </w:p>
    <w:p w14:paraId="7CC41894" w14:textId="77777777" w:rsidR="00B45CAB" w:rsidRPr="00AB4FAB" w:rsidRDefault="00B45CAB" w:rsidP="00646036">
      <w:pPr>
        <w:rPr>
          <w:color w:val="auto"/>
          <w:lang w:val="en"/>
        </w:rPr>
      </w:pPr>
      <w:r w:rsidRPr="00AB4FAB">
        <w:rPr>
          <w:color w:val="auto"/>
        </w:rPr>
        <w:t xml:space="preserve">Arnold Ventures. (2023, May 25). </w:t>
      </w:r>
      <w:r w:rsidRPr="00AB4FAB">
        <w:rPr>
          <w:i/>
          <w:iCs/>
          <w:color w:val="auto"/>
        </w:rPr>
        <w:t>Indiana takes a step forward on site</w:t>
      </w:r>
      <w:r w:rsidRPr="00AB4FAB">
        <w:rPr>
          <w:color w:val="auto"/>
          <w:lang w:val="en"/>
        </w:rPr>
        <w:noBreakHyphen/>
      </w:r>
      <w:r w:rsidRPr="00AB4FAB">
        <w:rPr>
          <w:i/>
          <w:iCs/>
          <w:color w:val="auto"/>
        </w:rPr>
        <w:t>neutral payments</w:t>
      </w:r>
      <w:r w:rsidRPr="00AB4FAB">
        <w:rPr>
          <w:color w:val="auto"/>
        </w:rPr>
        <w:t xml:space="preserve">. </w:t>
      </w:r>
      <w:hyperlink r:id="rId63">
        <w:r w:rsidRPr="009D2155">
          <w:rPr>
            <w:color w:val="0070C0"/>
            <w:u w:val="single"/>
          </w:rPr>
          <w:t>https://www.arnoldventures.org/stories/state-policy-win-snapshot-indiana-takes-a-step-forward-on-site-neutral-payments/</w:t>
        </w:r>
      </w:hyperlink>
    </w:p>
    <w:p w14:paraId="09EFDC88" w14:textId="77777777" w:rsidR="00B45CAB" w:rsidRPr="00AB4FAB" w:rsidRDefault="00B45CAB" w:rsidP="00646036">
      <w:pPr>
        <w:rPr>
          <w:color w:val="auto"/>
        </w:rPr>
      </w:pPr>
    </w:p>
    <w:p w14:paraId="51EBFD23" w14:textId="77777777" w:rsidR="00B45CAB" w:rsidRPr="009D2155" w:rsidRDefault="00B45CAB" w:rsidP="00646036">
      <w:pPr>
        <w:rPr>
          <w:color w:val="0070C0"/>
        </w:rPr>
      </w:pPr>
      <w:r w:rsidRPr="00AB4FAB">
        <w:rPr>
          <w:color w:val="auto"/>
        </w:rPr>
        <w:t xml:space="preserve">CalPERS. (2013, June). </w:t>
      </w:r>
      <w:r w:rsidRPr="00AB4FAB">
        <w:rPr>
          <w:i/>
          <w:iCs/>
          <w:color w:val="auto"/>
        </w:rPr>
        <w:t>Hips and knees reference</w:t>
      </w:r>
      <w:r w:rsidRPr="00AB4FAB">
        <w:rPr>
          <w:rFonts w:eastAsia="Inter" w:cs="Inter"/>
          <w:color w:val="auto"/>
          <w:lang w:val="en"/>
        </w:rPr>
        <w:noBreakHyphen/>
      </w:r>
      <w:r w:rsidRPr="00AB4FAB">
        <w:rPr>
          <w:i/>
          <w:iCs/>
          <w:color w:val="auto"/>
        </w:rPr>
        <w:t>based pricing</w:t>
      </w:r>
      <w:r w:rsidRPr="00AB4FAB">
        <w:rPr>
          <w:color w:val="auto"/>
        </w:rPr>
        <w:t xml:space="preserve"> [Board briefing]. </w:t>
      </w:r>
      <w:hyperlink r:id="rId64">
        <w:r w:rsidRPr="009D2155">
          <w:rPr>
            <w:color w:val="0070C0"/>
            <w:u w:val="single"/>
          </w:rPr>
          <w:t>https://www.calpers.ca.gov/sites/default/files/spf/docs/board-agendas/201306/pension/item-7.pdf</w:t>
        </w:r>
      </w:hyperlink>
      <w:r w:rsidRPr="009D2155">
        <w:rPr>
          <w:color w:val="0070C0"/>
        </w:rPr>
        <w:t xml:space="preserve"> </w:t>
      </w:r>
    </w:p>
    <w:p w14:paraId="655AF63D" w14:textId="77777777" w:rsidR="00B45CAB" w:rsidRPr="00AB4FAB" w:rsidRDefault="00B45CAB" w:rsidP="00646036">
      <w:pPr>
        <w:rPr>
          <w:color w:val="auto"/>
        </w:rPr>
      </w:pPr>
    </w:p>
    <w:p w14:paraId="6DA569C9" w14:textId="77777777" w:rsidR="00B45CAB" w:rsidRPr="009D2155" w:rsidRDefault="00B45CAB" w:rsidP="00646036">
      <w:pPr>
        <w:rPr>
          <w:color w:val="0070C0"/>
          <w:lang w:val="en"/>
        </w:rPr>
      </w:pPr>
      <w:r w:rsidRPr="00AB4FAB">
        <w:rPr>
          <w:color w:val="auto"/>
        </w:rPr>
        <w:t xml:space="preserve">Brown University School of Public Health. (2025, December 2). </w:t>
      </w:r>
      <w:r w:rsidRPr="00AB4FAB">
        <w:rPr>
          <w:i/>
          <w:iCs/>
          <w:color w:val="auto"/>
        </w:rPr>
        <w:t xml:space="preserve">Oregon’s first-in-the-nation hospital price cap cut costs without compromising care. </w:t>
      </w:r>
      <w:hyperlink r:id="rId65">
        <w:r w:rsidRPr="009D2155">
          <w:rPr>
            <w:i/>
            <w:iCs/>
            <w:color w:val="0070C0"/>
            <w:u w:val="single"/>
          </w:rPr>
          <w:t>https://sph.brown.edu/news/2025-12-02/hospital-price-caps</w:t>
        </w:r>
      </w:hyperlink>
    </w:p>
    <w:p w14:paraId="5D276CB9" w14:textId="77777777" w:rsidR="00B45CAB" w:rsidRPr="00AB4FAB" w:rsidRDefault="00B45CAB" w:rsidP="00646036">
      <w:pPr>
        <w:rPr>
          <w:color w:val="auto"/>
          <w:lang w:val="en"/>
        </w:rPr>
      </w:pPr>
    </w:p>
    <w:p w14:paraId="4C82EA3F" w14:textId="77777777" w:rsidR="00B45CAB" w:rsidRPr="00AB4FAB" w:rsidRDefault="00B45CAB" w:rsidP="00646036">
      <w:pPr>
        <w:rPr>
          <w:color w:val="auto"/>
          <w:lang w:val="en"/>
        </w:rPr>
      </w:pPr>
      <w:r w:rsidRPr="00AB4FAB">
        <w:rPr>
          <w:color w:val="auto"/>
          <w:lang w:val="en"/>
        </w:rPr>
        <w:t xml:space="preserve">Centers for Medicare &amp; Medicaid Services. (2014, May 2). </w:t>
      </w:r>
      <w:r w:rsidRPr="00AB4FAB">
        <w:rPr>
          <w:i/>
          <w:iCs/>
          <w:color w:val="auto"/>
          <w:lang w:val="en"/>
        </w:rPr>
        <w:t xml:space="preserve">FAQs About Affordable Care Act Implementation (Part XIX). </w:t>
      </w:r>
      <w:hyperlink r:id="rId66">
        <w:r w:rsidRPr="009D2155">
          <w:rPr>
            <w:i/>
            <w:iCs/>
            <w:color w:val="0070C0"/>
            <w:u w:val="single"/>
            <w:lang w:val="en"/>
          </w:rPr>
          <w:t>https://www.cms.gov/cciio/resources/fact-sheets-and-faqs/aca_implementation_faqs19</w:t>
        </w:r>
      </w:hyperlink>
    </w:p>
    <w:p w14:paraId="55614216" w14:textId="77777777" w:rsidR="00B45CAB" w:rsidRPr="00AB4FAB" w:rsidRDefault="00B45CAB" w:rsidP="00646036">
      <w:pPr>
        <w:rPr>
          <w:color w:val="auto"/>
          <w:lang w:val="en"/>
        </w:rPr>
      </w:pPr>
    </w:p>
    <w:p w14:paraId="0F311F9C" w14:textId="77777777" w:rsidR="00B45CAB" w:rsidRPr="00AB4FAB" w:rsidRDefault="00B45CAB" w:rsidP="00646036">
      <w:pPr>
        <w:rPr>
          <w:color w:val="auto"/>
          <w:lang w:val="en"/>
        </w:rPr>
      </w:pPr>
      <w:r w:rsidRPr="00AB4FAB">
        <w:rPr>
          <w:color w:val="auto"/>
        </w:rPr>
        <w:t>Centers for Medicare &amp; Medicaid Services.</w:t>
      </w:r>
      <w:r w:rsidRPr="00AB4FAB">
        <w:rPr>
          <w:i/>
          <w:iCs/>
          <w:color w:val="auto"/>
        </w:rPr>
        <w:t xml:space="preserve"> (2014). </w:t>
      </w:r>
      <w:r w:rsidRPr="00AB4FAB">
        <w:rPr>
          <w:i/>
          <w:iCs/>
          <w:color w:val="auto"/>
          <w:lang w:val="en"/>
        </w:rPr>
        <w:t xml:space="preserve">FAQs About Affordable Care Act Implementation (Part XXI). </w:t>
      </w:r>
      <w:hyperlink r:id="rId67">
        <w:r w:rsidRPr="009D2155">
          <w:rPr>
            <w:i/>
            <w:iCs/>
            <w:color w:val="0070C0"/>
            <w:u w:val="single"/>
            <w:lang w:val="en"/>
          </w:rPr>
          <w:t>https://www.cms.gov/cciio/resources/fact-sheets-and-faqs/downloads/reference_pricing_faq_101014.pdf</w:t>
        </w:r>
      </w:hyperlink>
    </w:p>
    <w:p w14:paraId="6A966070" w14:textId="77777777" w:rsidR="00B45CAB" w:rsidRPr="00AB4FAB" w:rsidRDefault="00B45CAB" w:rsidP="00646036">
      <w:pPr>
        <w:rPr>
          <w:color w:val="auto"/>
        </w:rPr>
      </w:pPr>
    </w:p>
    <w:p w14:paraId="147B787D" w14:textId="77777777" w:rsidR="00B45CAB" w:rsidRPr="00AB4FAB" w:rsidRDefault="00B45CAB" w:rsidP="00646036">
      <w:pPr>
        <w:rPr>
          <w:color w:val="auto"/>
          <w:lang w:val="en"/>
        </w:rPr>
      </w:pPr>
      <w:r w:rsidRPr="00AB4FAB">
        <w:rPr>
          <w:color w:val="auto"/>
        </w:rPr>
        <w:t xml:space="preserve">Federal Register. (2026, May 20). </w:t>
      </w:r>
      <w:r w:rsidRPr="00AB4FAB">
        <w:rPr>
          <w:i/>
          <w:iCs/>
          <w:color w:val="auto"/>
        </w:rPr>
        <w:t>Patient Protection and Affordable Care Act, HHS Notice of Benefit and Payment Parameters for 2027; and Basic Health Program.</w:t>
      </w:r>
      <w:r w:rsidRPr="00AB4FAB">
        <w:rPr>
          <w:color w:val="auto"/>
        </w:rPr>
        <w:t xml:space="preserve"> </w:t>
      </w:r>
      <w:hyperlink r:id="rId68" w:anchor="page-29875">
        <w:r w:rsidRPr="009D2155">
          <w:rPr>
            <w:i/>
            <w:iCs/>
            <w:color w:val="0070C0"/>
            <w:u w:val="single"/>
          </w:rPr>
          <w:t>https://www.federalregister.gov/documents/2026/05/20/2026-10050/patient-protection-and-affordable-care-act-hhs-notice-of-benefit-and-payment-parameters-for-2027-and#page-29875</w:t>
        </w:r>
      </w:hyperlink>
    </w:p>
    <w:p w14:paraId="5FCA107A" w14:textId="77777777" w:rsidR="00B45CAB" w:rsidRPr="00AB4FAB" w:rsidRDefault="00B45CAB" w:rsidP="00646036">
      <w:pPr>
        <w:rPr>
          <w:color w:val="auto"/>
        </w:rPr>
      </w:pPr>
    </w:p>
    <w:p w14:paraId="65E6F395" w14:textId="77777777" w:rsidR="00B45CAB" w:rsidRPr="00AB4FAB" w:rsidRDefault="00B45CAB" w:rsidP="00646036">
      <w:pPr>
        <w:rPr>
          <w:color w:val="auto"/>
        </w:rPr>
      </w:pPr>
      <w:r w:rsidRPr="00AB4FAB">
        <w:rPr>
          <w:color w:val="auto"/>
        </w:rPr>
        <w:t xml:space="preserve">Ginsburg, P. B., Lechner, A. E., &amp; Gourevitch, R. (2013, December). </w:t>
      </w:r>
      <w:r w:rsidRPr="00AB4FAB">
        <w:rPr>
          <w:i/>
          <w:iCs/>
          <w:color w:val="auto"/>
        </w:rPr>
        <w:t>The potential of reference pricing to generate health care savings: Lessons from a California pioneer</w:t>
      </w:r>
      <w:r w:rsidRPr="00AB4FAB">
        <w:rPr>
          <w:color w:val="auto"/>
        </w:rPr>
        <w:t xml:space="preserve"> (HSC Research Brief No. 30). National Institute for Health Care Reform. </w:t>
      </w:r>
      <w:hyperlink r:id="rId69">
        <w:r w:rsidRPr="009D2155">
          <w:rPr>
            <w:color w:val="0070C0"/>
            <w:u w:val="single"/>
          </w:rPr>
          <w:t>https://nihcr.org/wp-content/uploads/2015/03/HSC_Research_Brief_No._30.pdf</w:t>
        </w:r>
      </w:hyperlink>
      <w:r w:rsidRPr="009D2155">
        <w:rPr>
          <w:color w:val="0070C0"/>
        </w:rPr>
        <w:t xml:space="preserve"> </w:t>
      </w:r>
    </w:p>
    <w:p w14:paraId="681B7E1B" w14:textId="77777777" w:rsidR="00B45CAB" w:rsidRPr="00AB4FAB" w:rsidRDefault="00B45CAB" w:rsidP="00646036">
      <w:pPr>
        <w:rPr>
          <w:color w:val="auto"/>
        </w:rPr>
      </w:pPr>
    </w:p>
    <w:p w14:paraId="01C1CFFE" w14:textId="77777777" w:rsidR="00B45CAB" w:rsidRPr="009D2155" w:rsidRDefault="00B45CAB" w:rsidP="00646036">
      <w:pPr>
        <w:rPr>
          <w:color w:val="0070C0"/>
        </w:rPr>
      </w:pPr>
      <w:r w:rsidRPr="00AB4FAB">
        <w:rPr>
          <w:color w:val="auto"/>
        </w:rPr>
        <w:t xml:space="preserve">Green Mountain Care Board. (2024). </w:t>
      </w:r>
      <w:r w:rsidRPr="00AB4FAB">
        <w:rPr>
          <w:i/>
          <w:iCs/>
          <w:color w:val="auto"/>
        </w:rPr>
        <w:t>FY25 hospital budget guidance materials</w:t>
      </w:r>
      <w:r w:rsidRPr="00AB4FAB">
        <w:rPr>
          <w:color w:val="auto"/>
        </w:rPr>
        <w:t xml:space="preserve">. </w:t>
      </w:r>
      <w:hyperlink r:id="rId70">
        <w:r w:rsidRPr="009D2155">
          <w:rPr>
            <w:color w:val="0070C0"/>
            <w:u w:val="single"/>
          </w:rPr>
          <w:t>https://gmcboard.vermont.gov/FY25-HB-Guidance</w:t>
        </w:r>
      </w:hyperlink>
      <w:r w:rsidRPr="009D2155">
        <w:rPr>
          <w:color w:val="0070C0"/>
        </w:rPr>
        <w:t xml:space="preserve"> </w:t>
      </w:r>
    </w:p>
    <w:p w14:paraId="0354F242" w14:textId="77777777" w:rsidR="00B45CAB" w:rsidRPr="00AB4FAB" w:rsidRDefault="00B45CAB" w:rsidP="00646036">
      <w:pPr>
        <w:rPr>
          <w:color w:val="auto"/>
        </w:rPr>
      </w:pPr>
    </w:p>
    <w:p w14:paraId="6CDE7D2E" w14:textId="77777777" w:rsidR="00B45CAB" w:rsidRPr="009D2155" w:rsidRDefault="00B45CAB" w:rsidP="00646036">
      <w:pPr>
        <w:rPr>
          <w:color w:val="0070C0"/>
          <w:lang w:val="en"/>
        </w:rPr>
      </w:pPr>
      <w:r w:rsidRPr="00AB4FAB">
        <w:rPr>
          <w:color w:val="auto"/>
        </w:rPr>
        <w:t xml:space="preserve">Health Affairs. (May 2025). </w:t>
      </w:r>
      <w:r w:rsidRPr="00AB4FAB">
        <w:rPr>
          <w:i/>
          <w:iCs/>
          <w:color w:val="auto"/>
        </w:rPr>
        <w:t>Rhode Island’s Affordability Standards Led To Hospital Price Reductions And Lower Insurance Premiums.</w:t>
      </w:r>
      <w:r w:rsidRPr="00AB4FAB">
        <w:rPr>
          <w:color w:val="auto"/>
        </w:rPr>
        <w:t xml:space="preserve"> </w:t>
      </w:r>
      <w:hyperlink r:id="rId71">
        <w:r w:rsidRPr="009D2155">
          <w:rPr>
            <w:color w:val="0070C0"/>
            <w:u w:val="single"/>
          </w:rPr>
          <w:t>https://www.healthaffairs.org/doi/10.1377/hlthaff.2024.01146</w:t>
        </w:r>
      </w:hyperlink>
    </w:p>
    <w:p w14:paraId="2E754F2F" w14:textId="77777777" w:rsidR="00B45CAB" w:rsidRPr="00AB4FAB" w:rsidRDefault="00B45CAB" w:rsidP="00646036">
      <w:pPr>
        <w:rPr>
          <w:color w:val="auto"/>
        </w:rPr>
      </w:pPr>
    </w:p>
    <w:p w14:paraId="656B8B9F" w14:textId="77777777" w:rsidR="00B45CAB" w:rsidRPr="00AB4FAB" w:rsidRDefault="00B45CAB" w:rsidP="00646036">
      <w:pPr>
        <w:rPr>
          <w:color w:val="auto"/>
          <w:lang w:val="en"/>
        </w:rPr>
      </w:pPr>
      <w:r w:rsidRPr="00AB4FAB">
        <w:rPr>
          <w:color w:val="auto"/>
        </w:rPr>
        <w:t xml:space="preserve">Indiana Department of Insurance. (2023). </w:t>
      </w:r>
      <w:r w:rsidRPr="00AB4FAB">
        <w:rPr>
          <w:i/>
          <w:iCs/>
          <w:color w:val="auto"/>
        </w:rPr>
        <w:t>Indiana All</w:t>
      </w:r>
      <w:r w:rsidRPr="00AB4FAB">
        <w:rPr>
          <w:rFonts w:eastAsia="Inter" w:cs="Inter"/>
          <w:color w:val="auto"/>
          <w:lang w:val="en"/>
        </w:rPr>
        <w:noBreakHyphen/>
      </w:r>
      <w:r w:rsidRPr="00AB4FAB">
        <w:rPr>
          <w:i/>
          <w:iCs/>
          <w:color w:val="auto"/>
        </w:rPr>
        <w:t>Payer Claims Database 2023 annual report</w:t>
      </w:r>
      <w:r w:rsidRPr="00AB4FAB">
        <w:rPr>
          <w:color w:val="auto"/>
        </w:rPr>
        <w:t xml:space="preserve">. </w:t>
      </w:r>
      <w:hyperlink r:id="rId72">
        <w:r w:rsidRPr="009D2155">
          <w:rPr>
            <w:color w:val="0070C0"/>
            <w:u w:val="single"/>
          </w:rPr>
          <w:t>https://www.in.gov/idoi/files/2023-Annual-Report.pdf</w:t>
        </w:r>
      </w:hyperlink>
    </w:p>
    <w:p w14:paraId="69D852E3" w14:textId="77777777" w:rsidR="00B45CAB" w:rsidRPr="00AB4FAB" w:rsidRDefault="00B45CAB" w:rsidP="00646036">
      <w:pPr>
        <w:rPr>
          <w:color w:val="auto"/>
        </w:rPr>
      </w:pPr>
    </w:p>
    <w:p w14:paraId="2AF0BF89" w14:textId="48FECCB6" w:rsidR="00B45CAB" w:rsidRPr="00AB4FAB" w:rsidRDefault="00B45CAB" w:rsidP="00646036">
      <w:pPr>
        <w:rPr>
          <w:color w:val="auto"/>
          <w:lang w:val="en"/>
        </w:rPr>
      </w:pPr>
      <w:r w:rsidRPr="00AB4FAB">
        <w:rPr>
          <w:color w:val="auto"/>
        </w:rPr>
        <w:t xml:space="preserve">Indiana Senate Republicans. (2024, August 7). </w:t>
      </w:r>
      <w:r w:rsidRPr="00AB4FAB">
        <w:rPr>
          <w:i/>
          <w:iCs/>
          <w:color w:val="auto"/>
        </w:rPr>
        <w:t xml:space="preserve">Charbonneau: Database to provide </w:t>
      </w:r>
      <w:r w:rsidR="007C1C4E">
        <w:rPr>
          <w:i/>
          <w:iCs/>
          <w:color w:val="auto"/>
        </w:rPr>
        <w:t>health care</w:t>
      </w:r>
      <w:r w:rsidRPr="00AB4FAB">
        <w:rPr>
          <w:i/>
          <w:iCs/>
          <w:color w:val="auto"/>
        </w:rPr>
        <w:t xml:space="preserve"> cost transparency launched</w:t>
      </w:r>
      <w:r w:rsidRPr="00AB4FAB">
        <w:rPr>
          <w:color w:val="auto"/>
        </w:rPr>
        <w:t xml:space="preserve">. </w:t>
      </w:r>
      <w:hyperlink r:id="rId73">
        <w:r w:rsidRPr="009D2155">
          <w:rPr>
            <w:color w:val="0070C0"/>
            <w:u w:val="single"/>
          </w:rPr>
          <w:t>https://www.indianasenaterepublicans.com/charbonneau-database-to-provide-health-care-cost-transparency-launched/</w:t>
        </w:r>
      </w:hyperlink>
    </w:p>
    <w:p w14:paraId="70F0A1EA" w14:textId="77777777" w:rsidR="00B45CAB" w:rsidRPr="00AB4FAB" w:rsidRDefault="00B45CAB" w:rsidP="00646036">
      <w:pPr>
        <w:rPr>
          <w:color w:val="auto"/>
        </w:rPr>
      </w:pPr>
    </w:p>
    <w:p w14:paraId="5A808238" w14:textId="77777777" w:rsidR="00B45CAB" w:rsidRPr="00AB4FAB" w:rsidRDefault="00B45CAB" w:rsidP="00646036">
      <w:pPr>
        <w:rPr>
          <w:color w:val="auto"/>
        </w:rPr>
      </w:pPr>
      <w:r w:rsidRPr="00AB4FAB">
        <w:rPr>
          <w:color w:val="auto"/>
        </w:rPr>
        <w:t>JAMA Internal Medicine. (November 2015). Association of Reference Payment for Colonoscopy With Consumer Choices, Insurer Spending, and Procedural Complications. doi: 10.1001/jamainternmed.2015.4588</w:t>
      </w:r>
    </w:p>
    <w:p w14:paraId="0F10940F" w14:textId="77777777" w:rsidR="00B45CAB" w:rsidRPr="00AB4FAB" w:rsidRDefault="00B45CAB" w:rsidP="00646036">
      <w:pPr>
        <w:rPr>
          <w:color w:val="auto"/>
        </w:rPr>
      </w:pPr>
    </w:p>
    <w:p w14:paraId="0D05D7F3" w14:textId="77777777" w:rsidR="00B45CAB" w:rsidRPr="00AB4FAB" w:rsidRDefault="00B45CAB" w:rsidP="00646036">
      <w:pPr>
        <w:rPr>
          <w:color w:val="auto"/>
        </w:rPr>
      </w:pPr>
      <w:r w:rsidRPr="00AB4FAB">
        <w:rPr>
          <w:color w:val="auto"/>
        </w:rPr>
        <w:t xml:space="preserve">Milbank Memorial Fund. (2024, July 10). </w:t>
      </w:r>
      <w:r w:rsidRPr="00AB4FAB">
        <w:rPr>
          <w:i/>
          <w:iCs/>
          <w:color w:val="auto"/>
        </w:rPr>
        <w:t>How payment caps can reduce hospital prices and spending: Lessons from the Oregon state employee plan</w:t>
      </w:r>
      <w:r w:rsidRPr="00AB4FAB">
        <w:rPr>
          <w:color w:val="auto"/>
        </w:rPr>
        <w:t xml:space="preserve"> [Issue Brief]. </w:t>
      </w:r>
      <w:hyperlink r:id="rId74">
        <w:r w:rsidRPr="009D2155">
          <w:rPr>
            <w:color w:val="0070C0"/>
            <w:u w:val="single"/>
          </w:rPr>
          <w:t>https://www.milbank.org/publications/how-payment-caps-can-reduce-hospital-prices-and-spending-lessons-from-the-oregon-state-employee-plan/</w:t>
        </w:r>
      </w:hyperlink>
      <w:r w:rsidRPr="009D2155">
        <w:rPr>
          <w:color w:val="0070C0"/>
        </w:rPr>
        <w:t xml:space="preserve"> </w:t>
      </w:r>
    </w:p>
    <w:p w14:paraId="343A4B56" w14:textId="77777777" w:rsidR="00B45CAB" w:rsidRPr="00AB4FAB" w:rsidRDefault="00B45CAB" w:rsidP="00646036">
      <w:pPr>
        <w:rPr>
          <w:color w:val="auto"/>
        </w:rPr>
      </w:pPr>
    </w:p>
    <w:p w14:paraId="3B68F5B7" w14:textId="77777777" w:rsidR="00B45CAB" w:rsidRPr="00AB4FAB" w:rsidRDefault="00B45CAB" w:rsidP="00646036">
      <w:pPr>
        <w:rPr>
          <w:color w:val="auto"/>
        </w:rPr>
      </w:pPr>
      <w:r w:rsidRPr="00AB4FAB">
        <w:rPr>
          <w:color w:val="auto"/>
        </w:rPr>
        <w:t xml:space="preserve">National Academy for State Health Policy. (2021, April 5). </w:t>
      </w:r>
      <w:r w:rsidRPr="00AB4FAB">
        <w:rPr>
          <w:i/>
          <w:iCs/>
          <w:color w:val="auto"/>
        </w:rPr>
        <w:t>Independent analysis finds Montana has saved millions by moving hospital rate negotiations to reference</w:t>
      </w:r>
      <w:r w:rsidRPr="00AB4FAB">
        <w:rPr>
          <w:rFonts w:eastAsia="Inter" w:cs="Inter"/>
          <w:color w:val="auto"/>
          <w:lang w:val="en"/>
        </w:rPr>
        <w:noBreakHyphen/>
      </w:r>
      <w:r w:rsidRPr="00AB4FAB">
        <w:rPr>
          <w:i/>
          <w:iCs/>
          <w:color w:val="auto"/>
        </w:rPr>
        <w:t>based pricing</w:t>
      </w:r>
      <w:r w:rsidRPr="00AB4FAB">
        <w:rPr>
          <w:color w:val="auto"/>
        </w:rPr>
        <w:t xml:space="preserve">. </w:t>
      </w:r>
      <w:hyperlink r:id="rId75">
        <w:r w:rsidRPr="009D2155">
          <w:rPr>
            <w:color w:val="0070C0"/>
            <w:u w:val="single"/>
          </w:rPr>
          <w:t>https://nashp.org/independent-analysis-finds-montana-has-saved-millions-by-moving-hospital-rate-negotiations-to-reference-based-pricing/</w:t>
        </w:r>
      </w:hyperlink>
      <w:r w:rsidRPr="009D2155">
        <w:rPr>
          <w:color w:val="0070C0"/>
        </w:rPr>
        <w:t xml:space="preserve"> </w:t>
      </w:r>
    </w:p>
    <w:p w14:paraId="44A72E4B" w14:textId="77777777" w:rsidR="00B45CAB" w:rsidRPr="00AB4FAB" w:rsidRDefault="00B45CAB" w:rsidP="00646036">
      <w:pPr>
        <w:rPr>
          <w:color w:val="auto"/>
        </w:rPr>
      </w:pPr>
    </w:p>
    <w:p w14:paraId="5CA7D1A8" w14:textId="77777777" w:rsidR="00B45CAB" w:rsidRPr="00AB4FAB" w:rsidRDefault="00B45CAB" w:rsidP="00646036">
      <w:pPr>
        <w:rPr>
          <w:color w:val="auto"/>
          <w:lang w:val="en"/>
        </w:rPr>
      </w:pPr>
      <w:r w:rsidRPr="00AB4FAB">
        <w:rPr>
          <w:color w:val="auto"/>
        </w:rPr>
        <w:t xml:space="preserve">National Academy for State Health Policy. (2024). </w:t>
      </w:r>
      <w:r w:rsidRPr="00AB4FAB">
        <w:rPr>
          <w:i/>
          <w:iCs/>
          <w:color w:val="auto"/>
        </w:rPr>
        <w:t>Overview of states’ hospital reference</w:t>
      </w:r>
      <w:r w:rsidRPr="00AB4FAB">
        <w:rPr>
          <w:color w:val="auto"/>
          <w:lang w:val="en"/>
        </w:rPr>
        <w:noBreakHyphen/>
      </w:r>
      <w:r w:rsidRPr="00AB4FAB">
        <w:rPr>
          <w:i/>
          <w:iCs/>
          <w:color w:val="auto"/>
        </w:rPr>
        <w:t>based pricing to Medicare initiatives</w:t>
      </w:r>
      <w:r w:rsidRPr="00AB4FAB">
        <w:rPr>
          <w:color w:val="auto"/>
        </w:rPr>
        <w:t xml:space="preserve">. </w:t>
      </w:r>
      <w:hyperlink r:id="rId76">
        <w:r w:rsidRPr="009D2155">
          <w:rPr>
            <w:color w:val="0070C0"/>
            <w:u w:val="single"/>
          </w:rPr>
          <w:t>https://nashp.org/state-tracker/overview-of-states-hospital-reference-based-pricing-to-medicare-initiatives/?utm_source=copilot.com</w:t>
        </w:r>
      </w:hyperlink>
    </w:p>
    <w:p w14:paraId="2D22EEC7" w14:textId="77777777" w:rsidR="00B45CAB" w:rsidRPr="00AB4FAB" w:rsidRDefault="00B45CAB" w:rsidP="00646036">
      <w:pPr>
        <w:rPr>
          <w:color w:val="auto"/>
        </w:rPr>
      </w:pPr>
    </w:p>
    <w:p w14:paraId="7737B8D0" w14:textId="77777777" w:rsidR="00B45CAB" w:rsidRPr="00AB4FAB" w:rsidRDefault="00B45CAB" w:rsidP="00646036">
      <w:pPr>
        <w:rPr>
          <w:color w:val="auto"/>
        </w:rPr>
      </w:pPr>
      <w:r w:rsidRPr="00AB4FAB">
        <w:rPr>
          <w:color w:val="auto"/>
        </w:rPr>
        <w:t>News</w:t>
      </w:r>
      <w:r w:rsidRPr="00AB4FAB">
        <w:rPr>
          <w:color w:val="auto"/>
          <w:lang w:val="en"/>
        </w:rPr>
        <w:noBreakHyphen/>
      </w:r>
      <w:r w:rsidRPr="00AB4FAB">
        <w:rPr>
          <w:color w:val="auto"/>
        </w:rPr>
        <w:t xml:space="preserve">Medical. (2025, December 2). </w:t>
      </w:r>
      <w:r w:rsidRPr="00AB4FAB">
        <w:rPr>
          <w:i/>
          <w:iCs/>
          <w:color w:val="auto"/>
        </w:rPr>
        <w:t>Hospital payment caps linked to savings and stable care in Oregon</w:t>
      </w:r>
      <w:r w:rsidRPr="00AB4FAB">
        <w:rPr>
          <w:color w:val="auto"/>
        </w:rPr>
        <w:t xml:space="preserve">. </w:t>
      </w:r>
      <w:hyperlink r:id="rId77">
        <w:r w:rsidRPr="009D2155">
          <w:rPr>
            <w:color w:val="0070C0"/>
            <w:u w:val="single"/>
          </w:rPr>
          <w:t>https://www.news-medical.net/news/20251202/Hospital-payment-caps-linked-to-savings-and-stable-care-in-Oregon.aspx</w:t>
        </w:r>
      </w:hyperlink>
      <w:r w:rsidRPr="009D2155">
        <w:rPr>
          <w:color w:val="0070C0"/>
        </w:rPr>
        <w:t xml:space="preserve"> </w:t>
      </w:r>
    </w:p>
    <w:p w14:paraId="2FB9FE85" w14:textId="77777777" w:rsidR="00B45CAB" w:rsidRPr="00AB4FAB" w:rsidRDefault="00B45CAB" w:rsidP="00646036">
      <w:pPr>
        <w:rPr>
          <w:color w:val="auto"/>
        </w:rPr>
      </w:pPr>
    </w:p>
    <w:p w14:paraId="0D661102" w14:textId="77777777" w:rsidR="00B45CAB" w:rsidRPr="00AB4FAB" w:rsidRDefault="00B45CAB" w:rsidP="00646036">
      <w:pPr>
        <w:rPr>
          <w:color w:val="auto"/>
        </w:rPr>
      </w:pPr>
      <w:r w:rsidRPr="00AB4FAB">
        <w:rPr>
          <w:color w:val="auto"/>
        </w:rPr>
        <w:t xml:space="preserve">Premera Blue Cross Blue Shield of Alaska. (2024, January 18). </w:t>
      </w:r>
      <w:r w:rsidRPr="00AB4FAB">
        <w:rPr>
          <w:i/>
          <w:iCs/>
          <w:color w:val="auto"/>
        </w:rPr>
        <w:t>Alaska out</w:t>
      </w:r>
      <w:r w:rsidRPr="00AB4FAB">
        <w:rPr>
          <w:rFonts w:eastAsia="Inter" w:cs="Inter"/>
          <w:color w:val="auto"/>
          <w:lang w:val="en"/>
        </w:rPr>
        <w:noBreakHyphen/>
      </w:r>
      <w:r w:rsidRPr="00AB4FAB">
        <w:rPr>
          <w:i/>
          <w:iCs/>
          <w:color w:val="auto"/>
        </w:rPr>
        <w:t>of</w:t>
      </w:r>
      <w:r w:rsidRPr="00AB4FAB">
        <w:rPr>
          <w:rFonts w:eastAsia="Inter" w:cs="Inter"/>
          <w:color w:val="auto"/>
          <w:lang w:val="en"/>
        </w:rPr>
        <w:noBreakHyphen/>
      </w:r>
      <w:r w:rsidRPr="00AB4FAB">
        <w:rPr>
          <w:i/>
          <w:iCs/>
          <w:color w:val="auto"/>
        </w:rPr>
        <w:t>network reimbursement update</w:t>
      </w:r>
      <w:r w:rsidRPr="00AB4FAB">
        <w:rPr>
          <w:color w:val="auto"/>
        </w:rPr>
        <w:t xml:space="preserve"> [Press release]. </w:t>
      </w:r>
      <w:hyperlink r:id="rId78">
        <w:r w:rsidRPr="009D2155">
          <w:rPr>
            <w:color w:val="0070C0"/>
            <w:u w:val="single"/>
          </w:rPr>
          <w:t>https://employernewsak.premera.com/alaska-out-of-network-reimbursement-update/</w:t>
        </w:r>
      </w:hyperlink>
      <w:r w:rsidRPr="009D2155">
        <w:rPr>
          <w:color w:val="0070C0"/>
        </w:rPr>
        <w:t xml:space="preserve"> </w:t>
      </w:r>
    </w:p>
    <w:p w14:paraId="1FA7214A" w14:textId="77777777" w:rsidR="00B45CAB" w:rsidRPr="00AB4FAB" w:rsidRDefault="00B45CAB" w:rsidP="00646036">
      <w:pPr>
        <w:rPr>
          <w:color w:val="auto"/>
        </w:rPr>
      </w:pPr>
    </w:p>
    <w:p w14:paraId="69B4EA20" w14:textId="3F4764CD" w:rsidR="00B45CAB" w:rsidRPr="00AB4FAB" w:rsidRDefault="00B45CAB" w:rsidP="00646036">
      <w:pPr>
        <w:rPr>
          <w:color w:val="auto"/>
        </w:rPr>
      </w:pPr>
      <w:r w:rsidRPr="00AB4FAB">
        <w:rPr>
          <w:color w:val="auto"/>
        </w:rPr>
        <w:t xml:space="preserve">The Source on Health Care Price and Competition. (2026). </w:t>
      </w:r>
      <w:r w:rsidRPr="00AB4FAB">
        <w:rPr>
          <w:i/>
          <w:iCs/>
          <w:color w:val="auto"/>
        </w:rPr>
        <w:t xml:space="preserve">Vermont enacts significant legislation addressing </w:t>
      </w:r>
      <w:r w:rsidR="007C1C4E">
        <w:rPr>
          <w:i/>
          <w:iCs/>
          <w:color w:val="auto"/>
        </w:rPr>
        <w:t>health care</w:t>
      </w:r>
      <w:r w:rsidRPr="00AB4FAB">
        <w:rPr>
          <w:i/>
          <w:iCs/>
          <w:color w:val="auto"/>
        </w:rPr>
        <w:t xml:space="preserve"> costs and hospital budgets</w:t>
      </w:r>
      <w:r w:rsidRPr="00AB4FAB">
        <w:rPr>
          <w:color w:val="auto"/>
        </w:rPr>
        <w:t xml:space="preserve">. </w:t>
      </w:r>
      <w:hyperlink r:id="rId79">
        <w:r w:rsidRPr="009D2155">
          <w:rPr>
            <w:color w:val="0070C0"/>
            <w:u w:val="single"/>
          </w:rPr>
          <w:t>https://sourceon</w:t>
        </w:r>
        <w:r w:rsidR="007C1C4E" w:rsidRPr="009D2155">
          <w:rPr>
            <w:color w:val="0070C0"/>
            <w:u w:val="single"/>
          </w:rPr>
          <w:t>health care</w:t>
        </w:r>
        <w:r w:rsidRPr="009D2155">
          <w:rPr>
            <w:color w:val="0070C0"/>
            <w:u w:val="single"/>
          </w:rPr>
          <w:t>.org/vermont-enacts-significant-legislation-addressing-</w:t>
        </w:r>
        <w:r w:rsidR="007C1C4E" w:rsidRPr="009D2155">
          <w:rPr>
            <w:color w:val="0070C0"/>
            <w:u w:val="single"/>
          </w:rPr>
          <w:t>health care</w:t>
        </w:r>
        <w:r w:rsidRPr="009D2155">
          <w:rPr>
            <w:color w:val="0070C0"/>
            <w:u w:val="single"/>
          </w:rPr>
          <w:t>-costs-and-hospital-budgets/?print=pdf</w:t>
        </w:r>
      </w:hyperlink>
      <w:r w:rsidRPr="009D2155">
        <w:rPr>
          <w:color w:val="0070C0"/>
        </w:rPr>
        <w:t xml:space="preserve"> </w:t>
      </w:r>
    </w:p>
    <w:p w14:paraId="5C86AA16" w14:textId="77777777" w:rsidR="00B45CAB" w:rsidRPr="00AB4FAB" w:rsidRDefault="00B45CAB" w:rsidP="00646036">
      <w:pPr>
        <w:rPr>
          <w:color w:val="auto"/>
        </w:rPr>
      </w:pPr>
    </w:p>
    <w:p w14:paraId="3537ED60" w14:textId="77777777" w:rsidR="00B45CAB" w:rsidRPr="00AB4FAB" w:rsidRDefault="00B45CAB" w:rsidP="00646036">
      <w:pPr>
        <w:rPr>
          <w:color w:val="auto"/>
        </w:rPr>
      </w:pPr>
      <w:r w:rsidRPr="00AB4FAB">
        <w:rPr>
          <w:color w:val="auto"/>
        </w:rPr>
        <w:t xml:space="preserve">Versán Consulting. (2022, November 1). </w:t>
      </w:r>
      <w:r w:rsidRPr="00AB4FAB">
        <w:rPr>
          <w:i/>
          <w:iCs/>
          <w:color w:val="auto"/>
        </w:rPr>
        <w:t>The undoing of success: Montana’s successful RBP program</w:t>
      </w:r>
      <w:r w:rsidRPr="00AB4FAB">
        <w:rPr>
          <w:color w:val="auto"/>
        </w:rPr>
        <w:t xml:space="preserve">. </w:t>
      </w:r>
      <w:hyperlink r:id="rId80">
        <w:r w:rsidRPr="009D2155">
          <w:rPr>
            <w:color w:val="0070C0"/>
            <w:u w:val="single"/>
          </w:rPr>
          <w:t>https://www.versanconsulting.com/post/the-undoing-of-success-multipart-series-on-the-undoing-of-montana-s-successful-rbp-program</w:t>
        </w:r>
      </w:hyperlink>
      <w:r w:rsidRPr="009D2155">
        <w:rPr>
          <w:color w:val="0070C0"/>
        </w:rPr>
        <w:t xml:space="preserve"> </w:t>
      </w:r>
    </w:p>
    <w:p w14:paraId="3D9A5E7B" w14:textId="77777777" w:rsidR="00B45CAB" w:rsidRPr="00AB4FAB" w:rsidRDefault="00B45CAB" w:rsidP="00646036">
      <w:pPr>
        <w:rPr>
          <w:color w:val="auto"/>
        </w:rPr>
      </w:pPr>
    </w:p>
    <w:p w14:paraId="66277005" w14:textId="77777777" w:rsidR="00B45CAB" w:rsidRPr="00AB4FAB" w:rsidRDefault="00B45CAB" w:rsidP="00646036">
      <w:pPr>
        <w:rPr>
          <w:color w:val="auto"/>
        </w:rPr>
      </w:pPr>
      <w:r w:rsidRPr="00AB4FAB">
        <w:rPr>
          <w:color w:val="auto"/>
        </w:rPr>
        <w:t xml:space="preserve">Washington State Health Care Authority. (2024, December 9). </w:t>
      </w:r>
      <w:r w:rsidRPr="00AB4FAB">
        <w:rPr>
          <w:i/>
          <w:iCs/>
          <w:color w:val="auto"/>
        </w:rPr>
        <w:t>Update on the Health Care Cost Transparency Board</w:t>
      </w:r>
      <w:r w:rsidRPr="00AB4FAB">
        <w:rPr>
          <w:color w:val="auto"/>
        </w:rPr>
        <w:t xml:space="preserve">. </w:t>
      </w:r>
      <w:hyperlink r:id="rId81">
        <w:r w:rsidRPr="00AB4FAB">
          <w:rPr>
            <w:color w:val="auto"/>
            <w:u w:val="single"/>
          </w:rPr>
          <w:t>https://www.hca.wa.gov/assets/program/cost-board-leg-presentation-20241209.pdf</w:t>
        </w:r>
      </w:hyperlink>
      <w:r w:rsidRPr="00AB4FAB">
        <w:rPr>
          <w:color w:val="auto"/>
        </w:rPr>
        <w:t xml:space="preserve"> </w:t>
      </w:r>
    </w:p>
    <w:p w14:paraId="76A1C86C" w14:textId="77777777" w:rsidR="009D2155" w:rsidRDefault="009D2155" w:rsidP="00646036">
      <w:pPr>
        <w:rPr>
          <w:color w:val="auto"/>
          <w:lang w:val="en"/>
        </w:rPr>
      </w:pPr>
    </w:p>
    <w:p w14:paraId="120159C5" w14:textId="63D4D2A4" w:rsidR="00B45CAB" w:rsidRPr="00AB4FAB" w:rsidRDefault="00B45CAB" w:rsidP="00C53BA8">
      <w:pPr>
        <w:pStyle w:val="NonTOCHeading"/>
        <w:rPr>
          <w:highlight w:val="yellow"/>
        </w:rPr>
      </w:pPr>
      <w:r w:rsidRPr="00AB4FAB">
        <w:rPr>
          <w:lang w:val="en"/>
        </w:rPr>
        <w:t>Further Reading</w:t>
      </w:r>
    </w:p>
    <w:p w14:paraId="177C7425" w14:textId="77777777" w:rsidR="009D2155" w:rsidRDefault="009D2155" w:rsidP="00646036">
      <w:pPr>
        <w:rPr>
          <w:color w:val="auto"/>
        </w:rPr>
      </w:pPr>
    </w:p>
    <w:p w14:paraId="58DD87E6" w14:textId="3792D830" w:rsidR="00B45CAB" w:rsidRPr="00CB07DD" w:rsidRDefault="00B45CAB" w:rsidP="00646036">
      <w:pPr>
        <w:rPr>
          <w:rFonts w:eastAsia="Inter" w:cs="Inter"/>
          <w:color w:val="0070C0"/>
          <w:lang w:val="en"/>
        </w:rPr>
      </w:pPr>
      <w:r w:rsidRPr="00AB4FAB">
        <w:rPr>
          <w:color w:val="auto"/>
        </w:rPr>
        <w:t xml:space="preserve">American Journal of Managed Care (Sinaiko, A. D., Alidina, S., and Mehrotra, A.). (2019) </w:t>
      </w:r>
      <w:r w:rsidRPr="00AB4FAB">
        <w:rPr>
          <w:i/>
          <w:iCs/>
          <w:color w:val="auto"/>
        </w:rPr>
        <w:t xml:space="preserve">Why Aren’t More Employers Implementing Reference-Based Pricing Benefit Design? </w:t>
      </w:r>
      <w:r w:rsidRPr="00AB4FAB">
        <w:rPr>
          <w:color w:val="auto"/>
        </w:rPr>
        <w:t xml:space="preserve">Examines why more employers have not adopted reference-based pricing despite evidence of savings. Barriers identified include implementation complexity, employee communication challenges, provider disruption, and concern about employee dissatisfaction. </w:t>
      </w:r>
      <w:hyperlink r:id="rId82">
        <w:r w:rsidRPr="00CB07DD">
          <w:rPr>
            <w:color w:val="0070C0"/>
            <w:u w:val="single"/>
          </w:rPr>
          <w:t>https://ajmc.s3.amazonaws.com/_media/_pdf/AJMC_02_2019_Sinaiko%20final.pdf</w:t>
        </w:r>
      </w:hyperlink>
    </w:p>
    <w:p w14:paraId="45B35846" w14:textId="77777777" w:rsidR="00B45CAB" w:rsidRPr="00AB4FAB" w:rsidRDefault="00B45CAB" w:rsidP="00646036">
      <w:pPr>
        <w:rPr>
          <w:color w:val="auto"/>
        </w:rPr>
      </w:pPr>
    </w:p>
    <w:p w14:paraId="0C4E477B" w14:textId="77777777" w:rsidR="00B45CAB" w:rsidRPr="00AB4FAB" w:rsidRDefault="00B45CAB" w:rsidP="00646036">
      <w:pPr>
        <w:rPr>
          <w:color w:val="auto"/>
          <w:lang w:val="en"/>
        </w:rPr>
      </w:pPr>
      <w:r w:rsidRPr="00AB4FAB">
        <w:rPr>
          <w:color w:val="auto"/>
        </w:rPr>
        <w:t xml:space="preserve">American Journal of Health Economics (Christopher Whaley &amp; Timothy Brown &amp; James Robinson). (2019). </w:t>
      </w:r>
      <w:r w:rsidRPr="00AB4FAB">
        <w:rPr>
          <w:i/>
          <w:iCs/>
          <w:color w:val="auto"/>
        </w:rPr>
        <w:t xml:space="preserve">Consumer Responses to Price Transparency Alone versus Price Transparency Combined with Reference Pricing. </w:t>
      </w:r>
      <w:r w:rsidRPr="00AB4FAB">
        <w:rPr>
          <w:color w:val="auto"/>
        </w:rPr>
        <w:t xml:space="preserve">Price transparency alone had limited effects, but combining transparency with reference pricing led to meaningful shifts in facility choice and lower average prices paid. </w:t>
      </w:r>
      <w:hyperlink r:id="rId83">
        <w:r w:rsidRPr="00CB07DD">
          <w:rPr>
            <w:color w:val="0070C0"/>
            <w:u w:val="single"/>
          </w:rPr>
          <w:t>https://ideas.repec.org/a/ucp/amjhec/v5y2019i2p227-249.html</w:t>
        </w:r>
      </w:hyperlink>
    </w:p>
    <w:p w14:paraId="3218E930" w14:textId="77777777" w:rsidR="00B45CAB" w:rsidRPr="00AB4FAB" w:rsidRDefault="00B45CAB" w:rsidP="00646036">
      <w:pPr>
        <w:rPr>
          <w:color w:val="auto"/>
        </w:rPr>
      </w:pPr>
    </w:p>
    <w:p w14:paraId="00B6B66D" w14:textId="77777777" w:rsidR="00B45CAB" w:rsidRPr="00AB4FAB" w:rsidRDefault="00B45CAB" w:rsidP="00646036">
      <w:pPr>
        <w:rPr>
          <w:color w:val="auto"/>
          <w:lang w:val="en"/>
        </w:rPr>
      </w:pPr>
      <w:r w:rsidRPr="00AB4FAB">
        <w:rPr>
          <w:color w:val="auto"/>
        </w:rPr>
        <w:t xml:space="preserve">Center for Advancing Health Policy through Research – Brown University. </w:t>
      </w:r>
      <w:r w:rsidRPr="00AB4FAB">
        <w:rPr>
          <w:i/>
          <w:iCs/>
          <w:color w:val="auto"/>
        </w:rPr>
        <w:t>Hospital Payment Cap Simulator.</w:t>
      </w:r>
      <w:r w:rsidRPr="00AB4FAB">
        <w:rPr>
          <w:color w:val="auto"/>
        </w:rPr>
        <w:t xml:space="preserve"> </w:t>
      </w:r>
      <w:hyperlink r:id="rId84">
        <w:r w:rsidRPr="00CB07DD">
          <w:rPr>
            <w:color w:val="0070C0"/>
            <w:u w:val="single"/>
          </w:rPr>
          <w:t>https://cahpr.sph.brown.edu/tools/simulator</w:t>
        </w:r>
      </w:hyperlink>
    </w:p>
    <w:p w14:paraId="7C811ADB" w14:textId="77777777" w:rsidR="00B45CAB" w:rsidRPr="00AB4FAB" w:rsidRDefault="00B45CAB" w:rsidP="00646036">
      <w:pPr>
        <w:rPr>
          <w:color w:val="auto"/>
        </w:rPr>
      </w:pPr>
    </w:p>
    <w:p w14:paraId="7FF04AA7" w14:textId="77777777" w:rsidR="00B45CAB" w:rsidRPr="00CB07DD" w:rsidRDefault="00B45CAB" w:rsidP="00646036">
      <w:pPr>
        <w:rPr>
          <w:rFonts w:eastAsia="Inter" w:cs="Inter"/>
          <w:color w:val="0070C0"/>
          <w:lang w:val="en"/>
        </w:rPr>
      </w:pPr>
      <w:r w:rsidRPr="00AB4FAB">
        <w:rPr>
          <w:color w:val="auto"/>
        </w:rPr>
        <w:t xml:space="preserve">Health Affairs (James C. Robinson and Timothy T. Brown). (2013). </w:t>
      </w:r>
      <w:r w:rsidRPr="00AB4FAB">
        <w:rPr>
          <w:i/>
          <w:iCs/>
          <w:color w:val="auto"/>
        </w:rPr>
        <w:t>Increases In Consumer Cost Sharing Redirect Patient Volumes And Reduce Hospital Prices For Orthopedic Surgery</w:t>
      </w:r>
      <w:r w:rsidRPr="00AB4FAB">
        <w:rPr>
          <w:color w:val="auto"/>
        </w:rPr>
        <w:t xml:space="preserve">. Evaluates reference pricing for knee and hip replacement among CalPERS members. </w:t>
      </w:r>
      <w:hyperlink r:id="rId85">
        <w:r w:rsidRPr="00CB07DD">
          <w:rPr>
            <w:color w:val="0070C0"/>
            <w:u w:val="single"/>
          </w:rPr>
          <w:t>https://www.healthaffairs.org/doi/abs/10.1377/hlthaff.2013.0188?journalCode=hlthaff</w:t>
        </w:r>
      </w:hyperlink>
    </w:p>
    <w:p w14:paraId="406CE13A" w14:textId="77777777" w:rsidR="00B45CAB" w:rsidRPr="00AB4FAB" w:rsidRDefault="00B45CAB" w:rsidP="00646036">
      <w:pPr>
        <w:rPr>
          <w:color w:val="auto"/>
        </w:rPr>
      </w:pPr>
    </w:p>
    <w:p w14:paraId="2C0951F4" w14:textId="77777777" w:rsidR="00B45CAB" w:rsidRPr="00CB07DD" w:rsidRDefault="00B45CAB" w:rsidP="00646036">
      <w:pPr>
        <w:rPr>
          <w:rFonts w:eastAsia="Inter" w:cs="Inter"/>
          <w:color w:val="0070C0"/>
          <w:lang w:val="en"/>
        </w:rPr>
      </w:pPr>
      <w:r w:rsidRPr="00AB4FAB">
        <w:rPr>
          <w:color w:val="auto"/>
        </w:rPr>
        <w:t xml:space="preserve">Health Affairs (Robinson JC, Brown TT, Whaley C.). (2017, March 1). </w:t>
      </w:r>
      <w:r w:rsidRPr="00AB4FAB">
        <w:rPr>
          <w:i/>
          <w:iCs/>
          <w:color w:val="auto"/>
        </w:rPr>
        <w:t xml:space="preserve">Reference Pricing Changes The 'Choice Architecture' Of Health Care For Consumers. </w:t>
      </w:r>
      <w:r w:rsidRPr="00AB4FAB">
        <w:rPr>
          <w:color w:val="auto"/>
        </w:rPr>
        <w:t xml:space="preserve">Examines reference pricing for ambulatory surgery, advanced imaging, laboratory tests, and other shoppable services. </w:t>
      </w:r>
      <w:hyperlink r:id="rId86">
        <w:r w:rsidRPr="00CB07DD">
          <w:rPr>
            <w:color w:val="0070C0"/>
            <w:u w:val="single"/>
          </w:rPr>
          <w:t>https://pmc.ncbi.nlm.nih.gov/articles/PMC10830326/</w:t>
        </w:r>
      </w:hyperlink>
    </w:p>
    <w:p w14:paraId="7C99B5FC" w14:textId="77777777" w:rsidR="00B45CAB" w:rsidRPr="00AB4FAB" w:rsidRDefault="00B45CAB" w:rsidP="00646036">
      <w:pPr>
        <w:rPr>
          <w:color w:val="auto"/>
        </w:rPr>
      </w:pPr>
    </w:p>
    <w:p w14:paraId="2FE7752A" w14:textId="77777777" w:rsidR="00B45CAB" w:rsidRPr="00AB4FAB" w:rsidRDefault="00B45CAB" w:rsidP="00646036">
      <w:pPr>
        <w:rPr>
          <w:color w:val="auto"/>
          <w:lang w:val="en"/>
        </w:rPr>
      </w:pPr>
      <w:r w:rsidRPr="00AB4FAB">
        <w:rPr>
          <w:color w:val="auto"/>
        </w:rPr>
        <w:t>Health Care Cost Institute.</w:t>
      </w:r>
      <w:r w:rsidRPr="00AB4FAB">
        <w:rPr>
          <w:i/>
          <w:iCs/>
          <w:color w:val="auto"/>
        </w:rPr>
        <w:t xml:space="preserve"> Using Data to Lower Costs: California’s Reference-Based Payment Experience and Implications for Other States. </w:t>
      </w:r>
      <w:hyperlink r:id="rId87">
        <w:r w:rsidRPr="00CB07DD">
          <w:rPr>
            <w:color w:val="0070C0"/>
            <w:u w:val="single"/>
          </w:rPr>
          <w:t>https://bcht.berkeley.edu/sites/default/files/using_data_to_lower_costs_ca_reference-based_payment_other_states_10.18_.pdf</w:t>
        </w:r>
      </w:hyperlink>
    </w:p>
    <w:p w14:paraId="5D86A665" w14:textId="77777777" w:rsidR="00B45CAB" w:rsidRPr="00AB4FAB" w:rsidRDefault="00B45CAB" w:rsidP="00646036">
      <w:pPr>
        <w:rPr>
          <w:color w:val="auto"/>
        </w:rPr>
      </w:pPr>
      <w:r w:rsidRPr="00AB4FAB">
        <w:rPr>
          <w:color w:val="auto"/>
        </w:rPr>
        <w:t xml:space="preserve"> </w:t>
      </w:r>
    </w:p>
    <w:p w14:paraId="11AA5E3D" w14:textId="77777777" w:rsidR="00B45CAB" w:rsidRPr="00CB07DD" w:rsidRDefault="00B45CAB" w:rsidP="00646036">
      <w:pPr>
        <w:rPr>
          <w:color w:val="0070C0"/>
          <w:lang w:val="en"/>
        </w:rPr>
      </w:pPr>
      <w:r w:rsidRPr="00AB4FAB">
        <w:rPr>
          <w:color w:val="auto"/>
        </w:rPr>
        <w:t xml:space="preserve">JAMA Internal Medicine. (Robinson JC, Brown TT, Whaley C, Finlayson E.). (November 2015). </w:t>
      </w:r>
      <w:r w:rsidRPr="00AB4FAB">
        <w:rPr>
          <w:i/>
          <w:iCs/>
          <w:color w:val="auto"/>
        </w:rPr>
        <w:t xml:space="preserve">Association of Reference Payment for Colonoscopy With Consumer Choices, Insurer Spending, and Procedural Complications. </w:t>
      </w:r>
      <w:r w:rsidRPr="00AB4FAB">
        <w:rPr>
          <w:color w:val="auto"/>
        </w:rPr>
        <w:t xml:space="preserve">Examines reference payment for colonoscopy. </w:t>
      </w:r>
      <w:hyperlink r:id="rId88">
        <w:r w:rsidRPr="00CB07DD">
          <w:rPr>
            <w:color w:val="0070C0"/>
            <w:u w:val="single"/>
          </w:rPr>
          <w:t>https://pubmed.ncbi.nlm.nih.gov/26348851/</w:t>
        </w:r>
      </w:hyperlink>
    </w:p>
    <w:p w14:paraId="4FEE1311" w14:textId="731B3B40" w:rsidR="00B45CAB" w:rsidRPr="00AB4FAB" w:rsidRDefault="298B7EDD" w:rsidP="00646036">
      <w:pPr>
        <w:rPr>
          <w:color w:val="auto"/>
        </w:rPr>
      </w:pPr>
      <w:r w:rsidRPr="52B404F0">
        <w:rPr>
          <w:color w:val="auto"/>
        </w:rPr>
        <w:t xml:space="preserve"> </w:t>
      </w:r>
    </w:p>
    <w:p w14:paraId="205C8FB1" w14:textId="734FA2A1" w:rsidR="003F14C6" w:rsidRPr="005674D6" w:rsidRDefault="298B7EDD" w:rsidP="52B404F0">
      <w:r w:rsidRPr="52B404F0">
        <w:rPr>
          <w:color w:val="auto"/>
        </w:rPr>
        <w:t xml:space="preserve">New England Journal of Medicine (Robinson, J. C., Whaley, C., and Brown, T. T.). (2017). </w:t>
      </w:r>
      <w:r w:rsidRPr="52B404F0">
        <w:rPr>
          <w:i/>
          <w:iCs/>
          <w:color w:val="auto"/>
        </w:rPr>
        <w:t>Association of Reference Pricing With Drug Selection and Spending in the United States.</w:t>
      </w:r>
      <w:r w:rsidRPr="52B404F0">
        <w:rPr>
          <w:i/>
          <w:iCs/>
          <w:color w:val="auto"/>
          <w:u w:val="single"/>
        </w:rPr>
        <w:t xml:space="preserve"> </w:t>
      </w:r>
      <w:r w:rsidRPr="52B404F0">
        <w:rPr>
          <w:color w:val="auto"/>
        </w:rPr>
        <w:t xml:space="preserve">Evaluates reference pricing for 1,302 outpatient drugs grouped into therapeutic classes. </w:t>
      </w:r>
      <w:hyperlink r:id="rId89">
        <w:r w:rsidRPr="00CB07DD">
          <w:rPr>
            <w:color w:val="0070C0"/>
            <w:u w:val="single"/>
          </w:rPr>
          <w:t>https://www.nejm.org/doi/full/10.1056/NEJMsa1700087</w:t>
        </w:r>
      </w:hyperlink>
    </w:p>
    <w:p w14:paraId="449520B2" w14:textId="028F2490" w:rsidR="003F14C6" w:rsidRPr="005674D6" w:rsidRDefault="003F14C6" w:rsidP="52B404F0">
      <w:pPr>
        <w:rPr>
          <w:lang w:val="en"/>
        </w:rPr>
      </w:pPr>
    </w:p>
    <w:p w14:paraId="141347A7" w14:textId="4EDACDCB" w:rsidR="003F14C6" w:rsidRPr="005674D6" w:rsidRDefault="003F14C6" w:rsidP="52B404F0">
      <w:pPr>
        <w:rPr>
          <w:lang w:val="en"/>
        </w:rPr>
      </w:pPr>
    </w:p>
    <w:p w14:paraId="62EB3CF6" w14:textId="7D37EA99" w:rsidR="003F14C6" w:rsidRPr="005674D6" w:rsidRDefault="003F14C6" w:rsidP="52B404F0">
      <w:pPr>
        <w:rPr>
          <w:lang w:val="en"/>
        </w:rPr>
      </w:pPr>
    </w:p>
    <w:p w14:paraId="09BF6E46" w14:textId="73F3BA75" w:rsidR="003F14C6" w:rsidRPr="005674D6" w:rsidRDefault="003F14C6" w:rsidP="52B404F0">
      <w:pPr>
        <w:rPr>
          <w:lang w:val="en"/>
        </w:rPr>
      </w:pPr>
    </w:p>
    <w:p w14:paraId="7AD3E3C1" w14:textId="202C65CA" w:rsidR="003F14C6" w:rsidRPr="005674D6" w:rsidRDefault="003F14C6" w:rsidP="52B404F0">
      <w:pPr>
        <w:rPr>
          <w:lang w:val="en"/>
        </w:rPr>
      </w:pPr>
    </w:p>
    <w:p w14:paraId="384016FA" w14:textId="191285E4" w:rsidR="003F14C6" w:rsidRPr="005674D6" w:rsidRDefault="003F14C6" w:rsidP="52B404F0">
      <w:pPr>
        <w:rPr>
          <w:lang w:val="en"/>
        </w:rPr>
      </w:pPr>
    </w:p>
    <w:p w14:paraId="2CC6758D" w14:textId="6F9293F3" w:rsidR="003F14C6" w:rsidRPr="005674D6" w:rsidRDefault="003F14C6" w:rsidP="52B404F0">
      <w:pPr>
        <w:rPr>
          <w:lang w:val="en"/>
        </w:rPr>
      </w:pPr>
    </w:p>
    <w:p w14:paraId="26DD1AC8" w14:textId="55DFDE1B" w:rsidR="003F14C6" w:rsidRPr="005674D6" w:rsidRDefault="003F14C6" w:rsidP="52B404F0">
      <w:pPr>
        <w:rPr>
          <w:lang w:val="en"/>
        </w:rPr>
      </w:pPr>
    </w:p>
    <w:p w14:paraId="3AFD9504" w14:textId="3FFBA34C" w:rsidR="003F14C6" w:rsidRPr="005674D6" w:rsidRDefault="003F14C6" w:rsidP="52B404F0">
      <w:pPr>
        <w:rPr>
          <w:lang w:val="en"/>
        </w:rPr>
      </w:pPr>
    </w:p>
    <w:p w14:paraId="2141535D" w14:textId="6D411E26" w:rsidR="003F14C6" w:rsidRPr="005674D6" w:rsidRDefault="003F14C6" w:rsidP="52B404F0">
      <w:pPr>
        <w:rPr>
          <w:lang w:val="en"/>
        </w:rPr>
      </w:pPr>
    </w:p>
    <w:p w14:paraId="4805C9F0" w14:textId="725D66F2" w:rsidR="003F14C6" w:rsidRPr="00C53BA8" w:rsidRDefault="001609BF" w:rsidP="00C53BA8">
      <w:pPr>
        <w:pStyle w:val="Heading1"/>
      </w:pPr>
      <w:bookmarkStart w:id="18" w:name="_Toc243048304"/>
      <w:r w:rsidRPr="00C53BA8">
        <w:t xml:space="preserve">Section 5: </w:t>
      </w:r>
      <w:r w:rsidR="5FB6A294" w:rsidRPr="00C53BA8">
        <w:t>Enhanced Health Care Price Transparency</w:t>
      </w:r>
      <w:bookmarkEnd w:id="18"/>
    </w:p>
    <w:p w14:paraId="193F10D1" w14:textId="77777777" w:rsidR="00C76085" w:rsidRPr="005674D6" w:rsidRDefault="00C76085" w:rsidP="00C53BA8">
      <w:pPr>
        <w:pStyle w:val="NonTOCHeading"/>
        <w:rPr>
          <w:bCs/>
        </w:rPr>
      </w:pPr>
      <w:r w:rsidRPr="005674D6">
        <w:t>Contributors</w:t>
      </w:r>
    </w:p>
    <w:tbl>
      <w:tblPr>
        <w:tblW w:w="0" w:type="auto"/>
        <w:tblBorders>
          <w:top w:val="none" w:sz="4" w:space="0" w:color="000000"/>
          <w:left w:val="none" w:sz="4" w:space="0" w:color="000000"/>
          <w:bottom w:val="single" w:sz="4" w:space="0" w:color="000000"/>
          <w:right w:val="none" w:sz="4" w:space="0" w:color="000000"/>
          <w:insideH w:val="single" w:sz="4" w:space="0" w:color="000000"/>
          <w:insideV w:val="none" w:sz="4" w:space="0" w:color="000000"/>
        </w:tblBorders>
        <w:tblLook w:val="0620" w:firstRow="1" w:lastRow="0" w:firstColumn="0" w:lastColumn="0" w:noHBand="1" w:noVBand="1"/>
      </w:tblPr>
      <w:tblGrid>
        <w:gridCol w:w="3039"/>
        <w:gridCol w:w="3697"/>
        <w:gridCol w:w="3344"/>
      </w:tblGrid>
      <w:tr w:rsidR="00327917" w:rsidRPr="005674D6" w14:paraId="52103B34" w14:textId="77777777" w:rsidTr="52B404F0">
        <w:trPr>
          <w:trHeight w:val="420"/>
          <w:tblHeader/>
        </w:trPr>
        <w:tc>
          <w:tcPr>
            <w:tcW w:w="3039"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EF"/>
            <w:vAlign w:val="center"/>
          </w:tcPr>
          <w:p w14:paraId="1D209B4E" w14:textId="77777777" w:rsidR="00327917" w:rsidRPr="005674D6" w:rsidRDefault="3946E67F" w:rsidP="52B404F0">
            <w:pPr>
              <w:rPr>
                <w:b/>
                <w:bCs/>
              </w:rPr>
            </w:pPr>
            <w:r w:rsidRPr="52B404F0">
              <w:rPr>
                <w:b/>
                <w:bCs/>
              </w:rPr>
              <w:t>Contributors</w:t>
            </w:r>
          </w:p>
        </w:tc>
        <w:tc>
          <w:tcPr>
            <w:tcW w:w="3697" w:type="dxa"/>
            <w:tcBorders>
              <w:top w:val="single" w:sz="4" w:space="0" w:color="000000" w:themeColor="text1"/>
              <w:left w:val="none" w:sz="4" w:space="0" w:color="000000" w:themeColor="text1"/>
            </w:tcBorders>
            <w:shd w:val="clear" w:color="auto" w:fill="F2F2EF"/>
            <w:vAlign w:val="center"/>
          </w:tcPr>
          <w:p w14:paraId="06F2B37D" w14:textId="77777777" w:rsidR="00327917" w:rsidRPr="005674D6" w:rsidRDefault="3946E67F" w:rsidP="52B404F0">
            <w:pPr>
              <w:rPr>
                <w:b/>
                <w:bCs/>
              </w:rPr>
            </w:pPr>
            <w:r w:rsidRPr="52B404F0">
              <w:rPr>
                <w:b/>
                <w:bCs/>
              </w:rPr>
              <w:t>Titles of Contributors</w:t>
            </w:r>
          </w:p>
        </w:tc>
        <w:tc>
          <w:tcPr>
            <w:tcW w:w="3344" w:type="dxa"/>
            <w:tcBorders>
              <w:top w:val="single" w:sz="4" w:space="0" w:color="000000" w:themeColor="text1"/>
            </w:tcBorders>
            <w:shd w:val="clear" w:color="auto" w:fill="F2F2EF"/>
            <w:vAlign w:val="center"/>
          </w:tcPr>
          <w:p w14:paraId="27DC8612" w14:textId="77777777" w:rsidR="00327917" w:rsidRPr="005674D6" w:rsidRDefault="3946E67F" w:rsidP="52B404F0">
            <w:pPr>
              <w:rPr>
                <w:b/>
                <w:bCs/>
              </w:rPr>
            </w:pPr>
            <w:r w:rsidRPr="52B404F0">
              <w:rPr>
                <w:b/>
                <w:bCs/>
              </w:rPr>
              <w:t>States of Contributors</w:t>
            </w:r>
          </w:p>
        </w:tc>
      </w:tr>
      <w:tr w:rsidR="00327917" w:rsidRPr="005674D6" w14:paraId="049A4007" w14:textId="77777777" w:rsidTr="52B404F0">
        <w:trPr>
          <w:trHeight w:val="359"/>
        </w:trPr>
        <w:tc>
          <w:tcPr>
            <w:tcW w:w="3039" w:type="dxa"/>
            <w:tcBorders>
              <w:top w:val="none" w:sz="4" w:space="0" w:color="000000" w:themeColor="text1"/>
            </w:tcBorders>
            <w:vAlign w:val="center"/>
          </w:tcPr>
          <w:p w14:paraId="53BC0B7D" w14:textId="77777777" w:rsidR="00327917" w:rsidRPr="005674D6" w:rsidRDefault="00327917" w:rsidP="00646036">
            <w:r w:rsidRPr="005674D6">
              <w:t>Weston Trexler</w:t>
            </w:r>
          </w:p>
        </w:tc>
        <w:tc>
          <w:tcPr>
            <w:tcW w:w="3697" w:type="dxa"/>
            <w:vAlign w:val="center"/>
          </w:tcPr>
          <w:p w14:paraId="70118CD4" w14:textId="77777777" w:rsidR="00327917" w:rsidRPr="005674D6" w:rsidRDefault="00327917" w:rsidP="00646036">
            <w:r w:rsidRPr="005674D6">
              <w:t>Deputy Director</w:t>
            </w:r>
          </w:p>
        </w:tc>
        <w:tc>
          <w:tcPr>
            <w:tcW w:w="3344" w:type="dxa"/>
            <w:vAlign w:val="center"/>
          </w:tcPr>
          <w:p w14:paraId="6C5499B9" w14:textId="77777777" w:rsidR="00327917" w:rsidRPr="005674D6" w:rsidRDefault="00327917" w:rsidP="00646036">
            <w:r w:rsidRPr="005674D6">
              <w:t>Idaho</w:t>
            </w:r>
          </w:p>
        </w:tc>
      </w:tr>
      <w:tr w:rsidR="00327917" w:rsidRPr="005674D6" w14:paraId="5C255AC6" w14:textId="77777777" w:rsidTr="52B404F0">
        <w:trPr>
          <w:trHeight w:val="344"/>
        </w:trPr>
        <w:tc>
          <w:tcPr>
            <w:tcW w:w="3039" w:type="dxa"/>
            <w:vAlign w:val="center"/>
          </w:tcPr>
          <w:p w14:paraId="2C96FCB9" w14:textId="77777777" w:rsidR="00327917" w:rsidRPr="005674D6" w:rsidRDefault="00327917" w:rsidP="00646036">
            <w:r w:rsidRPr="005674D6">
              <w:t>Shannon Hohl</w:t>
            </w:r>
          </w:p>
        </w:tc>
        <w:tc>
          <w:tcPr>
            <w:tcW w:w="3697" w:type="dxa"/>
            <w:vAlign w:val="center"/>
          </w:tcPr>
          <w:p w14:paraId="376A172E" w14:textId="77777777" w:rsidR="00327917" w:rsidRPr="005674D6" w:rsidRDefault="00327917" w:rsidP="00646036">
            <w:r w:rsidRPr="005674D6">
              <w:t>Market Oversight Bureau Chief</w:t>
            </w:r>
          </w:p>
        </w:tc>
        <w:tc>
          <w:tcPr>
            <w:tcW w:w="3344" w:type="dxa"/>
            <w:vAlign w:val="center"/>
          </w:tcPr>
          <w:p w14:paraId="7C080E9B" w14:textId="77777777" w:rsidR="00327917" w:rsidRPr="005674D6" w:rsidRDefault="00327917" w:rsidP="00646036">
            <w:r w:rsidRPr="005674D6">
              <w:t>Idaho</w:t>
            </w:r>
          </w:p>
        </w:tc>
      </w:tr>
      <w:tr w:rsidR="00327917" w:rsidRPr="005674D6" w14:paraId="04230034" w14:textId="77777777" w:rsidTr="52B404F0">
        <w:trPr>
          <w:trHeight w:val="480"/>
        </w:trPr>
        <w:tc>
          <w:tcPr>
            <w:tcW w:w="3039" w:type="dxa"/>
            <w:vAlign w:val="center"/>
          </w:tcPr>
          <w:p w14:paraId="2018518C" w14:textId="77777777" w:rsidR="00327917" w:rsidRPr="005674D6" w:rsidRDefault="00327917" w:rsidP="00646036">
            <w:r w:rsidRPr="005674D6">
              <w:t>Alex Peck</w:t>
            </w:r>
          </w:p>
        </w:tc>
        <w:tc>
          <w:tcPr>
            <w:tcW w:w="3697" w:type="dxa"/>
            <w:vAlign w:val="center"/>
          </w:tcPr>
          <w:p w14:paraId="5FFD25C0" w14:textId="77777777" w:rsidR="00327917" w:rsidRPr="005674D6" w:rsidRDefault="00327917" w:rsidP="00646036">
            <w:r w:rsidRPr="005674D6">
              <w:t>Chief Deputy Commissioner of Compliance and Actuarial Services</w:t>
            </w:r>
          </w:p>
        </w:tc>
        <w:tc>
          <w:tcPr>
            <w:tcW w:w="3344" w:type="dxa"/>
            <w:vAlign w:val="center"/>
          </w:tcPr>
          <w:p w14:paraId="0D9E11F1" w14:textId="77777777" w:rsidR="00327917" w:rsidRPr="005674D6" w:rsidRDefault="00327917" w:rsidP="00646036">
            <w:r w:rsidRPr="005674D6">
              <w:t>Indiana</w:t>
            </w:r>
          </w:p>
        </w:tc>
      </w:tr>
      <w:tr w:rsidR="00327917" w:rsidRPr="005674D6" w14:paraId="41B2E91D" w14:textId="77777777" w:rsidTr="52B404F0">
        <w:trPr>
          <w:trHeight w:val="329"/>
        </w:trPr>
        <w:tc>
          <w:tcPr>
            <w:tcW w:w="3039" w:type="dxa"/>
            <w:vAlign w:val="center"/>
          </w:tcPr>
          <w:p w14:paraId="4DCB8077" w14:textId="77777777" w:rsidR="00327917" w:rsidRPr="005674D6" w:rsidRDefault="00327917" w:rsidP="00646036">
            <w:r w:rsidRPr="005674D6">
              <w:t>Teresa Tetrick</w:t>
            </w:r>
          </w:p>
        </w:tc>
        <w:tc>
          <w:tcPr>
            <w:tcW w:w="3697" w:type="dxa"/>
            <w:vAlign w:val="center"/>
          </w:tcPr>
          <w:p w14:paraId="130C2A34" w14:textId="77777777" w:rsidR="00327917" w:rsidRPr="005674D6" w:rsidRDefault="00327917" w:rsidP="00646036">
            <w:r w:rsidRPr="005674D6">
              <w:t>Health Oversight and Compliance</w:t>
            </w:r>
          </w:p>
        </w:tc>
        <w:tc>
          <w:tcPr>
            <w:tcW w:w="3344" w:type="dxa"/>
            <w:vAlign w:val="center"/>
          </w:tcPr>
          <w:p w14:paraId="54BBBF9E" w14:textId="77777777" w:rsidR="00327917" w:rsidRPr="005674D6" w:rsidRDefault="00327917" w:rsidP="00646036">
            <w:r w:rsidRPr="005674D6">
              <w:t>Indiana</w:t>
            </w:r>
          </w:p>
        </w:tc>
      </w:tr>
      <w:tr w:rsidR="00327917" w:rsidRPr="005674D6" w14:paraId="7A5776F6" w14:textId="77777777" w:rsidTr="52B404F0">
        <w:trPr>
          <w:trHeight w:val="329"/>
        </w:trPr>
        <w:tc>
          <w:tcPr>
            <w:tcW w:w="3039" w:type="dxa"/>
            <w:vAlign w:val="center"/>
          </w:tcPr>
          <w:p w14:paraId="07A5D9C7" w14:textId="77777777" w:rsidR="00327917" w:rsidRPr="005674D6" w:rsidRDefault="00327917" w:rsidP="00646036">
            <w:r w:rsidRPr="005674D6">
              <w:t>Andria Seip</w:t>
            </w:r>
          </w:p>
        </w:tc>
        <w:tc>
          <w:tcPr>
            <w:tcW w:w="3697" w:type="dxa"/>
            <w:vAlign w:val="center"/>
          </w:tcPr>
          <w:p w14:paraId="00A04B6A" w14:textId="77777777" w:rsidR="00327917" w:rsidRPr="005674D6" w:rsidRDefault="00327917" w:rsidP="00646036">
            <w:r w:rsidRPr="005674D6">
              <w:t>Senior Health Policy Advisor</w:t>
            </w:r>
          </w:p>
        </w:tc>
        <w:tc>
          <w:tcPr>
            <w:tcW w:w="3344" w:type="dxa"/>
            <w:vAlign w:val="center"/>
          </w:tcPr>
          <w:p w14:paraId="2079C3C1" w14:textId="77777777" w:rsidR="00327917" w:rsidRPr="005674D6" w:rsidRDefault="00327917" w:rsidP="00646036">
            <w:r w:rsidRPr="005674D6">
              <w:t>Iowa</w:t>
            </w:r>
          </w:p>
        </w:tc>
      </w:tr>
      <w:tr w:rsidR="00327917" w:rsidRPr="005674D6" w14:paraId="79A2CBC7" w14:textId="77777777" w:rsidTr="52B404F0">
        <w:trPr>
          <w:trHeight w:val="440"/>
        </w:trPr>
        <w:tc>
          <w:tcPr>
            <w:tcW w:w="3039" w:type="dxa"/>
            <w:vAlign w:val="center"/>
          </w:tcPr>
          <w:p w14:paraId="087BBB63" w14:textId="77777777" w:rsidR="00327917" w:rsidRPr="005674D6" w:rsidRDefault="00327917" w:rsidP="00646036">
            <w:r w:rsidRPr="005674D6">
              <w:t>Julie Holmes</w:t>
            </w:r>
          </w:p>
        </w:tc>
        <w:tc>
          <w:tcPr>
            <w:tcW w:w="3697" w:type="dxa"/>
            <w:vAlign w:val="center"/>
          </w:tcPr>
          <w:p w14:paraId="0DD07226" w14:textId="727ACB65" w:rsidR="00327917" w:rsidRPr="005674D6" w:rsidRDefault="00327917" w:rsidP="00646036">
            <w:r w:rsidRPr="005674D6">
              <w:t>Director, Rate and Form Compliance</w:t>
            </w:r>
            <w:r w:rsidR="0031376F">
              <w:t xml:space="preserve"> (retired)</w:t>
            </w:r>
          </w:p>
        </w:tc>
        <w:tc>
          <w:tcPr>
            <w:tcW w:w="3344" w:type="dxa"/>
            <w:vAlign w:val="center"/>
          </w:tcPr>
          <w:p w14:paraId="10B7E397" w14:textId="77777777" w:rsidR="00327917" w:rsidRPr="005674D6" w:rsidRDefault="00327917" w:rsidP="00646036">
            <w:r w:rsidRPr="005674D6">
              <w:t>Kansas</w:t>
            </w:r>
          </w:p>
        </w:tc>
      </w:tr>
      <w:tr w:rsidR="00327917" w:rsidRPr="005674D6" w14:paraId="22F36E41" w14:textId="77777777" w:rsidTr="52B404F0">
        <w:trPr>
          <w:trHeight w:val="314"/>
        </w:trPr>
        <w:tc>
          <w:tcPr>
            <w:tcW w:w="3039" w:type="dxa"/>
            <w:vAlign w:val="center"/>
          </w:tcPr>
          <w:p w14:paraId="75708CC6" w14:textId="77777777" w:rsidR="00327917" w:rsidRPr="005674D6" w:rsidRDefault="00327917" w:rsidP="00646036">
            <w:r w:rsidRPr="005674D6">
              <w:t>Anthony Depner</w:t>
            </w:r>
          </w:p>
        </w:tc>
        <w:tc>
          <w:tcPr>
            <w:tcW w:w="3697" w:type="dxa"/>
            <w:vAlign w:val="center"/>
          </w:tcPr>
          <w:p w14:paraId="79D56EF4" w14:textId="77777777" w:rsidR="00327917" w:rsidRPr="005674D6" w:rsidRDefault="00327917" w:rsidP="00646036">
            <w:r w:rsidRPr="005674D6">
              <w:t>Research Analyst</w:t>
            </w:r>
          </w:p>
        </w:tc>
        <w:tc>
          <w:tcPr>
            <w:tcW w:w="3344" w:type="dxa"/>
            <w:vAlign w:val="center"/>
          </w:tcPr>
          <w:p w14:paraId="0C0E7D8E" w14:textId="77777777" w:rsidR="00327917" w:rsidRPr="005674D6" w:rsidRDefault="00327917" w:rsidP="00646036">
            <w:r w:rsidRPr="005674D6">
              <w:t>Kansas</w:t>
            </w:r>
          </w:p>
        </w:tc>
      </w:tr>
      <w:tr w:rsidR="00327917" w:rsidRPr="005674D6" w14:paraId="25C0B9D1" w14:textId="77777777" w:rsidTr="52B404F0">
        <w:trPr>
          <w:trHeight w:val="480"/>
        </w:trPr>
        <w:tc>
          <w:tcPr>
            <w:tcW w:w="3039" w:type="dxa"/>
            <w:vAlign w:val="center"/>
          </w:tcPr>
          <w:p w14:paraId="6FD979E5" w14:textId="77777777" w:rsidR="00327917" w:rsidRPr="005674D6" w:rsidRDefault="00327917" w:rsidP="00646036">
            <w:r w:rsidRPr="005674D6">
              <w:t>Chrystal Bartuska</w:t>
            </w:r>
          </w:p>
        </w:tc>
        <w:tc>
          <w:tcPr>
            <w:tcW w:w="3697" w:type="dxa"/>
            <w:vAlign w:val="center"/>
          </w:tcPr>
          <w:p w14:paraId="05262E92" w14:textId="77777777" w:rsidR="00327917" w:rsidRPr="005674D6" w:rsidRDefault="00327917" w:rsidP="00646036">
            <w:r w:rsidRPr="005674D6">
              <w:t>Division Director, Life &amp; Health/Medicare</w:t>
            </w:r>
          </w:p>
        </w:tc>
        <w:tc>
          <w:tcPr>
            <w:tcW w:w="3344" w:type="dxa"/>
            <w:vAlign w:val="center"/>
          </w:tcPr>
          <w:p w14:paraId="24D54B91" w14:textId="77777777" w:rsidR="00327917" w:rsidRPr="005674D6" w:rsidRDefault="00327917" w:rsidP="00646036">
            <w:r w:rsidRPr="005674D6">
              <w:t>North Dakota</w:t>
            </w:r>
          </w:p>
        </w:tc>
      </w:tr>
      <w:tr w:rsidR="00327917" w:rsidRPr="005674D6" w14:paraId="38E049B7" w14:textId="77777777" w:rsidTr="52B404F0">
        <w:trPr>
          <w:trHeight w:val="300"/>
        </w:trPr>
        <w:tc>
          <w:tcPr>
            <w:tcW w:w="3039" w:type="dxa"/>
            <w:vAlign w:val="center"/>
          </w:tcPr>
          <w:p w14:paraId="6DA54CFB" w14:textId="77777777" w:rsidR="00327917" w:rsidRPr="005674D6" w:rsidRDefault="00327917" w:rsidP="00646036">
            <w:r w:rsidRPr="005674D6">
              <w:t>Carlos Valles</w:t>
            </w:r>
          </w:p>
        </w:tc>
        <w:tc>
          <w:tcPr>
            <w:tcW w:w="3697" w:type="dxa"/>
            <w:vAlign w:val="center"/>
          </w:tcPr>
          <w:p w14:paraId="79873304" w14:textId="77777777" w:rsidR="00327917" w:rsidRPr="005674D6" w:rsidRDefault="00327917" w:rsidP="00646036">
            <w:r w:rsidRPr="005674D6">
              <w:t>Special Aide</w:t>
            </w:r>
          </w:p>
        </w:tc>
        <w:tc>
          <w:tcPr>
            <w:tcW w:w="3344" w:type="dxa"/>
            <w:vAlign w:val="center"/>
          </w:tcPr>
          <w:p w14:paraId="52BD07C7" w14:textId="77777777" w:rsidR="00327917" w:rsidRPr="005674D6" w:rsidRDefault="00327917" w:rsidP="00646036">
            <w:r w:rsidRPr="005674D6">
              <w:t>Puerto Rico</w:t>
            </w:r>
          </w:p>
        </w:tc>
      </w:tr>
    </w:tbl>
    <w:p w14:paraId="6DF6FEB5" w14:textId="77777777" w:rsidR="002A2F15" w:rsidRPr="005674D6" w:rsidRDefault="002A2F15" w:rsidP="002A2F15">
      <w:pPr>
        <w:rPr>
          <w:highlight w:val="yellow"/>
        </w:rPr>
      </w:pPr>
    </w:p>
    <w:p w14:paraId="43F88F44" w14:textId="4FEA6379" w:rsidR="00C76085" w:rsidRPr="00D27578" w:rsidRDefault="00C76085" w:rsidP="00D27578">
      <w:pPr>
        <w:pStyle w:val="NonTOCHeading"/>
        <w:rPr>
          <w:bCs/>
        </w:rPr>
      </w:pPr>
      <w:r w:rsidRPr="00D27578">
        <w:t>Connection to Affordability</w:t>
      </w:r>
    </w:p>
    <w:p w14:paraId="319CFFDE" w14:textId="21B828EA" w:rsidR="00C76085" w:rsidRPr="00D27578" w:rsidRDefault="005140AA" w:rsidP="00D27578">
      <w:r>
        <w:t xml:space="preserve">Competition </w:t>
      </w:r>
      <w:r w:rsidR="00241615">
        <w:t xml:space="preserve">among providers could help to improve affordability </w:t>
      </w:r>
      <w:r w:rsidR="007A26A9">
        <w:t>and reduce total system costs</w:t>
      </w:r>
      <w:r w:rsidR="00241615">
        <w:t xml:space="preserve"> </w:t>
      </w:r>
      <w:r w:rsidR="007217AF">
        <w:t>if those who purchase health care services were able to compare</w:t>
      </w:r>
      <w:r w:rsidR="007A26A9">
        <w:t xml:space="preserve"> the price and quality of providers before making a decision to purchase. However, the </w:t>
      </w:r>
      <w:r>
        <w:t xml:space="preserve">prices </w:t>
      </w:r>
      <w:r w:rsidR="007A26A9">
        <w:t xml:space="preserve">of health care services </w:t>
      </w:r>
      <w:r>
        <w:t>are often hidden or unknown to consumers</w:t>
      </w:r>
      <w:r w:rsidR="00307EA8">
        <w:t>, employer plan sponsors, and others</w:t>
      </w:r>
      <w:r>
        <w:t>.</w:t>
      </w:r>
      <w:r w:rsidR="00307EA8">
        <w:t xml:space="preserve"> E</w:t>
      </w:r>
      <w:r>
        <w:t xml:space="preserve">nhanced price transparency </w:t>
      </w:r>
      <w:r w:rsidR="00307EA8">
        <w:t xml:space="preserve">of prices in health care </w:t>
      </w:r>
      <w:r>
        <w:t xml:space="preserve">could </w:t>
      </w:r>
      <w:r w:rsidR="00696F64">
        <w:t>allow market forces to bring</w:t>
      </w:r>
      <w:r>
        <w:t xml:space="preserve"> greater efficiency and </w:t>
      </w:r>
      <w:r w:rsidR="00696F64">
        <w:t xml:space="preserve">affordability for </w:t>
      </w:r>
      <w:r>
        <w:t>health insurance.</w:t>
      </w:r>
      <w:r w:rsidR="00696F64">
        <w:t xml:space="preserve"> Federal and state </w:t>
      </w:r>
      <w:r w:rsidR="00A718C5">
        <w:t xml:space="preserve">policies have </w:t>
      </w:r>
      <w:r w:rsidR="00210C1D">
        <w:t>begun to mandate greater disclosure of prices</w:t>
      </w:r>
      <w:r w:rsidR="002F0247">
        <w:t xml:space="preserve"> in a g</w:t>
      </w:r>
      <w:r w:rsidR="004634F8">
        <w:t>rowing number of settings.</w:t>
      </w:r>
    </w:p>
    <w:p w14:paraId="1285F0F8" w14:textId="77777777" w:rsidR="002A2F15" w:rsidRPr="005674D6" w:rsidRDefault="002A2F15" w:rsidP="00646036"/>
    <w:p w14:paraId="6F10AB28" w14:textId="3FCF65EC" w:rsidR="00C76085" w:rsidRPr="005674D6" w:rsidRDefault="00C76085" w:rsidP="00D96053">
      <w:pPr>
        <w:pStyle w:val="NonTOCHeading"/>
        <w:rPr>
          <w:bCs/>
        </w:rPr>
      </w:pPr>
      <w:r w:rsidRPr="005674D6">
        <w:t>Introduction</w:t>
      </w:r>
    </w:p>
    <w:p w14:paraId="6D83109E" w14:textId="5DCAFC0C" w:rsidR="00C76085" w:rsidRPr="005674D6" w:rsidRDefault="00C76085" w:rsidP="00646036">
      <w:r w:rsidRPr="005674D6">
        <w:t xml:space="preserve">Health care costs represent a major driver of escalating commercial insurance premiums. To combat market inefficiencies, the federal government enacted the Hospital Price Transparency (HPT) Rule (effective 2021) and the Transparency in Coverage (TiC) Rule (effective 2022), mandating public release of gross charges, negotiated in-network rates, and out-of-network historical allowed amounts. In February 2025, a new Executive Order, “Making America Healthy Again by Empowering Patients with Clear, Accurate, and Actionable </w:t>
      </w:r>
      <w:r w:rsidR="007C1C4E">
        <w:t>Healthcare</w:t>
      </w:r>
      <w:r w:rsidRPr="005674D6">
        <w:t xml:space="preserve"> Pricing Information,” directed federal agencies to continue the initiative for price transparency. The Centers for Medicare &amp; Medicaid Services (CMS) responded in May 2025 with guidance for new and updated Hospital Price Transparency requirements. </w:t>
      </w:r>
    </w:p>
    <w:p w14:paraId="58217D99" w14:textId="77777777" w:rsidR="00C76085" w:rsidRPr="005674D6" w:rsidRDefault="00C76085" w:rsidP="00646036"/>
    <w:p w14:paraId="17DC4EB2" w14:textId="5EF34F62" w:rsidR="00C76085" w:rsidRPr="005674D6" w:rsidRDefault="00C76085" w:rsidP="00646036">
      <w:r w:rsidRPr="005674D6">
        <w:t xml:space="preserve">States are also taking action to improve price transparency in </w:t>
      </w:r>
      <w:r w:rsidR="007C1C4E">
        <w:t>health care</w:t>
      </w:r>
      <w:r w:rsidRPr="005674D6">
        <w:t>. Structural barriers have, however, historically limited state-level oversight. As of 2025, 24 states operate All-Payer Claims Databases (APCDs), but states do not have authority to require submission of claims information from employer-sponsored, self-insured plans due to federal ERISA preemption. This preemption creates a significant blind spot in state health care spending data. Early market data also indicates that published pricing information has begun to drive price convergence among providers. However, this convergence on its own does not produce consumer savings.</w:t>
      </w:r>
    </w:p>
    <w:p w14:paraId="79C3BCA8" w14:textId="77777777" w:rsidR="00C76085" w:rsidRPr="005674D6" w:rsidRDefault="00C76085" w:rsidP="00646036"/>
    <w:p w14:paraId="6529697F" w14:textId="77777777" w:rsidR="00C76085" w:rsidRPr="005674D6" w:rsidRDefault="00C76085" w:rsidP="00646036">
      <w:r w:rsidRPr="005674D6">
        <w:t>This brief details some of the ways state Departments or Divisions of Insurance (DOIs) have moved beyond passive consumer-facing tools. State insurance regulators and state employee health plans have worked to address cost drivers by integrating standardized TiC data, leveraging APCD data where available, protecting employer access to claims data under the Consolidated Appropriations Act (CAA) of 2021, and supporting structural plan designs, such as reference-based pricing, tiered networks, site-of-care steering, and direct payment rate constraints. Most of the initiatives described below are facilitated by enhanced price transparency.</w:t>
      </w:r>
    </w:p>
    <w:p w14:paraId="00C11FB5" w14:textId="77777777" w:rsidR="00C76085" w:rsidRPr="005674D6" w:rsidRDefault="00C76085" w:rsidP="00646036"/>
    <w:p w14:paraId="0BEA0BD1" w14:textId="2B06FEC2" w:rsidR="00C76085" w:rsidRPr="005674D6" w:rsidRDefault="7EC4AD4A" w:rsidP="00646036">
      <w:r>
        <w:t xml:space="preserve">Health care price transparency rules aim to empower consumers to make informed health care decisions, increase market competition, and ultimately slow the rising costs of medical care and insurance by bringing clarity and standardized access to health care pricing. This brief examines the current state of federal and state </w:t>
      </w:r>
      <w:r w:rsidR="007C1C4E">
        <w:t>health care</w:t>
      </w:r>
      <w:r>
        <w:t xml:space="preserve"> price transparency initiatives, the technical and legal barriers to effective data utilization, and the strategies available to state insurance regulators and institutional purchasers to leverage price transparency data for systemic cost containment and overall improved health care affordability. Federal price transparency mandates enacted between 2019 and 2022, the Hospital Price Transparency (HPT) Rule and the Transparency in Coverage (TiC) Rule, created an unprecedented public record of negotiated health care prices. A February 2025 Executive Order directed federal agencies to require disclosure of actual prices rather than estimates and to strengthen standardization and enforcement. Despite this regulatory progress, persistent structural barriers, some of which this brief discusses, have constrained the practical impact on health care costs. States are responding with an expanding range of strategies, such as hospital price transparency enforcement mechanisms, All-Payer Claims Database (APCD) modernization, and data-driven consumer initiatives.</w:t>
      </w:r>
    </w:p>
    <w:p w14:paraId="1F5A9E4F" w14:textId="39B12C84" w:rsidR="52B404F0" w:rsidRDefault="52B404F0"/>
    <w:p w14:paraId="2CD41916" w14:textId="77777777" w:rsidR="00C76085" w:rsidRPr="005674D6" w:rsidRDefault="7EC4AD4A" w:rsidP="00D96053">
      <w:pPr>
        <w:pStyle w:val="NonTOCHeading"/>
      </w:pPr>
      <w:r>
        <w:t xml:space="preserve">Premium Impact and Savings Analysis: Driving Downstream Affordability Structures </w:t>
      </w:r>
    </w:p>
    <w:p w14:paraId="5FD31CE5" w14:textId="77777777" w:rsidR="00C76085" w:rsidRPr="005674D6" w:rsidRDefault="00C76085" w:rsidP="00646036">
      <w:r w:rsidRPr="005674D6">
        <w:t>While evidence is limited for increased affordability due to price transparency reforms alone, making prices available can support other state affordability efforts. Research supports limiting provider payment rates as one of the most effective strategies for containing costs, and several states have acted in this area.</w:t>
      </w:r>
    </w:p>
    <w:p w14:paraId="410872B7" w14:textId="77777777" w:rsidR="00C76085" w:rsidRPr="005674D6" w:rsidRDefault="00C76085" w:rsidP="00646036"/>
    <w:p w14:paraId="0A958A1F" w14:textId="1A82E6E3" w:rsidR="03599F6E" w:rsidRPr="00D96053" w:rsidRDefault="03599F6E" w:rsidP="00D96053">
      <w:pPr>
        <w:rPr>
          <w:b/>
          <w:bCs/>
        </w:rPr>
      </w:pPr>
      <w:r w:rsidRPr="00D96053">
        <w:rPr>
          <w:b/>
          <w:bCs/>
        </w:rPr>
        <w:t>Oregon</w:t>
      </w:r>
    </w:p>
    <w:p w14:paraId="63FDACC2" w14:textId="382786A5" w:rsidR="00C76085" w:rsidRPr="005674D6" w:rsidRDefault="7EC4AD4A" w:rsidP="52B404F0">
      <w:pPr>
        <w:spacing w:after="240"/>
      </w:pPr>
      <w:r>
        <w:t>The State Employee Health Plan capped hospital reimbursements at twice the Medicare rate beginning in 2019. A subsequent peer</w:t>
      </w:r>
      <w:r w:rsidR="00C76085">
        <w:noBreakHyphen/>
      </w:r>
      <w:r>
        <w:t>reviewed analysis in Health Affairs (Murray et al., 2024) found that this policy led to measurable reductions in hospital facility prices paid by the plan. While this approach requires a self</w:t>
      </w:r>
      <w:r w:rsidR="00C76085">
        <w:noBreakHyphen/>
      </w:r>
      <w:r>
        <w:t>funded purchaser with sufficient market leverage and direct contracting authority, it offers a replicable model for other large public purchasers seeking to contain cost growth without narrowing provider networks.</w:t>
      </w:r>
    </w:p>
    <w:p w14:paraId="02A7F806" w14:textId="5E50CC00" w:rsidR="00C76085" w:rsidRPr="005674D6" w:rsidRDefault="7EC4AD4A" w:rsidP="00D96053">
      <w:r w:rsidRPr="52B404F0">
        <w:rPr>
          <w:rStyle w:val="Heading4Char"/>
        </w:rPr>
        <w:t>Minnesota (State Employee Group Insurance Program) and Massachusetts (Group Insurance Commission)</w:t>
      </w:r>
      <w:r>
        <w:t xml:space="preserve"> </w:t>
      </w:r>
    </w:p>
    <w:p w14:paraId="651A9EA9" w14:textId="709E0257" w:rsidR="00C76085" w:rsidRPr="005674D6" w:rsidRDefault="7EC4AD4A" w:rsidP="52B404F0">
      <w:pPr>
        <w:spacing w:after="240"/>
      </w:pPr>
      <w:r>
        <w:t>State employee health managers in Minnesota (SEGIP) and Massachusetts (GIC) use clinical claims data to tier primary care practices based on total cost of care. Members receive substantially lower out-of-pocket costs when choosing top</w:t>
      </w:r>
      <w:r w:rsidR="00C76085">
        <w:noBreakHyphen/>
      </w:r>
      <w:r>
        <w:t>tier providers, creating financial incentives for practices to remain cost</w:t>
      </w:r>
      <w:r w:rsidR="00C76085">
        <w:noBreakHyphen/>
      </w:r>
      <w:r>
        <w:t>competitive to retain patients.</w:t>
      </w:r>
    </w:p>
    <w:p w14:paraId="5EACE704" w14:textId="699CA704" w:rsidR="00C76085" w:rsidRPr="005674D6" w:rsidRDefault="7EC4AD4A" w:rsidP="52B404F0">
      <w:r w:rsidRPr="52B404F0">
        <w:rPr>
          <w:rStyle w:val="Heading4Char"/>
        </w:rPr>
        <w:t>California (California Public Employees' Retirement System) and Utah (Public Employees' Health Program)</w:t>
      </w:r>
      <w:r>
        <w:t xml:space="preserve"> </w:t>
      </w:r>
    </w:p>
    <w:p w14:paraId="58AE6AC5" w14:textId="436D2AE7" w:rsidR="00C76085" w:rsidRPr="005674D6" w:rsidRDefault="7EC4AD4A" w:rsidP="52B404F0">
      <w:pPr>
        <w:spacing w:after="240"/>
      </w:pPr>
      <w:r>
        <w:t>State plans in California (CalPERS) and Utah (PEHP) use benefit tiering to guide patients from higher</w:t>
      </w:r>
      <w:r w:rsidR="00C76085">
        <w:noBreakHyphen/>
      </w:r>
      <w:r>
        <w:t>cost hospital outpatient departments to lower</w:t>
      </w:r>
      <w:r w:rsidR="00C76085">
        <w:noBreakHyphen/>
      </w:r>
      <w:r>
        <w:t>cost independent diagnostic facilities for routine services, reducing per</w:t>
      </w:r>
      <w:r w:rsidR="00C76085">
        <w:noBreakHyphen/>
      </w:r>
      <w:r>
        <w:t>episode spending without limiting clinical access.</w:t>
      </w:r>
    </w:p>
    <w:p w14:paraId="59262326" w14:textId="573F3F94" w:rsidR="00C76085" w:rsidRPr="00D96053" w:rsidRDefault="7EC4AD4A" w:rsidP="00D96053">
      <w:pPr>
        <w:rPr>
          <w:b/>
          <w:bCs/>
        </w:rPr>
      </w:pPr>
      <w:r w:rsidRPr="00D96053">
        <w:rPr>
          <w:b/>
          <w:bCs/>
        </w:rPr>
        <w:t>Kansas (State Employee Health Plan) and Utah (PEHP)</w:t>
      </w:r>
    </w:p>
    <w:p w14:paraId="69C61798" w14:textId="15BCE130" w:rsidR="00C76085" w:rsidRPr="005674D6" w:rsidRDefault="7EC4AD4A" w:rsidP="52B404F0">
      <w:pPr>
        <w:spacing w:after="240"/>
      </w:pPr>
      <w:r>
        <w:t xml:space="preserve">Programs in Kansas (SEHP) and Utah (PEHP) use </w:t>
      </w:r>
      <w:r w:rsidR="1D903C8D">
        <w:t>price transparency</w:t>
      </w:r>
      <w:r>
        <w:t xml:space="preserve"> data to offer direct cash incentives to members who choose high</w:t>
      </w:r>
      <w:r w:rsidR="00C76085">
        <w:noBreakHyphen/>
      </w:r>
      <w:r>
        <w:t>value providers, aligning individual cost</w:t>
      </w:r>
      <w:r w:rsidR="00C76085">
        <w:noBreakHyphen/>
      </w:r>
      <w:r>
        <w:t>sharing decisions with broader plan cost</w:t>
      </w:r>
      <w:r w:rsidR="00C76085">
        <w:noBreakHyphen/>
      </w:r>
      <w:r>
        <w:t>containment goals.</w:t>
      </w:r>
    </w:p>
    <w:p w14:paraId="12B9E49D" w14:textId="77777777" w:rsidR="002A2F15" w:rsidRDefault="002A2F15" w:rsidP="00646036"/>
    <w:p w14:paraId="0382FBAA" w14:textId="77777777" w:rsidR="00D96053" w:rsidRDefault="00D96053" w:rsidP="00646036"/>
    <w:p w14:paraId="5EB0E57B" w14:textId="77777777" w:rsidR="00D96053" w:rsidRPr="005674D6" w:rsidRDefault="00D96053" w:rsidP="00646036"/>
    <w:p w14:paraId="6F84081E" w14:textId="14080524" w:rsidR="00C76085" w:rsidRPr="005674D6" w:rsidRDefault="00C76085" w:rsidP="00D96053">
      <w:pPr>
        <w:pStyle w:val="NonTOCHeading"/>
        <w:rPr>
          <w:rFonts w:ascii="Inter Medium" w:eastAsia="Inter Medium" w:hAnsi="Inter Medium" w:cs="Inter Medium"/>
          <w:bCs/>
          <w:color w:val="1F1F1F"/>
        </w:rPr>
      </w:pPr>
      <w:r w:rsidRPr="005674D6">
        <w:t>Price Transparency State Policy Options</w:t>
      </w:r>
    </w:p>
    <w:p w14:paraId="0A062020" w14:textId="19463425" w:rsidR="00C76085" w:rsidRPr="005674D6" w:rsidRDefault="7EC4AD4A" w:rsidP="00646036">
      <w:r>
        <w:t>Health care price transparency rules aim to empower consumers to make informed health care decisions, increase market competition, and ultimately slow the rising costs of medical care by bringing clarity and standardized access to health care pricing. Consumers rarely know the price of health care services, resulting in reduced market incentives for providers to compete based on prices. A few states have currently enacted policies related to enhanced price transparency.</w:t>
      </w:r>
    </w:p>
    <w:p w14:paraId="03B71877" w14:textId="50B99971" w:rsidR="52B404F0" w:rsidRDefault="52B404F0"/>
    <w:tbl>
      <w:tblPr>
        <w:tblW w:w="0" w:type="auto"/>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1723"/>
        <w:gridCol w:w="2283"/>
        <w:gridCol w:w="6074"/>
      </w:tblGrid>
      <w:tr w:rsidR="00C76085" w:rsidRPr="005674D6" w14:paraId="264E7F2A" w14:textId="77777777" w:rsidTr="52B404F0">
        <w:trPr>
          <w:trHeight w:val="495"/>
          <w:tblHeader/>
        </w:trPr>
        <w:tc>
          <w:tcPr>
            <w:tcW w:w="1815" w:type="dxa"/>
            <w:shd w:val="clear" w:color="auto" w:fill="F2F2F2" w:themeFill="background2" w:themeFillShade="F2"/>
          </w:tcPr>
          <w:p w14:paraId="504CFC3E" w14:textId="77777777" w:rsidR="00C76085" w:rsidRPr="005674D6" w:rsidRDefault="7EC4AD4A" w:rsidP="52B404F0">
            <w:pPr>
              <w:rPr>
                <w:b/>
                <w:bCs/>
              </w:rPr>
            </w:pPr>
            <w:r w:rsidRPr="52B404F0">
              <w:rPr>
                <w:b/>
                <w:bCs/>
              </w:rPr>
              <w:t>State</w:t>
            </w:r>
          </w:p>
        </w:tc>
        <w:tc>
          <w:tcPr>
            <w:tcW w:w="2535" w:type="dxa"/>
            <w:shd w:val="clear" w:color="auto" w:fill="F2F2F2" w:themeFill="background2" w:themeFillShade="F2"/>
          </w:tcPr>
          <w:p w14:paraId="3475B708" w14:textId="77777777" w:rsidR="00C76085" w:rsidRPr="005674D6" w:rsidRDefault="7EC4AD4A" w:rsidP="52B404F0">
            <w:pPr>
              <w:rPr>
                <w:b/>
                <w:bCs/>
              </w:rPr>
            </w:pPr>
            <w:r w:rsidRPr="52B404F0">
              <w:rPr>
                <w:b/>
                <w:bCs/>
              </w:rPr>
              <w:t>Implementation Date</w:t>
            </w:r>
          </w:p>
        </w:tc>
        <w:tc>
          <w:tcPr>
            <w:tcW w:w="8095" w:type="dxa"/>
            <w:shd w:val="clear" w:color="auto" w:fill="F2F2F2" w:themeFill="background2" w:themeFillShade="F2"/>
          </w:tcPr>
          <w:p w14:paraId="22FB85F3" w14:textId="77777777" w:rsidR="00C76085" w:rsidRPr="005674D6" w:rsidRDefault="7EC4AD4A" w:rsidP="52B404F0">
            <w:pPr>
              <w:rPr>
                <w:b/>
                <w:bCs/>
              </w:rPr>
            </w:pPr>
            <w:r w:rsidRPr="52B404F0">
              <w:rPr>
                <w:b/>
                <w:bCs/>
              </w:rPr>
              <w:t>Key Variations/Notes</w:t>
            </w:r>
          </w:p>
        </w:tc>
      </w:tr>
      <w:tr w:rsidR="00C76085" w:rsidRPr="005674D6" w14:paraId="71249F12" w14:textId="77777777" w:rsidTr="52B404F0">
        <w:trPr>
          <w:trHeight w:val="564"/>
        </w:trPr>
        <w:tc>
          <w:tcPr>
            <w:tcW w:w="1815" w:type="dxa"/>
          </w:tcPr>
          <w:p w14:paraId="2C713777" w14:textId="77777777" w:rsidR="00C76085" w:rsidRPr="005674D6" w:rsidRDefault="00C76085" w:rsidP="00646036">
            <w:r w:rsidRPr="005674D6">
              <w:t>Arkansas</w:t>
            </w:r>
          </w:p>
        </w:tc>
        <w:tc>
          <w:tcPr>
            <w:tcW w:w="2535" w:type="dxa"/>
          </w:tcPr>
          <w:p w14:paraId="0E699578" w14:textId="77777777" w:rsidR="00C76085" w:rsidRPr="005674D6" w:rsidRDefault="00C76085" w:rsidP="00646036">
            <w:r w:rsidRPr="005674D6">
              <w:t>2023</w:t>
            </w:r>
          </w:p>
        </w:tc>
        <w:tc>
          <w:tcPr>
            <w:tcW w:w="8095" w:type="dxa"/>
          </w:tcPr>
          <w:p w14:paraId="0397C9C8" w14:textId="77777777" w:rsidR="00C76085" w:rsidRPr="005674D6" w:rsidRDefault="00C76085" w:rsidP="00646036">
            <w:pPr>
              <w:rPr>
                <w:color w:val="1F1F1F"/>
              </w:rPr>
            </w:pPr>
            <w:r w:rsidRPr="005674D6">
              <w:t>Imposes state-level financial penalties on hospitals that fail to comply with federal HPT requirements, supplementing federal enforcement.</w:t>
            </w:r>
          </w:p>
        </w:tc>
      </w:tr>
      <w:tr w:rsidR="00C76085" w:rsidRPr="005674D6" w14:paraId="58A9436B" w14:textId="77777777" w:rsidTr="52B404F0">
        <w:trPr>
          <w:trHeight w:val="564"/>
        </w:trPr>
        <w:tc>
          <w:tcPr>
            <w:tcW w:w="1815" w:type="dxa"/>
          </w:tcPr>
          <w:p w14:paraId="24F77631" w14:textId="77777777" w:rsidR="00C76085" w:rsidRPr="005674D6" w:rsidRDefault="00C76085" w:rsidP="00646036">
            <w:r w:rsidRPr="005674D6">
              <w:t>Arizona</w:t>
            </w:r>
          </w:p>
        </w:tc>
        <w:tc>
          <w:tcPr>
            <w:tcW w:w="2535" w:type="dxa"/>
          </w:tcPr>
          <w:p w14:paraId="447E0AFF" w14:textId="77777777" w:rsidR="00C76085" w:rsidRPr="005674D6" w:rsidRDefault="00C76085" w:rsidP="00646036">
            <w:r w:rsidRPr="005674D6">
              <w:t>2022</w:t>
            </w:r>
          </w:p>
        </w:tc>
        <w:tc>
          <w:tcPr>
            <w:tcW w:w="8095" w:type="dxa"/>
          </w:tcPr>
          <w:p w14:paraId="3278A045" w14:textId="77777777" w:rsidR="00C76085" w:rsidRPr="005674D6" w:rsidRDefault="00C76085" w:rsidP="00646036">
            <w:pPr>
              <w:rPr>
                <w:color w:val="1F1F1F"/>
              </w:rPr>
            </w:pPr>
            <w:r w:rsidRPr="005674D6">
              <w:t>Designated the Department of Health Services as responsible for overseeing hospital compliance with federal HPT rules; requires public posting of noncompliant hospitals.</w:t>
            </w:r>
          </w:p>
        </w:tc>
      </w:tr>
      <w:tr w:rsidR="00C76085" w:rsidRPr="005674D6" w14:paraId="4A08258E" w14:textId="77777777" w:rsidTr="52B404F0">
        <w:trPr>
          <w:trHeight w:val="564"/>
        </w:trPr>
        <w:tc>
          <w:tcPr>
            <w:tcW w:w="1815" w:type="dxa"/>
          </w:tcPr>
          <w:p w14:paraId="708C3D3B" w14:textId="77777777" w:rsidR="00C76085" w:rsidRPr="005674D6" w:rsidRDefault="00C76085" w:rsidP="00646036">
            <w:r w:rsidRPr="005674D6">
              <w:t>California</w:t>
            </w:r>
          </w:p>
        </w:tc>
        <w:tc>
          <w:tcPr>
            <w:tcW w:w="2535" w:type="dxa"/>
          </w:tcPr>
          <w:p w14:paraId="4F15E6B6" w14:textId="77777777" w:rsidR="00C76085" w:rsidRPr="005674D6" w:rsidRDefault="00C76085" w:rsidP="00646036">
            <w:r w:rsidRPr="005674D6">
              <w:t>2017</w:t>
            </w:r>
          </w:p>
        </w:tc>
        <w:tc>
          <w:tcPr>
            <w:tcW w:w="8095" w:type="dxa"/>
          </w:tcPr>
          <w:p w14:paraId="1640ABB6" w14:textId="77777777" w:rsidR="00C76085" w:rsidRPr="005674D6" w:rsidRDefault="00C76085" w:rsidP="00646036">
            <w:pPr>
              <w:rPr>
                <w:color w:val="1F1F1F"/>
              </w:rPr>
            </w:pPr>
            <w:r w:rsidRPr="005674D6">
              <w:t>Passed SB 17, requiring drug manufacturers to report price increases over a specific percentage.</w:t>
            </w:r>
          </w:p>
        </w:tc>
      </w:tr>
      <w:tr w:rsidR="00C76085" w:rsidRPr="005674D6" w14:paraId="1555908A" w14:textId="77777777" w:rsidTr="52B404F0">
        <w:trPr>
          <w:trHeight w:val="564"/>
        </w:trPr>
        <w:tc>
          <w:tcPr>
            <w:tcW w:w="1815" w:type="dxa"/>
          </w:tcPr>
          <w:p w14:paraId="35959A85" w14:textId="77777777" w:rsidR="00C76085" w:rsidRPr="005674D6" w:rsidRDefault="00C76085" w:rsidP="00646036">
            <w:r w:rsidRPr="005674D6">
              <w:t>Colorado</w:t>
            </w:r>
          </w:p>
        </w:tc>
        <w:tc>
          <w:tcPr>
            <w:tcW w:w="2535" w:type="dxa"/>
          </w:tcPr>
          <w:p w14:paraId="4755A34D" w14:textId="77777777" w:rsidR="00C76085" w:rsidRPr="005674D6" w:rsidRDefault="00C76085" w:rsidP="00646036">
            <w:r w:rsidRPr="005674D6">
              <w:t>2024</w:t>
            </w:r>
          </w:p>
        </w:tc>
        <w:tc>
          <w:tcPr>
            <w:tcW w:w="8095" w:type="dxa"/>
          </w:tcPr>
          <w:p w14:paraId="3B66A9A6" w14:textId="77777777" w:rsidR="00C76085" w:rsidRPr="005674D6" w:rsidRDefault="00C76085" w:rsidP="00646036">
            <w:pPr>
              <w:rPr>
                <w:color w:val="1F1F1F"/>
              </w:rPr>
            </w:pPr>
            <w:r w:rsidRPr="005674D6">
              <w:t>Works with third parties to transform complex machine-readable files (MRFs) into an accessible consumer portal.</w:t>
            </w:r>
          </w:p>
          <w:p w14:paraId="6C8715A0" w14:textId="77777777" w:rsidR="00C76085" w:rsidRPr="005674D6" w:rsidRDefault="00C76085" w:rsidP="00646036">
            <w:pPr>
              <w:rPr>
                <w:color w:val="1F1F1F"/>
              </w:rPr>
            </w:pPr>
            <w:r w:rsidRPr="005674D6">
              <w:t>Prohibits hospitals from initiating debt collection against patients for services rendered during any period of HPT noncompliance.</w:t>
            </w:r>
          </w:p>
        </w:tc>
      </w:tr>
      <w:tr w:rsidR="00C76085" w:rsidRPr="005674D6" w14:paraId="3A0A1558" w14:textId="77777777" w:rsidTr="52B404F0">
        <w:trPr>
          <w:trHeight w:val="564"/>
        </w:trPr>
        <w:tc>
          <w:tcPr>
            <w:tcW w:w="1815" w:type="dxa"/>
          </w:tcPr>
          <w:p w14:paraId="0E96C9E3" w14:textId="77777777" w:rsidR="00C76085" w:rsidRPr="005674D6" w:rsidRDefault="00C76085" w:rsidP="00646036">
            <w:r w:rsidRPr="005674D6">
              <w:t>Indiana</w:t>
            </w:r>
          </w:p>
        </w:tc>
        <w:tc>
          <w:tcPr>
            <w:tcW w:w="2535" w:type="dxa"/>
          </w:tcPr>
          <w:p w14:paraId="49CBD571" w14:textId="77777777" w:rsidR="00C76085" w:rsidRPr="005674D6" w:rsidRDefault="00C76085" w:rsidP="00646036">
            <w:r w:rsidRPr="005674D6">
              <w:t>2024</w:t>
            </w:r>
          </w:p>
        </w:tc>
        <w:tc>
          <w:tcPr>
            <w:tcW w:w="8095" w:type="dxa"/>
          </w:tcPr>
          <w:p w14:paraId="2BC830EF" w14:textId="77777777" w:rsidR="00C76085" w:rsidRPr="005674D6" w:rsidRDefault="00C76085" w:rsidP="00646036">
            <w:pPr>
              <w:rPr>
                <w:color w:val="1F1F1F"/>
              </w:rPr>
            </w:pPr>
            <w:r w:rsidRPr="005674D6">
              <w:t>Administers an All Payer Claims Database (APCD) housing over 2.3 billion records across 7.7 million unique members. Includes an interactive mapping of procedure cost variations across ZIP codes.</w:t>
            </w:r>
          </w:p>
        </w:tc>
      </w:tr>
      <w:tr w:rsidR="00C76085" w:rsidRPr="005674D6" w14:paraId="56F2BE5D" w14:textId="77777777" w:rsidTr="52B404F0">
        <w:trPr>
          <w:trHeight w:val="564"/>
        </w:trPr>
        <w:tc>
          <w:tcPr>
            <w:tcW w:w="1815" w:type="dxa"/>
          </w:tcPr>
          <w:p w14:paraId="2FE1A69D" w14:textId="77777777" w:rsidR="00C76085" w:rsidRPr="005674D6" w:rsidRDefault="00C76085" w:rsidP="00646036">
            <w:r w:rsidRPr="005674D6">
              <w:t>Massachusetts</w:t>
            </w:r>
          </w:p>
        </w:tc>
        <w:tc>
          <w:tcPr>
            <w:tcW w:w="2535" w:type="dxa"/>
          </w:tcPr>
          <w:p w14:paraId="7EC1A01C" w14:textId="77777777" w:rsidR="00C76085" w:rsidRPr="005674D6" w:rsidRDefault="00C76085" w:rsidP="00646036">
            <w:r w:rsidRPr="005674D6">
              <w:t>2025</w:t>
            </w:r>
          </w:p>
        </w:tc>
        <w:tc>
          <w:tcPr>
            <w:tcW w:w="8095" w:type="dxa"/>
          </w:tcPr>
          <w:p w14:paraId="65285286" w14:textId="77777777" w:rsidR="00C76085" w:rsidRPr="005674D6" w:rsidRDefault="00C76085" w:rsidP="00646036">
            <w:r w:rsidRPr="005674D6">
              <w:t>Uses a centralized data hub to inform tiered provider networks where enrollees pay lower cost-sharing for high-value tiers.</w:t>
            </w:r>
          </w:p>
        </w:tc>
      </w:tr>
      <w:tr w:rsidR="00C76085" w:rsidRPr="005674D6" w14:paraId="14DC1511" w14:textId="77777777" w:rsidTr="52B404F0">
        <w:trPr>
          <w:trHeight w:val="564"/>
        </w:trPr>
        <w:tc>
          <w:tcPr>
            <w:tcW w:w="1815" w:type="dxa"/>
          </w:tcPr>
          <w:p w14:paraId="397DCDE7" w14:textId="77777777" w:rsidR="00C76085" w:rsidRPr="005674D6" w:rsidRDefault="00C76085" w:rsidP="00646036">
            <w:r w:rsidRPr="005674D6">
              <w:t>Minnesota</w:t>
            </w:r>
          </w:p>
        </w:tc>
        <w:tc>
          <w:tcPr>
            <w:tcW w:w="2535" w:type="dxa"/>
          </w:tcPr>
          <w:p w14:paraId="2A50E1C6" w14:textId="77777777" w:rsidR="00C76085" w:rsidRPr="005674D6" w:rsidRDefault="00C76085" w:rsidP="00646036">
            <w:r w:rsidRPr="005674D6">
              <w:t>2021</w:t>
            </w:r>
          </w:p>
        </w:tc>
        <w:tc>
          <w:tcPr>
            <w:tcW w:w="8095" w:type="dxa"/>
          </w:tcPr>
          <w:p w14:paraId="7BF22E03" w14:textId="77777777" w:rsidR="00C76085" w:rsidRPr="005674D6" w:rsidRDefault="00C76085" w:rsidP="00646036">
            <w:pPr>
              <w:rPr>
                <w:color w:val="1F1F1F"/>
              </w:rPr>
            </w:pPr>
            <w:r w:rsidRPr="005674D6">
              <w:t>Expanded transparency requirements beyond hospitals to include outpatient surgical centers, large imaging/laboratory providers, and dental service providers.</w:t>
            </w:r>
          </w:p>
        </w:tc>
      </w:tr>
      <w:tr w:rsidR="00C76085" w:rsidRPr="005674D6" w14:paraId="19385C81" w14:textId="77777777" w:rsidTr="52B404F0">
        <w:trPr>
          <w:trHeight w:val="564"/>
        </w:trPr>
        <w:tc>
          <w:tcPr>
            <w:tcW w:w="1815" w:type="dxa"/>
          </w:tcPr>
          <w:p w14:paraId="5A20D6E9" w14:textId="77777777" w:rsidR="00C76085" w:rsidRPr="005674D6" w:rsidRDefault="00C76085" w:rsidP="00646036">
            <w:r w:rsidRPr="005674D6">
              <w:t>New Hampshire</w:t>
            </w:r>
          </w:p>
        </w:tc>
        <w:tc>
          <w:tcPr>
            <w:tcW w:w="2535" w:type="dxa"/>
          </w:tcPr>
          <w:p w14:paraId="38E18927" w14:textId="77777777" w:rsidR="00C76085" w:rsidRPr="005674D6" w:rsidRDefault="00C76085" w:rsidP="00646036">
            <w:r w:rsidRPr="005674D6">
              <w:t>2019</w:t>
            </w:r>
          </w:p>
        </w:tc>
        <w:tc>
          <w:tcPr>
            <w:tcW w:w="8095" w:type="dxa"/>
          </w:tcPr>
          <w:p w14:paraId="3F577536" w14:textId="77777777" w:rsidR="00C76085" w:rsidRPr="005674D6" w:rsidRDefault="00C76085" w:rsidP="00646036">
            <w:pPr>
              <w:rPr>
                <w:color w:val="1F1F1F"/>
              </w:rPr>
            </w:pPr>
            <w:r w:rsidRPr="005674D6">
              <w:t xml:space="preserve">Leveraged its APCD to host the "NH Health Cost" tool, which successfully reduced insurer prices for imaging services and other categories. </w:t>
            </w:r>
          </w:p>
        </w:tc>
      </w:tr>
      <w:tr w:rsidR="00C76085" w:rsidRPr="005674D6" w14:paraId="5880541A" w14:textId="77777777" w:rsidTr="52B404F0">
        <w:trPr>
          <w:trHeight w:val="564"/>
        </w:trPr>
        <w:tc>
          <w:tcPr>
            <w:tcW w:w="1815" w:type="dxa"/>
          </w:tcPr>
          <w:p w14:paraId="22418A12" w14:textId="77777777" w:rsidR="00C76085" w:rsidRPr="005674D6" w:rsidRDefault="00C76085" w:rsidP="00646036">
            <w:r w:rsidRPr="005674D6">
              <w:t>Oklahoma</w:t>
            </w:r>
          </w:p>
        </w:tc>
        <w:tc>
          <w:tcPr>
            <w:tcW w:w="2535" w:type="dxa"/>
          </w:tcPr>
          <w:p w14:paraId="475A99C6" w14:textId="77777777" w:rsidR="00C76085" w:rsidRPr="005674D6" w:rsidRDefault="00C76085" w:rsidP="00646036">
            <w:r w:rsidRPr="005674D6">
              <w:t>2025</w:t>
            </w:r>
          </w:p>
        </w:tc>
        <w:tc>
          <w:tcPr>
            <w:tcW w:w="8095" w:type="dxa"/>
          </w:tcPr>
          <w:p w14:paraId="79CA1479" w14:textId="77777777" w:rsidR="00C76085" w:rsidRPr="005674D6" w:rsidRDefault="00C76085" w:rsidP="00646036">
            <w:r w:rsidRPr="005674D6">
              <w:t>Enacted SB 889 (2025), requiring hospitals to publicly post consumer-friendly, machine-readable price lists for 300 common services, including standard gross charges, payer-specific negotiated rates, and discounted cash prices.</w:t>
            </w:r>
          </w:p>
        </w:tc>
      </w:tr>
      <w:tr w:rsidR="00C76085" w:rsidRPr="005674D6" w14:paraId="551B573F" w14:textId="77777777" w:rsidTr="52B404F0">
        <w:trPr>
          <w:trHeight w:val="564"/>
        </w:trPr>
        <w:tc>
          <w:tcPr>
            <w:tcW w:w="1815" w:type="dxa"/>
          </w:tcPr>
          <w:p w14:paraId="4E2743E2" w14:textId="77777777" w:rsidR="00C76085" w:rsidRPr="005674D6" w:rsidRDefault="00C76085" w:rsidP="00646036">
            <w:r w:rsidRPr="005674D6">
              <w:t>Texas</w:t>
            </w:r>
          </w:p>
        </w:tc>
        <w:tc>
          <w:tcPr>
            <w:tcW w:w="2535" w:type="dxa"/>
          </w:tcPr>
          <w:p w14:paraId="53641828" w14:textId="77777777" w:rsidR="00C76085" w:rsidRPr="005674D6" w:rsidRDefault="00C76085" w:rsidP="00646036">
            <w:r w:rsidRPr="005674D6">
              <w:t>2019</w:t>
            </w:r>
          </w:p>
        </w:tc>
        <w:tc>
          <w:tcPr>
            <w:tcW w:w="8095" w:type="dxa"/>
          </w:tcPr>
          <w:p w14:paraId="41FF9551" w14:textId="77777777" w:rsidR="00C76085" w:rsidRPr="005674D6" w:rsidRDefault="00C76085" w:rsidP="00646036">
            <w:pPr>
              <w:rPr>
                <w:color w:val="1F1F1F"/>
              </w:rPr>
            </w:pPr>
            <w:r w:rsidRPr="005674D6">
              <w:t>Passed HB 2536, requiring drug manufacturers to report price increases over a specific percentage.</w:t>
            </w:r>
          </w:p>
          <w:p w14:paraId="051015A7" w14:textId="77777777" w:rsidR="00C76085" w:rsidRPr="005674D6" w:rsidRDefault="00C76085" w:rsidP="00646036">
            <w:pPr>
              <w:rPr>
                <w:color w:val="1F1F1F"/>
              </w:rPr>
            </w:pPr>
            <w:r w:rsidRPr="005674D6">
              <w:t xml:space="preserve">Texas has codified federal HPT rules into state statute with enhanced penalties, extended TiC requirements to short-term limited duration plans, and issued state standardization guidance to improve data usability. </w:t>
            </w:r>
          </w:p>
        </w:tc>
      </w:tr>
      <w:tr w:rsidR="00C76085" w:rsidRPr="005674D6" w14:paraId="33C9DBB8" w14:textId="77777777" w:rsidTr="52B404F0">
        <w:trPr>
          <w:trHeight w:val="564"/>
        </w:trPr>
        <w:tc>
          <w:tcPr>
            <w:tcW w:w="1815" w:type="dxa"/>
          </w:tcPr>
          <w:p w14:paraId="14EEF2D7" w14:textId="77777777" w:rsidR="00C76085" w:rsidRPr="005674D6" w:rsidRDefault="00C76085" w:rsidP="00646036">
            <w:r w:rsidRPr="005674D6">
              <w:t>Washington</w:t>
            </w:r>
          </w:p>
        </w:tc>
        <w:tc>
          <w:tcPr>
            <w:tcW w:w="2535" w:type="dxa"/>
          </w:tcPr>
          <w:p w14:paraId="2DE6EB9D" w14:textId="77777777" w:rsidR="00C76085" w:rsidRPr="005674D6" w:rsidRDefault="00C76085" w:rsidP="00646036">
            <w:r w:rsidRPr="005674D6">
              <w:t>2025</w:t>
            </w:r>
          </w:p>
        </w:tc>
        <w:tc>
          <w:tcPr>
            <w:tcW w:w="8095" w:type="dxa"/>
          </w:tcPr>
          <w:p w14:paraId="0EE9A0C8" w14:textId="4BAFF9C4" w:rsidR="00C76085" w:rsidRPr="005674D6" w:rsidRDefault="7EC4AD4A" w:rsidP="52B404F0">
            <w:r>
              <w:t>Passed HB 1382 (2025) to modernize its APCD, removing statutory "proprietary financial information" protections to permit the disclosure of actual contract pricing and payer-negotiated rates.</w:t>
            </w:r>
          </w:p>
        </w:tc>
      </w:tr>
    </w:tbl>
    <w:p w14:paraId="2805C498" w14:textId="77777777" w:rsidR="002A2F15" w:rsidRDefault="002A2F15" w:rsidP="00646036"/>
    <w:p w14:paraId="16F11807" w14:textId="77777777" w:rsidR="00D96053" w:rsidRPr="005674D6" w:rsidRDefault="00D96053" w:rsidP="00646036"/>
    <w:p w14:paraId="61FEEB1F" w14:textId="5C4FB40E" w:rsidR="00C76085" w:rsidRPr="005674D6" w:rsidRDefault="00C76085" w:rsidP="00D96053">
      <w:pPr>
        <w:pStyle w:val="NonTOCHeading"/>
        <w:rPr>
          <w:bCs/>
        </w:rPr>
      </w:pPr>
      <w:r w:rsidRPr="005674D6">
        <w:t xml:space="preserve">The Current </w:t>
      </w:r>
      <w:r w:rsidR="007C1C4E">
        <w:rPr>
          <w:bCs/>
        </w:rPr>
        <w:t xml:space="preserve">Health </w:t>
      </w:r>
      <w:r w:rsidR="0031376F">
        <w:rPr>
          <w:bCs/>
        </w:rPr>
        <w:t>C</w:t>
      </w:r>
      <w:r w:rsidR="007C1C4E">
        <w:rPr>
          <w:bCs/>
        </w:rPr>
        <w:t>are</w:t>
      </w:r>
      <w:r w:rsidRPr="005674D6">
        <w:t xml:space="preserve"> Price Transparency Landscape</w:t>
      </w:r>
    </w:p>
    <w:p w14:paraId="0B8EF6D5" w14:textId="77777777" w:rsidR="00C76085" w:rsidRPr="005674D6" w:rsidRDefault="00C76085" w:rsidP="00646036">
      <w:r w:rsidRPr="005674D6">
        <w:t>Health care pricing in the United States historically operated behind confidential proprietary protection provisions, entirely isolating employers and state regulators from the negotiated contractual prices of covered procedures. The implementation of the federal Hospital Price Transparency (HPT) regulation (2021) under Section 2718(e) of the Public Health Service Act, and the Transparency in Coverage (TiC) rules (2022), sought to dismantle this paradigm by mandating the public disclosure of standard, cash-discounted, and third-party negotiated rates. Despite bipartisan support and federal administrative penalties of up to $5,500 per day for large non-compliant facilities, the mandated public cost data continues to face significant friction in producing measurable impacts to the costs of health care.</w:t>
      </w:r>
    </w:p>
    <w:p w14:paraId="069FF272" w14:textId="77777777" w:rsidR="00C76085" w:rsidRPr="005674D6" w:rsidRDefault="00C76085" w:rsidP="00646036"/>
    <w:p w14:paraId="4124A135" w14:textId="56AE1F83" w:rsidR="00C76085" w:rsidRPr="005674D6" w:rsidRDefault="00C76085" w:rsidP="00646036">
      <w:pPr>
        <w:rPr>
          <w:color w:val="1F1F1F"/>
        </w:rPr>
      </w:pPr>
      <w:r w:rsidRPr="005674D6">
        <w:t xml:space="preserve">Early empirical data from analysis of published machine-readable file (MRF) data suggests that price transparency is beginning to affect market behavior, though not necessarily by reducing overall costs. A 2024 Turquoise Health analysis examined inflation-adjusted commercially negotiated rates at over 200 hospitals across the 10 largest U.S. metro areas, covering 37 common services from December 2021 to June 2024. The analysis found that 82.8% of markets showed price convergence: rates in the top quartile fell approximately 6.3% (annualized, inflation-adjusted) while rates in the bottom quartile rose approximately 3.4%. Convergence was substantially more pronounced in outpatient services (87.4% of markets) than inpatient services (62.5% of markets). The study's author noted that converging rates are 'an encouraging sign that </w:t>
      </w:r>
      <w:r w:rsidR="007C1C4E">
        <w:t>health care</w:t>
      </w:r>
      <w:r w:rsidRPr="005674D6">
        <w:t xml:space="preserve"> markets are responding to price transparency with increased market competition,' while cautioning that convergence toward a market equilibrium does not mean that prices are lower for consumers. The equilibrium point may itself be above the prior median for markets that were previously lower cost. The study does not establish causality between the transparency regulations and the observed convergence, and the authors identify this as an area requiring further research.</w:t>
      </w:r>
    </w:p>
    <w:p w14:paraId="35494506" w14:textId="77777777" w:rsidR="00C76085" w:rsidRPr="005674D6" w:rsidRDefault="00C76085" w:rsidP="00646036"/>
    <w:p w14:paraId="56E9B7B1" w14:textId="77777777" w:rsidR="00C76085" w:rsidRPr="005674D6" w:rsidRDefault="00C76085" w:rsidP="00646036">
      <w:pPr>
        <w:rPr>
          <w:color w:val="1F1F1F"/>
        </w:rPr>
      </w:pPr>
      <w:r w:rsidRPr="005674D6">
        <w:t xml:space="preserve">Research on consumer engagement with price transparency tools documents </w:t>
      </w:r>
      <w:bookmarkStart w:id="19" w:name="_Int_m5BtovwI"/>
      <w:r w:rsidRPr="005674D6">
        <w:t>consistently</w:t>
      </w:r>
      <w:bookmarkEnd w:id="19"/>
      <w:r w:rsidRPr="005674D6">
        <w:t xml:space="preserve"> low utilization rates. New Hampshire’s APCD-based consumer price tool, for example, was used by approximately 8% of patients seeking imaging services and was associated with a 4% decline in imaging prices over five years. These effects, however, do not extend meaningfully to hospital and physician services, where provider switching is substantially less common.</w:t>
      </w:r>
    </w:p>
    <w:p w14:paraId="5F38EA33" w14:textId="77777777" w:rsidR="00C76085" w:rsidRPr="005674D6" w:rsidRDefault="00C76085" w:rsidP="00646036"/>
    <w:p w14:paraId="257D8BC2" w14:textId="77777777" w:rsidR="00C76085" w:rsidRPr="005674D6" w:rsidRDefault="7EC4AD4A" w:rsidP="00646036">
      <w:r>
        <w:t>There are several primary reasons why consumer engagement with price transparency tools remains low:</w:t>
      </w:r>
    </w:p>
    <w:p w14:paraId="18996C67" w14:textId="6DA96F65" w:rsidR="52B404F0" w:rsidRDefault="52B404F0"/>
    <w:p w14:paraId="57D8E741" w14:textId="5D463933" w:rsidR="00C76085" w:rsidRPr="005674D6" w:rsidRDefault="7EC4AD4A" w:rsidP="00932C4D">
      <w:pPr>
        <w:pStyle w:val="ListParagraph"/>
        <w:numPr>
          <w:ilvl w:val="0"/>
          <w:numId w:val="4"/>
        </w:numPr>
      </w:pPr>
      <w:r>
        <w:t xml:space="preserve">Lack of Financial Incentive for Insured Patients: Because most patients have health insurance, they are largely insulated from the full cost of their care. Since out-of-pocket costs typically represent only a small fraction of the total negotiated or list price, insured patients often lack a strong financial motivation to price shop. By contrast, self-pay patients (who bear the full out-of-pocket cost) are significantly more likely to use price information and choose lower-priced hospitals for elective procedures. Patients also become much more responsive to price transparency when they face higher cost-sharing or reference-pricing programs (where they must pay the difference if their care exceeds a set benchmark). </w:t>
      </w:r>
    </w:p>
    <w:p w14:paraId="32F74B18" w14:textId="2B5C0A53" w:rsidR="00C76085" w:rsidRPr="005674D6" w:rsidRDefault="00C76085" w:rsidP="52B404F0"/>
    <w:p w14:paraId="6347F19C" w14:textId="3807045C" w:rsidR="00C76085" w:rsidRPr="005674D6" w:rsidRDefault="7EC4AD4A" w:rsidP="00932C4D">
      <w:pPr>
        <w:pStyle w:val="ListParagraph"/>
        <w:numPr>
          <w:ilvl w:val="0"/>
          <w:numId w:val="4"/>
        </w:numPr>
      </w:pPr>
      <w:r>
        <w:t xml:space="preserve">Poor Usability and Complexity of Data: The price data published by hospitals is often inconsistent, difficult to interpret, and fundamentally not </w:t>
      </w:r>
      <w:bookmarkStart w:id="20" w:name="_Int_4PsKHA1N"/>
      <w:r>
        <w:t>consumer-friendly</w:t>
      </w:r>
      <w:bookmarkEnd w:id="20"/>
      <w:r>
        <w:t>. Consumers struggle to accurately determine what their actual out-of-pocket expenses will be based on the raw data files provided. In one experimental study, only 19% of participants were able to successfully retrieve cost information directly from hospital websites because the task was so complex.</w:t>
      </w:r>
    </w:p>
    <w:p w14:paraId="05642382" w14:textId="57E5AA57" w:rsidR="00C76085" w:rsidRPr="005674D6" w:rsidRDefault="7EC4AD4A" w:rsidP="52B404F0">
      <w:pPr>
        <w:pStyle w:val="ListParagraph"/>
      </w:pPr>
      <w:r>
        <w:t xml:space="preserve"> </w:t>
      </w:r>
    </w:p>
    <w:p w14:paraId="3B28E331" w14:textId="1E1A3BA1" w:rsidR="00C76085" w:rsidRPr="005674D6" w:rsidRDefault="7EC4AD4A" w:rsidP="00932C4D">
      <w:pPr>
        <w:pStyle w:val="ListParagraph"/>
        <w:numPr>
          <w:ilvl w:val="0"/>
          <w:numId w:val="4"/>
        </w:numPr>
      </w:pPr>
      <w:r>
        <w:t>Lack of Awareness: A major barrier to usage is simply that many patients are unaware that price transparency data or tools even exist. One study found that 64% of participants had never heard of the federal price transparency legislation, despite overwhelmingly agreeing that knowing the cost of a service beforehand is important.</w:t>
      </w:r>
    </w:p>
    <w:p w14:paraId="0F467866" w14:textId="0145973F" w:rsidR="00C76085" w:rsidRPr="005674D6" w:rsidRDefault="00C76085" w:rsidP="52B404F0">
      <w:pPr>
        <w:pStyle w:val="ListParagraph"/>
      </w:pPr>
    </w:p>
    <w:p w14:paraId="34985FDD" w14:textId="3C5844C1" w:rsidR="00C76085" w:rsidRPr="005674D6" w:rsidRDefault="7EC4AD4A" w:rsidP="00932C4D">
      <w:pPr>
        <w:pStyle w:val="ListParagraph"/>
        <w:numPr>
          <w:ilvl w:val="0"/>
          <w:numId w:val="4"/>
        </w:numPr>
      </w:pPr>
      <w:r>
        <w:t xml:space="preserve">Reliance on Non-Price Factors: Patients often base their health care decisions on factors entirely unrelated to price. Provider reputation and physician referrals are often more critical to a patient's decision-making than cost, with physicians often referring patients to providers within their own hospital system even when cheaper alternatives exist. Furthermore, when patients do not know what services they need or require emergency care, they do not have the time or ability to price </w:t>
      </w:r>
      <w:bookmarkStart w:id="21" w:name="_Int_0V5gEqcY"/>
      <w:r>
        <w:t>shop</w:t>
      </w:r>
      <w:bookmarkEnd w:id="21"/>
      <w:r>
        <w:t>.</w:t>
      </w:r>
    </w:p>
    <w:p w14:paraId="40D0CE9D" w14:textId="77777777" w:rsidR="002A2F15" w:rsidRPr="005674D6" w:rsidRDefault="002A2F15" w:rsidP="002A2F15">
      <w:pPr>
        <w:pStyle w:val="ListParagraph"/>
      </w:pPr>
    </w:p>
    <w:p w14:paraId="54A26F22" w14:textId="77777777" w:rsidR="00C76085" w:rsidRPr="005674D6" w:rsidRDefault="7EC4AD4A" w:rsidP="00D96053">
      <w:pPr>
        <w:pStyle w:val="NonTOCHeading"/>
        <w:rPr>
          <w:rFonts w:ascii="Inter Medium" w:eastAsia="Inter Medium" w:hAnsi="Inter Medium" w:cs="Inter Medium"/>
          <w:color w:val="1F1F1F"/>
        </w:rPr>
      </w:pPr>
      <w:r>
        <w:t>Summary of Key Challenges for Achieving Price Transparency</w:t>
      </w:r>
    </w:p>
    <w:p w14:paraId="768E60FC" w14:textId="77777777" w:rsidR="00C76085" w:rsidRPr="005674D6" w:rsidRDefault="7EC4AD4A" w:rsidP="00646036">
      <w:r>
        <w:t xml:space="preserve">This matrix includes a list of key challenges to achieving price transparency. </w:t>
      </w:r>
    </w:p>
    <w:p w14:paraId="74D9CF79" w14:textId="51925711" w:rsidR="52B404F0" w:rsidRDefault="52B404F0"/>
    <w:tbl>
      <w:tblPr>
        <w:tblW w:w="5000" w:type="pct"/>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2526"/>
        <w:gridCol w:w="5008"/>
        <w:gridCol w:w="2546"/>
      </w:tblGrid>
      <w:tr w:rsidR="00C76085" w:rsidRPr="005674D6" w14:paraId="08500A7E" w14:textId="77777777" w:rsidTr="52B404F0">
        <w:trPr>
          <w:trHeight w:val="480"/>
          <w:tblHeader/>
        </w:trPr>
        <w:tc>
          <w:tcPr>
            <w:tcW w:w="1253" w:type="pct"/>
            <w:shd w:val="clear" w:color="auto" w:fill="F2F2EF"/>
          </w:tcPr>
          <w:p w14:paraId="4F2BAA7E" w14:textId="77777777" w:rsidR="00C76085" w:rsidRPr="005674D6" w:rsidRDefault="7EC4AD4A" w:rsidP="52B404F0">
            <w:pPr>
              <w:rPr>
                <w:b/>
                <w:bCs/>
              </w:rPr>
            </w:pPr>
            <w:r w:rsidRPr="52B404F0">
              <w:rPr>
                <w:b/>
                <w:bCs/>
              </w:rPr>
              <w:t>Data Category</w:t>
            </w:r>
          </w:p>
        </w:tc>
        <w:tc>
          <w:tcPr>
            <w:tcW w:w="2484" w:type="pct"/>
            <w:shd w:val="clear" w:color="auto" w:fill="F2F2EF"/>
          </w:tcPr>
          <w:p w14:paraId="593882DB" w14:textId="77777777" w:rsidR="00C76085" w:rsidRPr="005674D6" w:rsidRDefault="7EC4AD4A" w:rsidP="52B404F0">
            <w:pPr>
              <w:rPr>
                <w:b/>
                <w:bCs/>
              </w:rPr>
            </w:pPr>
            <w:r w:rsidRPr="52B404F0">
              <w:rPr>
                <w:b/>
                <w:bCs/>
              </w:rPr>
              <w:t>Observation/Finding</w:t>
            </w:r>
          </w:p>
        </w:tc>
        <w:tc>
          <w:tcPr>
            <w:tcW w:w="1263" w:type="pct"/>
            <w:shd w:val="clear" w:color="auto" w:fill="F2F2EF"/>
          </w:tcPr>
          <w:p w14:paraId="6800F8A7" w14:textId="77777777" w:rsidR="00C76085" w:rsidRPr="005674D6" w:rsidRDefault="7EC4AD4A" w:rsidP="52B404F0">
            <w:pPr>
              <w:rPr>
                <w:b/>
                <w:bCs/>
              </w:rPr>
            </w:pPr>
            <w:r w:rsidRPr="52B404F0">
              <w:rPr>
                <w:b/>
                <w:bCs/>
              </w:rPr>
              <w:t>Source/Context</w:t>
            </w:r>
          </w:p>
        </w:tc>
      </w:tr>
      <w:tr w:rsidR="00C76085" w:rsidRPr="005674D6" w14:paraId="4EA47E64" w14:textId="77777777" w:rsidTr="52B404F0">
        <w:trPr>
          <w:trHeight w:val="564"/>
        </w:trPr>
        <w:tc>
          <w:tcPr>
            <w:tcW w:w="1253" w:type="pct"/>
          </w:tcPr>
          <w:p w14:paraId="01AF45DD" w14:textId="77777777" w:rsidR="00C76085" w:rsidRPr="005674D6" w:rsidRDefault="00C76085" w:rsidP="00646036">
            <w:r w:rsidRPr="005674D6">
              <w:t>Stakeholder Feedback</w:t>
            </w:r>
          </w:p>
        </w:tc>
        <w:tc>
          <w:tcPr>
            <w:tcW w:w="2484" w:type="pct"/>
          </w:tcPr>
          <w:p w14:paraId="3C17EAB4" w14:textId="77777777" w:rsidR="00C76085" w:rsidRPr="005674D6" w:rsidRDefault="00C76085" w:rsidP="00646036">
            <w:r w:rsidRPr="005674D6">
              <w:t>America’s Health Insurance Plans (AHIP) expressed concern about states adding unnecessary burdens on health plans by requiring additional transparency work in addition to the federal requirements.</w:t>
            </w:r>
          </w:p>
        </w:tc>
        <w:tc>
          <w:tcPr>
            <w:tcW w:w="1263" w:type="pct"/>
          </w:tcPr>
          <w:p w14:paraId="7C93D6CD" w14:textId="77777777" w:rsidR="00C76085" w:rsidRPr="005674D6" w:rsidRDefault="00C76085" w:rsidP="00646036">
            <w:r w:rsidRPr="005674D6">
              <w:t>AHIP (stakeholder comment)</w:t>
            </w:r>
          </w:p>
        </w:tc>
      </w:tr>
      <w:tr w:rsidR="00C76085" w:rsidRPr="005674D6" w14:paraId="15C8145A" w14:textId="77777777" w:rsidTr="52B404F0">
        <w:trPr>
          <w:trHeight w:val="564"/>
        </w:trPr>
        <w:tc>
          <w:tcPr>
            <w:tcW w:w="1253" w:type="pct"/>
          </w:tcPr>
          <w:p w14:paraId="1791AF5A" w14:textId="77777777" w:rsidR="00C76085" w:rsidRPr="005674D6" w:rsidRDefault="00C76085" w:rsidP="00646036">
            <w:r w:rsidRPr="005674D6">
              <w:t>Implementation Challenges</w:t>
            </w:r>
          </w:p>
        </w:tc>
        <w:tc>
          <w:tcPr>
            <w:tcW w:w="2484" w:type="pct"/>
          </w:tcPr>
          <w:p w14:paraId="4B00CE2F" w14:textId="77777777" w:rsidR="00C76085" w:rsidRPr="005674D6" w:rsidRDefault="00C76085" w:rsidP="00646036">
            <w:r w:rsidRPr="005674D6">
              <w:t>Insurers and Third-Party Administrators (TPAs) frequently assert proprietary intellectual property protections over contracted rate data.</w:t>
            </w:r>
          </w:p>
        </w:tc>
        <w:tc>
          <w:tcPr>
            <w:tcW w:w="1263" w:type="pct"/>
          </w:tcPr>
          <w:p w14:paraId="78F2CDA4" w14:textId="77777777" w:rsidR="00C76085" w:rsidRPr="005674D6" w:rsidRDefault="00C76085" w:rsidP="00646036">
            <w:r w:rsidRPr="005674D6">
              <w:t>CAA of 2021 (anti-gag and TiC provisions)</w:t>
            </w:r>
          </w:p>
        </w:tc>
      </w:tr>
      <w:tr w:rsidR="00C76085" w:rsidRPr="005674D6" w14:paraId="793B0FB5" w14:textId="77777777" w:rsidTr="52B404F0">
        <w:trPr>
          <w:trHeight w:val="564"/>
        </w:trPr>
        <w:tc>
          <w:tcPr>
            <w:tcW w:w="1253" w:type="pct"/>
          </w:tcPr>
          <w:p w14:paraId="37C17944" w14:textId="77777777" w:rsidR="00C76085" w:rsidRPr="005674D6" w:rsidRDefault="00C76085" w:rsidP="00646036">
            <w:r w:rsidRPr="005674D6">
              <w:t>Implementation Challenges</w:t>
            </w:r>
          </w:p>
          <w:p w14:paraId="145604DD" w14:textId="77777777" w:rsidR="00C76085" w:rsidRPr="005674D6" w:rsidRDefault="00C76085" w:rsidP="00646036"/>
        </w:tc>
        <w:tc>
          <w:tcPr>
            <w:tcW w:w="2484" w:type="pct"/>
          </w:tcPr>
          <w:p w14:paraId="43055FFC" w14:textId="77777777" w:rsidR="00C76085" w:rsidRPr="005674D6" w:rsidRDefault="00C76085" w:rsidP="00646036">
            <w:r w:rsidRPr="005674D6">
              <w:t>Insurer and hospital TiC files are often extremely large, making them unwieldy to parse, and hospitals have used placeholder values, making the data unreliable.</w:t>
            </w:r>
          </w:p>
        </w:tc>
        <w:tc>
          <w:tcPr>
            <w:tcW w:w="1263" w:type="pct"/>
          </w:tcPr>
          <w:p w14:paraId="40402E3F" w14:textId="77777777" w:rsidR="00C76085" w:rsidRPr="005674D6" w:rsidRDefault="00C76085" w:rsidP="00646036">
            <w:r w:rsidRPr="005674D6">
              <w:t>CMS Price Transparency Fact Sheets (2025–2026)</w:t>
            </w:r>
          </w:p>
        </w:tc>
      </w:tr>
      <w:tr w:rsidR="00C76085" w:rsidRPr="005674D6" w14:paraId="3C6D1EE5" w14:textId="77777777" w:rsidTr="52B404F0">
        <w:trPr>
          <w:trHeight w:val="564"/>
        </w:trPr>
        <w:tc>
          <w:tcPr>
            <w:tcW w:w="1253" w:type="pct"/>
          </w:tcPr>
          <w:p w14:paraId="69D69760" w14:textId="77777777" w:rsidR="00C76085" w:rsidRPr="005674D6" w:rsidRDefault="00C76085" w:rsidP="00646036">
            <w:r w:rsidRPr="005674D6">
              <w:t>Legal/Regulatory Issues</w:t>
            </w:r>
          </w:p>
        </w:tc>
        <w:tc>
          <w:tcPr>
            <w:tcW w:w="2484" w:type="pct"/>
          </w:tcPr>
          <w:p w14:paraId="687A2B31" w14:textId="0765F560" w:rsidR="00C76085" w:rsidRPr="005674D6" w:rsidRDefault="00C76085" w:rsidP="00646036">
            <w:r w:rsidRPr="005674D6">
              <w:t xml:space="preserve">Under the Supreme Court's ruling in </w:t>
            </w:r>
            <w:r w:rsidRPr="005674D6">
              <w:rPr>
                <w:i/>
                <w:iCs/>
              </w:rPr>
              <w:t>Gobeille v. Liberty Mutual Insurance Co. (2016)</w:t>
            </w:r>
            <w:r w:rsidRPr="005674D6">
              <w:t xml:space="preserve">, states cannot compel self-insured ERISA plans to report claims data to state APCDs, leaving a blind spot in state </w:t>
            </w:r>
            <w:r w:rsidR="007C1C4E">
              <w:t>health care</w:t>
            </w:r>
            <w:r w:rsidRPr="005674D6">
              <w:t xml:space="preserve"> spend tracking.</w:t>
            </w:r>
          </w:p>
        </w:tc>
        <w:tc>
          <w:tcPr>
            <w:tcW w:w="1263" w:type="pct"/>
          </w:tcPr>
          <w:p w14:paraId="31D7F787" w14:textId="77777777" w:rsidR="00C76085" w:rsidRPr="005674D6" w:rsidRDefault="00C76085" w:rsidP="00646036">
            <w:pPr>
              <w:rPr>
                <w:color w:val="1F1F1F"/>
              </w:rPr>
            </w:pPr>
            <w:r w:rsidRPr="005674D6">
              <w:t>Gobeille v. Liberty Mutual Ins. Co., 577 U.S. 312 (2016)</w:t>
            </w:r>
          </w:p>
          <w:p w14:paraId="453FD221" w14:textId="77777777" w:rsidR="00C76085" w:rsidRPr="005674D6" w:rsidRDefault="00C76085" w:rsidP="00646036"/>
        </w:tc>
      </w:tr>
      <w:tr w:rsidR="00C76085" w:rsidRPr="005674D6" w14:paraId="28293CB7" w14:textId="77777777" w:rsidTr="52B404F0">
        <w:trPr>
          <w:trHeight w:val="564"/>
        </w:trPr>
        <w:tc>
          <w:tcPr>
            <w:tcW w:w="1253" w:type="pct"/>
          </w:tcPr>
          <w:p w14:paraId="4147080A" w14:textId="77777777" w:rsidR="00C76085" w:rsidRPr="005674D6" w:rsidRDefault="00C76085" w:rsidP="00646036">
            <w:r w:rsidRPr="005674D6">
              <w:t>Legal/Regulatory Issues</w:t>
            </w:r>
          </w:p>
          <w:p w14:paraId="5D0C4119" w14:textId="77777777" w:rsidR="00C76085" w:rsidRPr="005674D6" w:rsidRDefault="00C76085" w:rsidP="00646036"/>
        </w:tc>
        <w:tc>
          <w:tcPr>
            <w:tcW w:w="2484" w:type="pct"/>
          </w:tcPr>
          <w:p w14:paraId="3A2A3147" w14:textId="77777777" w:rsidR="00C76085" w:rsidRPr="005674D6" w:rsidRDefault="00C76085" w:rsidP="00646036">
            <w:r w:rsidRPr="005674D6">
              <w:t>State DOIs have direct regulatory authority over risk-bearing insurance carriers but lack direct jurisdiction over health care provider systems and self-funded employer plans.</w:t>
            </w:r>
          </w:p>
        </w:tc>
        <w:tc>
          <w:tcPr>
            <w:tcW w:w="1263" w:type="pct"/>
          </w:tcPr>
          <w:p w14:paraId="7FB1386C" w14:textId="77777777" w:rsidR="00C76085" w:rsidRPr="005674D6" w:rsidRDefault="00C76085" w:rsidP="00646036">
            <w:pPr>
              <w:rPr>
                <w:color w:val="1F1F1F"/>
              </w:rPr>
            </w:pPr>
            <w:r w:rsidRPr="005674D6">
              <w:t>Maanasa Kona and Nadia Stovicek</w:t>
            </w:r>
            <w:r w:rsidRPr="005674D6">
              <w:rPr>
                <w:color w:val="1F1F1F"/>
              </w:rPr>
              <w:t xml:space="preserve"> (</w:t>
            </w:r>
            <w:r w:rsidRPr="005674D6">
              <w:t>Health Affairs Forefront) (2014)</w:t>
            </w:r>
          </w:p>
          <w:p w14:paraId="4CCE79F3" w14:textId="77777777" w:rsidR="00C76085" w:rsidRPr="005674D6" w:rsidRDefault="00C76085" w:rsidP="00646036"/>
        </w:tc>
      </w:tr>
      <w:tr w:rsidR="00C76085" w:rsidRPr="005674D6" w14:paraId="40DF63E7" w14:textId="77777777" w:rsidTr="52B404F0">
        <w:trPr>
          <w:trHeight w:val="564"/>
        </w:trPr>
        <w:tc>
          <w:tcPr>
            <w:tcW w:w="1253" w:type="pct"/>
          </w:tcPr>
          <w:p w14:paraId="510AFF5D" w14:textId="77777777" w:rsidR="00C76085" w:rsidRPr="005674D6" w:rsidRDefault="00C76085" w:rsidP="00646036">
            <w:r w:rsidRPr="005674D6">
              <w:t>Unexpected Outcomes</w:t>
            </w:r>
          </w:p>
        </w:tc>
        <w:tc>
          <w:tcPr>
            <w:tcW w:w="2484" w:type="pct"/>
          </w:tcPr>
          <w:p w14:paraId="2DF3662F" w14:textId="77777777" w:rsidR="00C76085" w:rsidRPr="005674D6" w:rsidRDefault="00C76085" w:rsidP="00646036">
            <w:r w:rsidRPr="005674D6">
              <w:t>A notable market effect of publishing negotiated price data is rate convergence rather than across-the-board cost reduction. See 2024 Turquoise Health analysis of 200+ hospitals across the 10 largest U.S. metro areas.</w:t>
            </w:r>
          </w:p>
        </w:tc>
        <w:tc>
          <w:tcPr>
            <w:tcW w:w="1263" w:type="pct"/>
          </w:tcPr>
          <w:p w14:paraId="6DA3D2EB" w14:textId="77777777" w:rsidR="00C76085" w:rsidRPr="005674D6" w:rsidRDefault="00C76085" w:rsidP="00646036">
            <w:pPr>
              <w:rPr>
                <w:color w:val="1F1F1F"/>
              </w:rPr>
            </w:pPr>
            <w:r w:rsidRPr="005674D6">
              <w:t>Forrest Xiao (Turquoise Health) (2024)</w:t>
            </w:r>
          </w:p>
        </w:tc>
      </w:tr>
    </w:tbl>
    <w:p w14:paraId="6999B70B" w14:textId="77777777" w:rsidR="002A2F15" w:rsidRPr="005674D6" w:rsidRDefault="002A2F15" w:rsidP="00646036"/>
    <w:p w14:paraId="5508695C" w14:textId="315A2066" w:rsidR="00C76085" w:rsidRPr="005674D6" w:rsidRDefault="00C76085" w:rsidP="00BC366B">
      <w:pPr>
        <w:pStyle w:val="NonTOCHeading"/>
        <w:rPr>
          <w:bCs/>
        </w:rPr>
      </w:pPr>
      <w:r w:rsidRPr="005674D6">
        <w:t>Deficiencies of Current Machine-Readable File and Transparency in Coverage Data Pipelines</w:t>
      </w:r>
    </w:p>
    <w:p w14:paraId="3EBEE376" w14:textId="77777777" w:rsidR="00C76085" w:rsidRPr="005674D6" w:rsidRDefault="00C76085" w:rsidP="00646036">
      <w:r w:rsidRPr="005674D6">
        <w:t xml:space="preserve">The primary operational barriers to effective price transparency under current federal requirements include the large number of files, the size of data, inconsistent formatting, and variations in file structure. </w:t>
      </w:r>
      <w:bookmarkStart w:id="22" w:name="_Int_Hihim9j9"/>
      <w:r w:rsidRPr="005674D6">
        <w:t>Insurers’</w:t>
      </w:r>
      <w:bookmarkEnd w:id="22"/>
      <w:r w:rsidRPr="005674D6">
        <w:t xml:space="preserve"> and hospitals’ machine-readable files are frequently very large and contain substantial superfluous information. Federal requirements mandate monthly updates from commercial insurers regardless of whether underlying rates have changed, generating massive recurring data loads. A proposed rulemaking published at 90 Fed. Reg. 60,432 (December 23, 2025) would move these updates from monthly to quarterly, which CMS has identified as sufficient to capture meaningful rate changes while substantially reducing unnecessary data volume.</w:t>
      </w:r>
    </w:p>
    <w:p w14:paraId="3C28F511" w14:textId="77777777" w:rsidR="00C76085" w:rsidRPr="005674D6" w:rsidRDefault="00C76085" w:rsidP="00646036"/>
    <w:p w14:paraId="0A4E66CB" w14:textId="77777777" w:rsidR="00C76085" w:rsidRPr="005674D6" w:rsidRDefault="00C76085" w:rsidP="00646036">
      <w:pPr>
        <w:rPr>
          <w:color w:val="1F1F1F"/>
        </w:rPr>
      </w:pPr>
      <w:r w:rsidRPr="005674D6">
        <w:t xml:space="preserve">A specific and well-documented data quality problem compounds the </w:t>
      </w:r>
      <w:bookmarkStart w:id="23" w:name="_Int_tF7d6VKL"/>
      <w:r w:rsidRPr="005674D6">
        <w:t>volume</w:t>
      </w:r>
      <w:bookmarkEnd w:id="23"/>
      <w:r w:rsidRPr="005674D6">
        <w:t xml:space="preserve"> challenge. Hospitals were permitted to enter the numeric placeholder “999999999” for any service lacking sufficient historical claims data; CMS found this practice was used far more broadly than intended, sometimes appearing across many listed services within a single hospital file and rendering those entries non-comparable. May 2025 guidance directed hospitals to discontinue the placeholder and instead report actual dollar amounts drawn from electronic remittance data covering the prior twelve months. TiC files present a parallel issue: they frequently include rate configurations for specialized procedures that the reporting provider lacks the clinical capacity to perform, adding further noise to already unwieldy datasets. </w:t>
      </w:r>
    </w:p>
    <w:p w14:paraId="7CCA3682" w14:textId="77777777" w:rsidR="00C76085" w:rsidRPr="005674D6" w:rsidRDefault="00C76085" w:rsidP="00646036"/>
    <w:p w14:paraId="749A2557" w14:textId="77777777" w:rsidR="00C76085" w:rsidRPr="005674D6" w:rsidRDefault="7EC4AD4A" w:rsidP="00646036">
      <w:r>
        <w:t xml:space="preserve">Compounding this technical challenge are </w:t>
      </w:r>
      <w:bookmarkStart w:id="24" w:name="_Int_BIoEIfTP"/>
      <w:r>
        <w:t>the structural</w:t>
      </w:r>
      <w:bookmarkEnd w:id="24"/>
      <w:r>
        <w:t xml:space="preserve"> validation issues. Parallel comparison audits evaluating insurer-posted TiC rates against hospital-disclosed lists identify wide, unexplainable discrepancies. Data integrity, inconsistent naming conventions, and limited provider details such as location can also contribute to the deficiencies of MRFs. These underlying inconsistencies fundamentally devalue the utility of the files, since market analysts cannot rely on their accuracy and utility. Consumers are required to locate and retrieve files from company websites. This is not necessarily an easy task for consumers.</w:t>
      </w:r>
    </w:p>
    <w:p w14:paraId="5F4928D4" w14:textId="5AE89519" w:rsidR="52B404F0" w:rsidRDefault="52B404F0"/>
    <w:p w14:paraId="58976E38" w14:textId="72A6AA3C" w:rsidR="00C76085" w:rsidRPr="005674D6" w:rsidRDefault="7EC4AD4A" w:rsidP="00D96053">
      <w:pPr>
        <w:pStyle w:val="NonTOCHeading"/>
      </w:pPr>
      <w:r>
        <w:t>State DOI Strategies: Activating Data for Market Redesign</w:t>
      </w:r>
    </w:p>
    <w:p w14:paraId="446C3EAC" w14:textId="77777777" w:rsidR="00C76085" w:rsidRPr="005674D6" w:rsidRDefault="00C76085" w:rsidP="00646036">
      <w:r w:rsidRPr="005674D6">
        <w:t xml:space="preserve">Historically, direct consumer shopping produces limited and inconsistent impacts on overall health care spending. The most valuable and impactful use of enhanced price transparency strategies lies in its use by institutional purchasers, large employers, state employee health plans, and state regulators rather than individual consumers. </w:t>
      </w:r>
    </w:p>
    <w:p w14:paraId="07AD2EA5" w14:textId="77777777" w:rsidR="00C76085" w:rsidRPr="005674D6" w:rsidRDefault="00C76085" w:rsidP="00646036"/>
    <w:p w14:paraId="19E32179" w14:textId="77777777" w:rsidR="00C76085" w:rsidRPr="005674D6" w:rsidRDefault="7EC4AD4A" w:rsidP="00646036">
      <w:r>
        <w:t>Individual states often lack direct statutory authority to hold health care facilities accountable for pricing practices</w:t>
      </w:r>
      <w:bookmarkStart w:id="25" w:name="_Int_ythMHgrp"/>
      <w:r>
        <w:t>, however</w:t>
      </w:r>
      <w:bookmarkEnd w:id="25"/>
      <w:r>
        <w:t>, there are measures that states can take to promote market efficiency:</w:t>
      </w:r>
    </w:p>
    <w:p w14:paraId="545B9CC6" w14:textId="5578E5B5" w:rsidR="52B404F0" w:rsidRDefault="52B404F0"/>
    <w:p w14:paraId="3987D4E8" w14:textId="77777777" w:rsidR="00C76085" w:rsidRPr="005674D6" w:rsidRDefault="7EC4AD4A" w:rsidP="00932C4D">
      <w:pPr>
        <w:pStyle w:val="ListParagraph"/>
        <w:numPr>
          <w:ilvl w:val="0"/>
          <w:numId w:val="3"/>
        </w:numPr>
      </w:pPr>
      <w:r>
        <w:t>Enforcing TiC and HPT compliance promotes value-based purchasing and competitive pricing. Increasing visibility and enforcement of standards that are already in place allow DOIs an opportunity to make impactful changes without authority. By promoting these data elements, states can empower consumers to make more informed health care decisions.</w:t>
      </w:r>
    </w:p>
    <w:p w14:paraId="2AFF99BB" w14:textId="12CD4183" w:rsidR="00C76085" w:rsidRPr="005674D6" w:rsidRDefault="7EC4AD4A" w:rsidP="00932C4D">
      <w:pPr>
        <w:pStyle w:val="ListParagraph"/>
        <w:numPr>
          <w:ilvl w:val="0"/>
          <w:numId w:val="3"/>
        </w:numPr>
      </w:pPr>
      <w:r>
        <w:t>Supporting APCD infrastructure promotes data visibility, enhanced value-based purchasing, policy development, consumer empowerment, and fosters competition and cost control. Enhanced APCD tools, like those used in Indiana, can give consumers the ability to research and utilize real-time pricing data within an APCD database and have more control over their health care.</w:t>
      </w:r>
    </w:p>
    <w:p w14:paraId="2AB95F6B" w14:textId="4784ECB0" w:rsidR="00C76085" w:rsidRPr="005674D6" w:rsidRDefault="7EC4AD4A" w:rsidP="00932C4D">
      <w:pPr>
        <w:pStyle w:val="ListParagraph"/>
        <w:numPr>
          <w:ilvl w:val="0"/>
          <w:numId w:val="3"/>
        </w:numPr>
      </w:pPr>
      <w:r>
        <w:t>Enforcing employer access to data under the CAA of 2021 promotes trust, data integrity, informed decision making, and greater bargaining power, while also reducing administration costs.</w:t>
      </w:r>
    </w:p>
    <w:p w14:paraId="248E6676" w14:textId="77777777" w:rsidR="00C76085" w:rsidRPr="005674D6" w:rsidRDefault="00C76085" w:rsidP="00646036"/>
    <w:p w14:paraId="05FD8780" w14:textId="77777777" w:rsidR="00C76085" w:rsidRPr="005674D6" w:rsidRDefault="7EC4AD4A" w:rsidP="00646036">
      <w:r>
        <w:t xml:space="preserve">Several states have developed independent enforcement measures that supplement or go beyond federal HPT requirements: </w:t>
      </w:r>
    </w:p>
    <w:p w14:paraId="13B6DEC4" w14:textId="6812C10F" w:rsidR="52B404F0" w:rsidRDefault="52B404F0"/>
    <w:p w14:paraId="6A43E9AD" w14:textId="77777777" w:rsidR="00C76085" w:rsidRPr="005674D6" w:rsidRDefault="7EC4AD4A" w:rsidP="52B404F0">
      <w:pPr>
        <w:pStyle w:val="ListParagraph"/>
        <w:numPr>
          <w:ilvl w:val="0"/>
          <w:numId w:val="2"/>
        </w:numPr>
      </w:pPr>
      <w:r>
        <w:t xml:space="preserve">Arizona designated its Department of Health Services as responsible for overseeing hospital compliance with federal HPT rules and requires the agency to publicly post information about noncompliant hospitals, creating a public accountability mechanism not present at the federal level. </w:t>
      </w:r>
    </w:p>
    <w:p w14:paraId="4A688A2F" w14:textId="77777777" w:rsidR="00C76085" w:rsidRPr="005674D6" w:rsidRDefault="7EC4AD4A" w:rsidP="52B404F0">
      <w:pPr>
        <w:pStyle w:val="ListParagraph"/>
        <w:numPr>
          <w:ilvl w:val="0"/>
          <w:numId w:val="2"/>
        </w:numPr>
      </w:pPr>
      <w:r>
        <w:t xml:space="preserve">Arkansas imposes state-level financial penalties on hospitals that fail to comply with federal HPT requirements, supplementing federal enforcement resources. </w:t>
      </w:r>
    </w:p>
    <w:p w14:paraId="2789FBFA" w14:textId="77777777" w:rsidR="00C76085" w:rsidRPr="005674D6" w:rsidRDefault="7EC4AD4A" w:rsidP="52B404F0">
      <w:pPr>
        <w:pStyle w:val="ListParagraph"/>
        <w:numPr>
          <w:ilvl w:val="0"/>
          <w:numId w:val="2"/>
        </w:numPr>
      </w:pPr>
      <w:r>
        <w:t xml:space="preserve">Colorado prohibits hospitals from initiating debt collection against patients for services rendered during any period of HPT noncompliance, linking a hospital’s billing rights directly to its transparency compliance. </w:t>
      </w:r>
    </w:p>
    <w:p w14:paraId="7394638F" w14:textId="77777777" w:rsidR="00C76085" w:rsidRPr="005674D6" w:rsidRDefault="7EC4AD4A" w:rsidP="52B404F0">
      <w:pPr>
        <w:pStyle w:val="ListParagraph"/>
        <w:numPr>
          <w:ilvl w:val="0"/>
          <w:numId w:val="2"/>
        </w:numPr>
      </w:pPr>
      <w:r>
        <w:t xml:space="preserve">Texas has codified the federal HPT rules into state statute with enhanced penalties, extended TiC disclosure requirements to short-term limited duration plans not otherwise covered by federal </w:t>
      </w:r>
      <w:bookmarkStart w:id="26" w:name="_Int_v4AcnhOw"/>
      <w:r>
        <w:t>rules, and</w:t>
      </w:r>
      <w:bookmarkEnd w:id="26"/>
      <w:r>
        <w:t xml:space="preserve"> issued detailed state standardization guidance designed to improve the usability of disclosed pricing data.</w:t>
      </w:r>
    </w:p>
    <w:p w14:paraId="1EBC5891" w14:textId="77777777" w:rsidR="00C76085" w:rsidRPr="005674D6" w:rsidRDefault="00C76085" w:rsidP="00646036"/>
    <w:p w14:paraId="3A9E70A4" w14:textId="77777777" w:rsidR="00C76085" w:rsidRPr="005674D6" w:rsidRDefault="00C76085" w:rsidP="00646036">
      <w:r w:rsidRPr="005674D6">
        <w:t>State-level APCD tools provide comprehensive multi-market tracking, but their coverage is substantially constrained by ERISA preemption. As of 2025, 24 states operated APCDs. The Supreme Court’s ruling in Gobeille v. Liberty Mutual Insurance Co., 577 U.S. 312 (2016), held that states cannot compel self-insured employer plans, regulated under ERISA, to report data to state APCDs. Because approximately 67% of workers with employer-sponsored insurance (ESI) are enrolled in self-insured plans, this constraint creates a significant reporting gap: in some states, the share of ESI lives reported to the APCD is as low as 25%. States can partially address this gap by offering voluntary participation incentives, such as providing participating employers with access to aggregated benchmark data in return for submission.</w:t>
      </w:r>
    </w:p>
    <w:p w14:paraId="6B5425BB" w14:textId="77777777" w:rsidR="00C76085" w:rsidRPr="005674D6" w:rsidRDefault="00C76085" w:rsidP="00646036"/>
    <w:p w14:paraId="16387531" w14:textId="77777777" w:rsidR="00C76085" w:rsidRPr="005674D6" w:rsidRDefault="00C76085" w:rsidP="00646036">
      <w:r w:rsidRPr="005674D6">
        <w:t>These varied state mechanisms demonstrate that DOIs and state health agencies have meaningful tools available to expand the availability of price information.</w:t>
      </w:r>
    </w:p>
    <w:p w14:paraId="55DF94B1" w14:textId="77777777" w:rsidR="002A2F15" w:rsidRPr="005674D6" w:rsidRDefault="002A2F15" w:rsidP="00646036">
      <w:pPr>
        <w:rPr>
          <w:color w:val="1F1F1F"/>
        </w:rPr>
      </w:pPr>
    </w:p>
    <w:p w14:paraId="0EF48ED4" w14:textId="77777777" w:rsidR="00C76085" w:rsidRPr="005674D6" w:rsidRDefault="00C76085" w:rsidP="00D96053">
      <w:pPr>
        <w:pStyle w:val="NonTOCHeading"/>
        <w:rPr>
          <w:bCs/>
        </w:rPr>
      </w:pPr>
      <w:r w:rsidRPr="005674D6">
        <w:t>Approaches for Realizing the Promise of Consumer Price Transparency</w:t>
      </w:r>
    </w:p>
    <w:p w14:paraId="57180D11" w14:textId="58493332" w:rsidR="00C76085" w:rsidRPr="005674D6" w:rsidRDefault="7EC4AD4A" w:rsidP="00646036">
      <w:r w:rsidRPr="52B404F0">
        <w:rPr>
          <w:color w:val="1F1F1F"/>
        </w:rPr>
        <w:t>He</w:t>
      </w:r>
      <w:r>
        <w:t xml:space="preserve">alth care price transparency has long been a challenge and has become more prominent in the past five years as insurance premiums continue to rise. There are several ways regulators, insurers, and providers can be more transparent to assist consumers in utilizing appropriate </w:t>
      </w:r>
      <w:r w:rsidR="007C1C4E">
        <w:t>health care</w:t>
      </w:r>
      <w:r>
        <w:t>.</w:t>
      </w:r>
    </w:p>
    <w:p w14:paraId="7DE7F60D" w14:textId="6BE16C92" w:rsidR="52B404F0" w:rsidRDefault="52B404F0"/>
    <w:p w14:paraId="50BA2BE7" w14:textId="77777777" w:rsidR="00C76085" w:rsidRPr="005674D6" w:rsidRDefault="00C76085" w:rsidP="00932C4D">
      <w:pPr>
        <w:pStyle w:val="ListParagraph"/>
        <w:numPr>
          <w:ilvl w:val="0"/>
          <w:numId w:val="43"/>
        </w:numPr>
        <w:rPr>
          <w:color w:val="1F1F1F"/>
        </w:rPr>
      </w:pPr>
      <w:r w:rsidRPr="005674D6">
        <w:t xml:space="preserve">Focus on Out-of-Pocket Costs: Policies and tools should prioritize showing out-of-pocket expenses rather than just hospital list prices or negotiated net prices. Because most patients are insured, out-of-pocket costs are the most relevant factor in their decision-making process. </w:t>
      </w:r>
    </w:p>
    <w:p w14:paraId="113317E2" w14:textId="77777777" w:rsidR="00C76085" w:rsidRPr="005674D6" w:rsidRDefault="00C76085" w:rsidP="00932C4D">
      <w:pPr>
        <w:pStyle w:val="ListParagraph"/>
        <w:numPr>
          <w:ilvl w:val="0"/>
          <w:numId w:val="43"/>
        </w:numPr>
        <w:rPr>
          <w:color w:val="1F1F1F"/>
        </w:rPr>
      </w:pPr>
      <w:r w:rsidRPr="005674D6">
        <w:t xml:space="preserve">Standardize Data Formats: Hospitals currently use inconsistent data schemas, making it difficult for developers and machines to process the information. Enforcing a uniform schema with "master field names" across all health systems would significantly improve the ability of third parties to build accurate estimation tools. </w:t>
      </w:r>
    </w:p>
    <w:p w14:paraId="70280035" w14:textId="77777777" w:rsidR="00C76085" w:rsidRPr="005674D6" w:rsidRDefault="00C76085" w:rsidP="00932C4D">
      <w:pPr>
        <w:pStyle w:val="ListParagraph"/>
        <w:numPr>
          <w:ilvl w:val="0"/>
          <w:numId w:val="43"/>
        </w:numPr>
        <w:rPr>
          <w:color w:val="1F1F1F"/>
        </w:rPr>
      </w:pPr>
      <w:r w:rsidRPr="005674D6">
        <w:t xml:space="preserve">Provide Clear Documentation: Data files should include comprehensive documentation that clearly explains column meanings, coverage limits, and contracting methods (e.g., whether a price is a per-diem cost), so that consumers and developers can accurately calculate final costs. </w:t>
      </w:r>
    </w:p>
    <w:p w14:paraId="499CD98E" w14:textId="77777777" w:rsidR="00C76085" w:rsidRPr="005674D6" w:rsidRDefault="00C76085" w:rsidP="00932C4D">
      <w:pPr>
        <w:pStyle w:val="ListParagraph"/>
        <w:numPr>
          <w:ilvl w:val="0"/>
          <w:numId w:val="42"/>
        </w:numPr>
        <w:rPr>
          <w:color w:val="1F1F1F"/>
        </w:rPr>
      </w:pPr>
      <w:r w:rsidRPr="005674D6">
        <w:t xml:space="preserve">Combine Price and Quality Data: Tools should merge hospital pricing files with quality ratings (such as CMS Hospital Compare) and insurance details, allowing patients to make side-by-side comparisons of both cost and quality simultaneously. </w:t>
      </w:r>
    </w:p>
    <w:p w14:paraId="2152F06F" w14:textId="77777777" w:rsidR="00C76085" w:rsidRPr="005674D6" w:rsidRDefault="00C76085" w:rsidP="00932C4D">
      <w:pPr>
        <w:pStyle w:val="ListParagraph"/>
        <w:numPr>
          <w:ilvl w:val="0"/>
          <w:numId w:val="41"/>
        </w:numPr>
        <w:rPr>
          <w:color w:val="1F1F1F"/>
        </w:rPr>
      </w:pPr>
      <w:r w:rsidRPr="005674D6">
        <w:t xml:space="preserve">Implement Reference Pricing: Research shows that consumers are much more responsive to price transparency when it is combined with stronger financial incentives. Programs like "reference pricing"— where an insurer </w:t>
      </w:r>
      <w:bookmarkStart w:id="27" w:name="_Int_UPmM5OS8"/>
      <w:r w:rsidRPr="005674D6">
        <w:t>sets</w:t>
      </w:r>
      <w:bookmarkEnd w:id="27"/>
      <w:r w:rsidRPr="005674D6">
        <w:t xml:space="preserve"> a benchmark price for a procedure, and the patient must pay the difference if they choose a more expensive provider — have been shown to actively encourage price shopping. </w:t>
      </w:r>
    </w:p>
    <w:p w14:paraId="05DE8F9F" w14:textId="77777777" w:rsidR="00C76085" w:rsidRPr="005674D6" w:rsidRDefault="00C76085" w:rsidP="00932C4D">
      <w:pPr>
        <w:pStyle w:val="ListParagraph"/>
        <w:numPr>
          <w:ilvl w:val="0"/>
          <w:numId w:val="41"/>
        </w:numPr>
      </w:pPr>
      <w:r w:rsidRPr="005674D6">
        <w:t xml:space="preserve">Increase Public Awareness: Because most patients do not even know price transparency legislation exists, targeted awareness campaigns are necessary to educate consumers about their right to access cost information before receiving care. </w:t>
      </w:r>
    </w:p>
    <w:p w14:paraId="393E67DE" w14:textId="77777777" w:rsidR="002A2F15" w:rsidRPr="005674D6" w:rsidRDefault="002A2F15" w:rsidP="002A2F15">
      <w:pPr>
        <w:pStyle w:val="ListParagraph"/>
      </w:pPr>
    </w:p>
    <w:p w14:paraId="46386A34" w14:textId="77777777" w:rsidR="00C76085" w:rsidRPr="005674D6" w:rsidRDefault="00C76085" w:rsidP="00D96053">
      <w:pPr>
        <w:pStyle w:val="NonTOCHeading"/>
        <w:rPr>
          <w:rFonts w:ascii="Inter Medium" w:eastAsia="Inter Medium" w:hAnsi="Inter Medium" w:cs="Inter Medium"/>
          <w:bCs/>
          <w:color w:val="1F1F1F"/>
        </w:rPr>
      </w:pPr>
      <w:r w:rsidRPr="005674D6">
        <w:t>Other Price Transparency Data for Consideration</w:t>
      </w:r>
    </w:p>
    <w:p w14:paraId="7D4F2381" w14:textId="77777777" w:rsidR="00C76085" w:rsidRPr="005674D6" w:rsidRDefault="7EC4AD4A" w:rsidP="52B404F0">
      <w:r>
        <w:t>This matrix includes other price transparency data for consideration.</w:t>
      </w:r>
    </w:p>
    <w:p w14:paraId="5B70168A" w14:textId="6155AD9C" w:rsidR="52B404F0" w:rsidRDefault="52B404F0"/>
    <w:tbl>
      <w:tblPr>
        <w:tblW w:w="5000" w:type="pct"/>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3064"/>
        <w:gridCol w:w="2728"/>
        <w:gridCol w:w="4288"/>
      </w:tblGrid>
      <w:tr w:rsidR="00C76085" w:rsidRPr="005674D6" w14:paraId="54AA6764" w14:textId="77777777" w:rsidTr="52B404F0">
        <w:trPr>
          <w:trHeight w:val="495"/>
          <w:tblHeader/>
        </w:trPr>
        <w:tc>
          <w:tcPr>
            <w:tcW w:w="1520" w:type="pct"/>
            <w:shd w:val="clear" w:color="auto" w:fill="F2F2F2" w:themeFill="background2" w:themeFillShade="F2"/>
          </w:tcPr>
          <w:p w14:paraId="60120B2A" w14:textId="77777777" w:rsidR="00C76085" w:rsidRPr="005674D6" w:rsidRDefault="7EC4AD4A" w:rsidP="52B404F0">
            <w:pPr>
              <w:rPr>
                <w:b/>
                <w:bCs/>
              </w:rPr>
            </w:pPr>
            <w:r w:rsidRPr="52B404F0">
              <w:rPr>
                <w:b/>
                <w:bCs/>
              </w:rPr>
              <w:t>Key Data Point</w:t>
            </w:r>
          </w:p>
        </w:tc>
        <w:tc>
          <w:tcPr>
            <w:tcW w:w="1353" w:type="pct"/>
            <w:shd w:val="clear" w:color="auto" w:fill="F2F2F2" w:themeFill="background2" w:themeFillShade="F2"/>
          </w:tcPr>
          <w:p w14:paraId="2F433B7A" w14:textId="77777777" w:rsidR="00C76085" w:rsidRPr="005674D6" w:rsidRDefault="7EC4AD4A" w:rsidP="52B404F0">
            <w:pPr>
              <w:rPr>
                <w:b/>
                <w:bCs/>
              </w:rPr>
            </w:pPr>
            <w:r w:rsidRPr="52B404F0">
              <w:rPr>
                <w:b/>
                <w:bCs/>
              </w:rPr>
              <w:t>Value/Metric</w:t>
            </w:r>
          </w:p>
        </w:tc>
        <w:tc>
          <w:tcPr>
            <w:tcW w:w="2127" w:type="pct"/>
            <w:shd w:val="clear" w:color="auto" w:fill="F2F2F2" w:themeFill="background2" w:themeFillShade="F2"/>
          </w:tcPr>
          <w:p w14:paraId="414D7C68" w14:textId="77777777" w:rsidR="00C76085" w:rsidRPr="005674D6" w:rsidRDefault="7EC4AD4A" w:rsidP="52B404F0">
            <w:pPr>
              <w:rPr>
                <w:b/>
                <w:bCs/>
              </w:rPr>
            </w:pPr>
            <w:r w:rsidRPr="52B404F0">
              <w:rPr>
                <w:b/>
                <w:bCs/>
              </w:rPr>
              <w:t>Description</w:t>
            </w:r>
          </w:p>
        </w:tc>
      </w:tr>
      <w:tr w:rsidR="00C76085" w:rsidRPr="005674D6" w14:paraId="04FD0EE2" w14:textId="77777777" w:rsidTr="52B404F0">
        <w:trPr>
          <w:trHeight w:val="133"/>
        </w:trPr>
        <w:tc>
          <w:tcPr>
            <w:tcW w:w="1520" w:type="pct"/>
          </w:tcPr>
          <w:p w14:paraId="284D375A" w14:textId="77777777" w:rsidR="00C76085" w:rsidRPr="005674D6" w:rsidRDefault="00C76085" w:rsidP="00646036">
            <w:r w:rsidRPr="005674D6">
              <w:t>Impacted Population</w:t>
            </w:r>
          </w:p>
        </w:tc>
        <w:tc>
          <w:tcPr>
            <w:tcW w:w="1353" w:type="pct"/>
          </w:tcPr>
          <w:p w14:paraId="3551513C" w14:textId="77777777" w:rsidR="00C76085" w:rsidRPr="005674D6" w:rsidRDefault="00C76085" w:rsidP="00646036">
            <w:r w:rsidRPr="005674D6">
              <w:t>222,700,000</w:t>
            </w:r>
          </w:p>
        </w:tc>
        <w:tc>
          <w:tcPr>
            <w:tcW w:w="2127" w:type="pct"/>
          </w:tcPr>
          <w:p w14:paraId="0BA646F6" w14:textId="77777777" w:rsidR="00C76085" w:rsidRPr="005674D6" w:rsidRDefault="00C76085" w:rsidP="00646036">
            <w:r w:rsidRPr="005674D6">
              <w:t>Number of citizens with private health coverage in 2024. Private health insurance includes employer or union sponsored, coverage purchased directly, or TRICARE.</w:t>
            </w:r>
          </w:p>
        </w:tc>
      </w:tr>
      <w:tr w:rsidR="00C76085" w:rsidRPr="005674D6" w14:paraId="0EE02DE1" w14:textId="77777777" w:rsidTr="52B404F0">
        <w:trPr>
          <w:trHeight w:val="564"/>
        </w:trPr>
        <w:tc>
          <w:tcPr>
            <w:tcW w:w="1520" w:type="pct"/>
          </w:tcPr>
          <w:p w14:paraId="7B309A76" w14:textId="6086F0B0" w:rsidR="00C76085" w:rsidRPr="005674D6" w:rsidRDefault="00C76085" w:rsidP="00646036">
            <w:r w:rsidRPr="005674D6">
              <w:t xml:space="preserve">Commercial </w:t>
            </w:r>
            <w:r w:rsidR="007C1C4E">
              <w:t>Health care</w:t>
            </w:r>
            <w:r w:rsidRPr="005674D6">
              <w:t xml:space="preserve"> Spending</w:t>
            </w:r>
          </w:p>
        </w:tc>
        <w:tc>
          <w:tcPr>
            <w:tcW w:w="1353" w:type="pct"/>
          </w:tcPr>
          <w:p w14:paraId="12A2A113" w14:textId="77777777" w:rsidR="00C76085" w:rsidRPr="005674D6" w:rsidRDefault="00C76085" w:rsidP="00646036">
            <w:r w:rsidRPr="005674D6">
              <w:t>~$1.644 trillion</w:t>
            </w:r>
          </w:p>
        </w:tc>
        <w:tc>
          <w:tcPr>
            <w:tcW w:w="2127" w:type="pct"/>
          </w:tcPr>
          <w:p w14:paraId="040A014A" w14:textId="46476ED7" w:rsidR="00C76085" w:rsidRPr="005674D6" w:rsidRDefault="00C76085" w:rsidP="00646036">
            <w:pPr>
              <w:rPr>
                <w:color w:val="1F1F1F"/>
              </w:rPr>
            </w:pPr>
            <w:r w:rsidRPr="005674D6">
              <w:t xml:space="preserve">Direct annual </w:t>
            </w:r>
            <w:r w:rsidR="007C1C4E">
              <w:t>health care</w:t>
            </w:r>
            <w:r w:rsidRPr="005674D6">
              <w:t xml:space="preserve"> spending managed by private and public commercial plan purchasers. CMS National Health Expenditure Accounts (2024) report private insurance spending at $1.644 trillion. </w:t>
            </w:r>
          </w:p>
        </w:tc>
      </w:tr>
      <w:tr w:rsidR="00C76085" w:rsidRPr="005674D6" w14:paraId="6F53A5E8" w14:textId="77777777" w:rsidTr="52B404F0">
        <w:trPr>
          <w:trHeight w:val="564"/>
        </w:trPr>
        <w:tc>
          <w:tcPr>
            <w:tcW w:w="1520" w:type="pct"/>
          </w:tcPr>
          <w:p w14:paraId="494CDAD8" w14:textId="77777777" w:rsidR="00C76085" w:rsidRPr="005674D6" w:rsidRDefault="00C76085" w:rsidP="00646036">
            <w:r w:rsidRPr="005674D6">
              <w:t>Site-of-Care Cost Difference</w:t>
            </w:r>
          </w:p>
        </w:tc>
        <w:tc>
          <w:tcPr>
            <w:tcW w:w="1353" w:type="pct"/>
          </w:tcPr>
          <w:p w14:paraId="24745C99" w14:textId="77777777" w:rsidR="00C76085" w:rsidRPr="005674D6" w:rsidRDefault="00C76085" w:rsidP="00646036">
            <w:r w:rsidRPr="005674D6">
              <w:t>1.27 to 13.5 times higher</w:t>
            </w:r>
          </w:p>
        </w:tc>
        <w:tc>
          <w:tcPr>
            <w:tcW w:w="2127" w:type="pct"/>
          </w:tcPr>
          <w:p w14:paraId="1F11220A" w14:textId="77777777" w:rsidR="00C76085" w:rsidRPr="005674D6" w:rsidRDefault="00C76085" w:rsidP="00646036">
            <w:pPr>
              <w:rPr>
                <w:color w:val="1F1F1F"/>
              </w:rPr>
            </w:pPr>
            <w:r w:rsidRPr="005674D6">
              <w:t>Increased cost of routine services at a hospital outpatient setting compared to the cost of the same service at an independent physician office.</w:t>
            </w:r>
          </w:p>
        </w:tc>
      </w:tr>
      <w:tr w:rsidR="00C76085" w:rsidRPr="005674D6" w14:paraId="73108774" w14:textId="77777777" w:rsidTr="52B404F0">
        <w:trPr>
          <w:trHeight w:val="564"/>
        </w:trPr>
        <w:tc>
          <w:tcPr>
            <w:tcW w:w="1520" w:type="pct"/>
          </w:tcPr>
          <w:p w14:paraId="7710B209" w14:textId="77777777" w:rsidR="00C76085" w:rsidRPr="005674D6" w:rsidRDefault="00C76085" w:rsidP="00646036">
            <w:r w:rsidRPr="005674D6">
              <w:t>Hospital Price Transparency (HPT) Compliance Issues</w:t>
            </w:r>
          </w:p>
        </w:tc>
        <w:tc>
          <w:tcPr>
            <w:tcW w:w="1353" w:type="pct"/>
          </w:tcPr>
          <w:p w14:paraId="568AEDBE" w14:textId="77777777" w:rsidR="00C76085" w:rsidRPr="005674D6" w:rsidRDefault="00C76085" w:rsidP="00646036">
            <w:r w:rsidRPr="005674D6">
              <w:t>46%</w:t>
            </w:r>
          </w:p>
        </w:tc>
        <w:tc>
          <w:tcPr>
            <w:tcW w:w="2127" w:type="pct"/>
          </w:tcPr>
          <w:p w14:paraId="2ACF7036" w14:textId="77777777" w:rsidR="00C76085" w:rsidRPr="005674D6" w:rsidRDefault="00C76085" w:rsidP="00646036">
            <w:pPr>
              <w:rPr>
                <w:color w:val="1F1F1F"/>
              </w:rPr>
            </w:pPr>
            <w:r w:rsidRPr="005674D6">
              <w:t>Percent of hospitals that did not comply with the HPT rule.</w:t>
            </w:r>
          </w:p>
        </w:tc>
      </w:tr>
      <w:tr w:rsidR="00C76085" w:rsidRPr="005674D6" w14:paraId="1540AF12" w14:textId="77777777" w:rsidTr="52B404F0">
        <w:trPr>
          <w:trHeight w:val="564"/>
        </w:trPr>
        <w:tc>
          <w:tcPr>
            <w:tcW w:w="1520" w:type="pct"/>
          </w:tcPr>
          <w:p w14:paraId="5C29640D" w14:textId="77777777" w:rsidR="00C76085" w:rsidRPr="005674D6" w:rsidRDefault="00C76085" w:rsidP="00646036">
            <w:r w:rsidRPr="005674D6">
              <w:t>Consumer Engagement</w:t>
            </w:r>
          </w:p>
        </w:tc>
        <w:tc>
          <w:tcPr>
            <w:tcW w:w="1353" w:type="pct"/>
          </w:tcPr>
          <w:p w14:paraId="3AF02AC1" w14:textId="77777777" w:rsidR="00C76085" w:rsidRPr="005674D6" w:rsidRDefault="00C76085" w:rsidP="00646036">
            <w:r w:rsidRPr="005674D6">
              <w:t>Less than 10%</w:t>
            </w:r>
          </w:p>
        </w:tc>
        <w:tc>
          <w:tcPr>
            <w:tcW w:w="2127" w:type="pct"/>
          </w:tcPr>
          <w:p w14:paraId="2AA4F466" w14:textId="77777777" w:rsidR="00C76085" w:rsidRPr="005674D6" w:rsidRDefault="00C76085" w:rsidP="00646036">
            <w:pPr>
              <w:rPr>
                <w:color w:val="1F1F1F"/>
              </w:rPr>
            </w:pPr>
            <w:r w:rsidRPr="005674D6">
              <w:t>Percent of consumers who utilize existing carrier price transparency tools.</w:t>
            </w:r>
          </w:p>
        </w:tc>
      </w:tr>
      <w:tr w:rsidR="00C76085" w:rsidRPr="005674D6" w14:paraId="15942B30" w14:textId="77777777" w:rsidTr="52B404F0">
        <w:trPr>
          <w:trHeight w:val="564"/>
        </w:trPr>
        <w:tc>
          <w:tcPr>
            <w:tcW w:w="1520" w:type="pct"/>
          </w:tcPr>
          <w:p w14:paraId="6D88F9FD" w14:textId="77777777" w:rsidR="00C76085" w:rsidRPr="005674D6" w:rsidRDefault="00C76085" w:rsidP="00646036">
            <w:r w:rsidRPr="005674D6">
              <w:t>Commercial Cash-Price Arbitrage</w:t>
            </w:r>
          </w:p>
        </w:tc>
        <w:tc>
          <w:tcPr>
            <w:tcW w:w="1353" w:type="pct"/>
          </w:tcPr>
          <w:p w14:paraId="3AEB3E72" w14:textId="77777777" w:rsidR="00C76085" w:rsidRPr="005674D6" w:rsidRDefault="00C76085" w:rsidP="00646036">
            <w:r w:rsidRPr="005674D6">
              <w:t>47%</w:t>
            </w:r>
          </w:p>
        </w:tc>
        <w:tc>
          <w:tcPr>
            <w:tcW w:w="2127" w:type="pct"/>
          </w:tcPr>
          <w:p w14:paraId="6DC765AA" w14:textId="77777777" w:rsidR="00C76085" w:rsidRPr="005674D6" w:rsidRDefault="00C76085" w:rsidP="00646036">
            <w:r w:rsidRPr="005674D6">
              <w:t xml:space="preserve">Percentage of instances where a hospital's self-pay/cash price is lower than the median in-network commercial negotiated rate for the identical shoppable service. </w:t>
            </w:r>
          </w:p>
        </w:tc>
      </w:tr>
      <w:tr w:rsidR="00C76085" w:rsidRPr="005674D6" w14:paraId="5FD541C9" w14:textId="77777777" w:rsidTr="52B404F0">
        <w:trPr>
          <w:trHeight w:val="564"/>
        </w:trPr>
        <w:tc>
          <w:tcPr>
            <w:tcW w:w="1520" w:type="pct"/>
          </w:tcPr>
          <w:p w14:paraId="704990CC" w14:textId="77777777" w:rsidR="00C76085" w:rsidRPr="005674D6" w:rsidRDefault="00C76085" w:rsidP="00646036">
            <w:r w:rsidRPr="005674D6">
              <w:t>Market Price Convergence</w:t>
            </w:r>
          </w:p>
        </w:tc>
        <w:tc>
          <w:tcPr>
            <w:tcW w:w="1353" w:type="pct"/>
          </w:tcPr>
          <w:p w14:paraId="5144E36F" w14:textId="77777777" w:rsidR="00C76085" w:rsidRPr="005674D6" w:rsidRDefault="00C76085" w:rsidP="00646036">
            <w:r w:rsidRPr="005674D6">
              <w:t>About 80% of markets showed convergence</w:t>
            </w:r>
          </w:p>
        </w:tc>
        <w:tc>
          <w:tcPr>
            <w:tcW w:w="2127" w:type="pct"/>
          </w:tcPr>
          <w:p w14:paraId="5AD606F1" w14:textId="77777777" w:rsidR="00C76085" w:rsidRPr="005674D6" w:rsidRDefault="00C76085" w:rsidP="00646036">
            <w:r w:rsidRPr="005674D6">
              <w:t>Percentage of hospital markets (across 10 largest U.S. metros, 37 services) showing inflation-adjusted rate convergence between Dec. 2021 and June 2024. Top-quartile rates fell ~6.3%; bottom-quartile rates rose ~3.4% (annualized). Stronger in outpatient (87.4%) than inpatient (62.5%) settings.</w:t>
            </w:r>
          </w:p>
        </w:tc>
      </w:tr>
    </w:tbl>
    <w:p w14:paraId="121991B8" w14:textId="77777777" w:rsidR="002A2F15" w:rsidRPr="005674D6" w:rsidRDefault="002A2F15" w:rsidP="00646036"/>
    <w:p w14:paraId="1349ADFD" w14:textId="4A4D49EB" w:rsidR="00C76085" w:rsidRPr="005674D6" w:rsidRDefault="00C76085" w:rsidP="00D96053">
      <w:pPr>
        <w:pStyle w:val="NonTOCHeading"/>
        <w:rPr>
          <w:bCs/>
        </w:rPr>
      </w:pPr>
      <w:r w:rsidRPr="005674D6">
        <w:t>Conclusion</w:t>
      </w:r>
    </w:p>
    <w:p w14:paraId="1DF3D367" w14:textId="209D2FBB" w:rsidR="00C76085" w:rsidRPr="005674D6" w:rsidRDefault="7EC4AD4A" w:rsidP="52B404F0">
      <w:r>
        <w:t xml:space="preserve">Competition based on price helps to maintain affordability in many sectors, but it has been less effective in containing health care costs because prices are often hidden or unknown to consumers. While factors other than price influence consumers’ health care choices, enhanced price transparency could introduce greater efficiency in health care markets and make health insurance more affordable. To date, evidence for this effect is limited, with some experience showing prices may converge rather than lower overall when they are more widely known. Nonetheless, several states have worked to </w:t>
      </w:r>
      <w:bookmarkStart w:id="28" w:name="_Int_quoJUCfN"/>
      <w:r>
        <w:t>build on</w:t>
      </w:r>
      <w:bookmarkEnd w:id="28"/>
      <w:r>
        <w:t xml:space="preserve"> federal price transparency requirements and their own all-payer claims databases. States have taken steps to increase compliance with hospital price transparency rules and used their state employee health plans to incentivize the use of higher-value providers. Making provider prices accessible to market participants and regulators can also provide critical support for other health insurance affordability policies, like reference-based pricing, price caps, or oversight of provider integration.</w:t>
      </w:r>
    </w:p>
    <w:p w14:paraId="2E01EA30" w14:textId="044EE614" w:rsidR="00C76085" w:rsidRPr="005674D6" w:rsidRDefault="00C76085" w:rsidP="00646036"/>
    <w:p w14:paraId="1A821020" w14:textId="77777777" w:rsidR="00C76085" w:rsidRPr="005674D6" w:rsidRDefault="00C76085" w:rsidP="00D96053">
      <w:pPr>
        <w:pStyle w:val="NonTOCHeading"/>
        <w:rPr>
          <w:rFonts w:ascii="Inter Medium" w:eastAsia="Inter Medium" w:hAnsi="Inter Medium" w:cs="Inter Medium"/>
          <w:bCs/>
          <w:color w:val="1F1F1F"/>
        </w:rPr>
      </w:pPr>
      <w:r w:rsidRPr="005674D6">
        <w:t>Sources</w:t>
      </w:r>
    </w:p>
    <w:p w14:paraId="0AB1698E" w14:textId="77777777" w:rsidR="00C76085" w:rsidRPr="00327917" w:rsidRDefault="00C76085" w:rsidP="00646036">
      <w:pPr>
        <w:rPr>
          <w:color w:val="auto"/>
        </w:rPr>
      </w:pPr>
      <w:r w:rsidRPr="00327917">
        <w:rPr>
          <w:color w:val="auto"/>
        </w:rPr>
        <w:t xml:space="preserve">Brookings Inst: Niam Yaraghi &amp; Xiru Pan, “The hospital price transparency rule is working, but patients still need help using it,” Brookings Institute. (Sept. 9, 2025). URL: </w:t>
      </w:r>
      <w:hyperlink r:id="rId90">
        <w:r w:rsidRPr="00D47BFE">
          <w:rPr>
            <w:color w:val="0070C0"/>
            <w:u w:val="single"/>
          </w:rPr>
          <w:t>https://www.brookings.edu/articles/the-hospital-price-transparency-rule-is-working-but-patients-still-need-help-using-it/</w:t>
        </w:r>
      </w:hyperlink>
    </w:p>
    <w:p w14:paraId="532B1C77" w14:textId="77777777" w:rsidR="00C76085" w:rsidRPr="00327917" w:rsidRDefault="00C76085" w:rsidP="00646036">
      <w:pPr>
        <w:rPr>
          <w:color w:val="auto"/>
        </w:rPr>
      </w:pPr>
    </w:p>
    <w:p w14:paraId="37EFDDB1" w14:textId="77777777" w:rsidR="00C76085" w:rsidRPr="00327917" w:rsidRDefault="00C76085" w:rsidP="00646036">
      <w:pPr>
        <w:rPr>
          <w:color w:val="auto"/>
        </w:rPr>
      </w:pPr>
      <w:r w:rsidRPr="00327917">
        <w:rPr>
          <w:color w:val="auto"/>
        </w:rPr>
        <w:t xml:space="preserve">Centers for Medicare &amp; Medicaid Services, "National Health Expenditure Accounts: 2024 Highlights," (2024). URL: </w:t>
      </w:r>
      <w:hyperlink r:id="rId91">
        <w:r w:rsidRPr="00D47BFE">
          <w:rPr>
            <w:color w:val="0070C0"/>
            <w:u w:val="single"/>
          </w:rPr>
          <w:t>https://www.cms.gov/files/document/highlights.pdf</w:t>
        </w:r>
      </w:hyperlink>
    </w:p>
    <w:p w14:paraId="0818AEB0" w14:textId="77777777" w:rsidR="00C76085" w:rsidRPr="00327917" w:rsidRDefault="00C76085" w:rsidP="00646036">
      <w:pPr>
        <w:rPr>
          <w:color w:val="auto"/>
        </w:rPr>
      </w:pPr>
    </w:p>
    <w:p w14:paraId="35F2522E" w14:textId="290B0D73" w:rsidR="00C76085" w:rsidRPr="00327917" w:rsidRDefault="00C76085" w:rsidP="00646036">
      <w:pPr>
        <w:rPr>
          <w:color w:val="auto"/>
        </w:rPr>
      </w:pPr>
      <w:r w:rsidRPr="00327917">
        <w:rPr>
          <w:color w:val="auto"/>
        </w:rPr>
        <w:t xml:space="preserve">Christopher Whaley, "Health Care Price Transparency: Opportunities for Improving Efficiency and Lowering Costs," Brown University Center for Advancing Health Policy through Research (2025). URL: </w:t>
      </w:r>
      <w:hyperlink r:id="rId92">
        <w:r w:rsidRPr="00D47BFE">
          <w:rPr>
            <w:color w:val="0070C0"/>
            <w:u w:val="single"/>
          </w:rPr>
          <w:t>https://cahpr.sph.brown.edu/sites/default/files/documents/Policy%20Briefs/</w:t>
        </w:r>
        <w:r w:rsidR="007C1C4E" w:rsidRPr="00D47BFE">
          <w:rPr>
            <w:color w:val="0070C0"/>
            <w:u w:val="single"/>
          </w:rPr>
          <w:t>Health care</w:t>
        </w:r>
        <w:r w:rsidRPr="00D47BFE">
          <w:rPr>
            <w:color w:val="0070C0"/>
            <w:u w:val="single"/>
          </w:rPr>
          <w:t>%20Price%20Transparency%20Policy%20Brief%20(1).pdf</w:t>
        </w:r>
      </w:hyperlink>
    </w:p>
    <w:p w14:paraId="2C478A0D" w14:textId="77777777" w:rsidR="00C76085" w:rsidRPr="00327917" w:rsidRDefault="00C76085" w:rsidP="00646036">
      <w:pPr>
        <w:rPr>
          <w:color w:val="auto"/>
        </w:rPr>
      </w:pPr>
    </w:p>
    <w:p w14:paraId="4F87D84F" w14:textId="77777777" w:rsidR="00C76085" w:rsidRPr="00327917" w:rsidRDefault="00C76085" w:rsidP="00646036">
      <w:pPr>
        <w:rPr>
          <w:color w:val="auto"/>
        </w:rPr>
      </w:pPr>
      <w:r w:rsidRPr="00327917">
        <w:rPr>
          <w:color w:val="auto"/>
        </w:rPr>
        <w:t xml:space="preserve">Congressional Research Service “Technical Challenges with Private Health Insurance Price Transparency Data” June 13, 2025. URL: </w:t>
      </w:r>
      <w:hyperlink r:id="rId93">
        <w:r w:rsidRPr="00D47BFE">
          <w:rPr>
            <w:color w:val="0070C0"/>
            <w:u w:val="single"/>
          </w:rPr>
          <w:t>https://www.congress.gov/crs-product/R48570</w:t>
        </w:r>
      </w:hyperlink>
    </w:p>
    <w:p w14:paraId="29822265" w14:textId="77777777" w:rsidR="00C76085" w:rsidRPr="00327917" w:rsidRDefault="00C76085" w:rsidP="00646036">
      <w:pPr>
        <w:rPr>
          <w:color w:val="auto"/>
        </w:rPr>
      </w:pPr>
    </w:p>
    <w:p w14:paraId="006E526A" w14:textId="7C3AD155" w:rsidR="00C76085" w:rsidRPr="00327917" w:rsidRDefault="00C76085" w:rsidP="00646036">
      <w:pPr>
        <w:rPr>
          <w:color w:val="auto"/>
        </w:rPr>
      </w:pPr>
      <w:r w:rsidRPr="00327917">
        <w:rPr>
          <w:color w:val="auto"/>
        </w:rPr>
        <w:t xml:space="preserve">Forrest Xiao, "Examining the </w:t>
      </w:r>
      <w:r w:rsidR="007C1C4E">
        <w:rPr>
          <w:color w:val="auto"/>
        </w:rPr>
        <w:t>Health care</w:t>
      </w:r>
      <w:r w:rsidRPr="00327917">
        <w:rPr>
          <w:color w:val="auto"/>
        </w:rPr>
        <w:t xml:space="preserve"> Market Response to Transparency Regulations," Turquoise Health White Paper (October 2024). URL: </w:t>
      </w:r>
      <w:hyperlink r:id="rId94">
        <w:r w:rsidRPr="00D47BFE">
          <w:rPr>
            <w:color w:val="0070C0"/>
            <w:u w:val="single"/>
          </w:rPr>
          <w:t>https://turquoise.health/resources/blog/examining-rate-trends-by-annualized-rate-change-over-time</w:t>
        </w:r>
      </w:hyperlink>
    </w:p>
    <w:p w14:paraId="235C5831" w14:textId="77777777" w:rsidR="00C76085" w:rsidRPr="00327917" w:rsidRDefault="00C76085" w:rsidP="00646036">
      <w:pPr>
        <w:rPr>
          <w:color w:val="auto"/>
        </w:rPr>
      </w:pPr>
    </w:p>
    <w:p w14:paraId="28B025AC" w14:textId="77777777" w:rsidR="00C76085" w:rsidRPr="00327917" w:rsidRDefault="00C76085" w:rsidP="00646036">
      <w:pPr>
        <w:rPr>
          <w:color w:val="auto"/>
        </w:rPr>
      </w:pPr>
      <w:r w:rsidRPr="00327917">
        <w:rPr>
          <w:color w:val="auto"/>
        </w:rPr>
        <w:t xml:space="preserve">Jessica Chang and Linsay Sarfo, "Prices in Hospital Outpatient Departments are Consistently Higher than Physician Offices among Site-Neutral Services," Health Care Cost Institute (August 2025). URL: </w:t>
      </w:r>
      <w:hyperlink r:id="rId95">
        <w:r w:rsidRPr="00D47BFE">
          <w:rPr>
            <w:color w:val="0070C0"/>
            <w:u w:val="single"/>
          </w:rPr>
          <w:t>https://healthcostinstitute.org/all-hcci-reports/trends-in-utilization-and-prices-for-site-neutral-services-in-hospital-outpatient-and-physician-office-settings</w:t>
        </w:r>
      </w:hyperlink>
    </w:p>
    <w:p w14:paraId="08A1FC9C" w14:textId="77777777" w:rsidR="00C76085" w:rsidRPr="00327917" w:rsidRDefault="00C76085" w:rsidP="00646036">
      <w:pPr>
        <w:rPr>
          <w:color w:val="auto"/>
        </w:rPr>
      </w:pPr>
    </w:p>
    <w:p w14:paraId="4964A295" w14:textId="77777777" w:rsidR="00C76085" w:rsidRPr="00327917" w:rsidRDefault="00C76085" w:rsidP="00646036">
      <w:pPr>
        <w:rPr>
          <w:color w:val="auto"/>
        </w:rPr>
      </w:pPr>
      <w:r w:rsidRPr="00327917">
        <w:rPr>
          <w:color w:val="auto"/>
        </w:rPr>
        <w:t xml:space="preserve">Jonathan Handsborough, "Indiana All Payer Claims Database: 2025 Annual Report," Indiana Department of Insurance (August 2025). URL: </w:t>
      </w:r>
      <w:hyperlink r:id="rId96">
        <w:r w:rsidRPr="00D47BFE">
          <w:rPr>
            <w:color w:val="0070C0"/>
            <w:u w:val="single"/>
          </w:rPr>
          <w:t>https://iga.in.gov/publications/agency_report/2025-Annual-Report---All-Payer-Claims-Database.pdf</w:t>
        </w:r>
      </w:hyperlink>
    </w:p>
    <w:p w14:paraId="34BE0F46" w14:textId="77777777" w:rsidR="00C76085" w:rsidRPr="00327917" w:rsidRDefault="00C76085" w:rsidP="00646036">
      <w:pPr>
        <w:rPr>
          <w:color w:val="auto"/>
        </w:rPr>
      </w:pPr>
    </w:p>
    <w:p w14:paraId="7A5CCA31" w14:textId="77777777" w:rsidR="00C76085" w:rsidRPr="00327917" w:rsidRDefault="00C76085" w:rsidP="00646036">
      <w:pPr>
        <w:rPr>
          <w:color w:val="auto"/>
        </w:rPr>
      </w:pPr>
      <w:r w:rsidRPr="00327917">
        <w:rPr>
          <w:color w:val="auto"/>
        </w:rPr>
        <w:t xml:space="preserve">Journal of Medical Internet Research: Negar Maleki, PhD; Balaji Padmanabhan, PhD; and Kaushik Dutta, PhD, “Usability of Health Care Price Transparency Data in the United States: Mixed Methods Study.” Journal of Medical Internet Research, Vol. 26 (March 2024). URL: </w:t>
      </w:r>
      <w:hyperlink r:id="rId97">
        <w:r w:rsidRPr="00D47BFE">
          <w:rPr>
            <w:color w:val="0070C0"/>
            <w:u w:val="single"/>
          </w:rPr>
          <w:t>https://pmc.ncbi.nlm.nih.gov/articles/PMC11015359/pdf/jmir_v26i1e50629.pdf</w:t>
        </w:r>
      </w:hyperlink>
    </w:p>
    <w:p w14:paraId="54C5AADE" w14:textId="77777777" w:rsidR="00C76085" w:rsidRPr="00327917" w:rsidRDefault="00C76085" w:rsidP="00646036">
      <w:pPr>
        <w:rPr>
          <w:color w:val="auto"/>
        </w:rPr>
      </w:pPr>
    </w:p>
    <w:p w14:paraId="3E38E43C" w14:textId="77777777" w:rsidR="00C76085" w:rsidRPr="00327917" w:rsidRDefault="00C76085" w:rsidP="00646036">
      <w:pPr>
        <w:rPr>
          <w:color w:val="auto"/>
        </w:rPr>
      </w:pPr>
      <w:r w:rsidRPr="00327917">
        <w:rPr>
          <w:color w:val="auto"/>
        </w:rPr>
        <w:t xml:space="preserve">Juan Carvajal, Christopher Ody, and Christopher Whaley, “The Relationship Between Pricing Transparency and Price Competition in the US Health Care Industry.” American Bar Association, Antitrust Law Section (Nov. 5, 2024). URL: </w:t>
      </w:r>
      <w:hyperlink r:id="rId98">
        <w:r w:rsidRPr="00D47BFE">
          <w:rPr>
            <w:color w:val="0070C0"/>
            <w:u w:val="single"/>
          </w:rPr>
          <w:t>https://www.analysisgroup.com/globalassets/insights/publishing/2024_aba_article_relationship_between_pricing_transparency.pdf</w:t>
        </w:r>
      </w:hyperlink>
    </w:p>
    <w:p w14:paraId="2798A69E" w14:textId="77777777" w:rsidR="00C76085" w:rsidRPr="00327917" w:rsidRDefault="00C76085" w:rsidP="00646036">
      <w:pPr>
        <w:rPr>
          <w:color w:val="auto"/>
        </w:rPr>
      </w:pPr>
    </w:p>
    <w:p w14:paraId="263CC68E" w14:textId="77777777" w:rsidR="00C76085" w:rsidRPr="00327917" w:rsidRDefault="00C76085" w:rsidP="00646036">
      <w:pPr>
        <w:rPr>
          <w:color w:val="auto"/>
        </w:rPr>
      </w:pPr>
      <w:r w:rsidRPr="00327917">
        <w:rPr>
          <w:color w:val="auto"/>
        </w:rPr>
        <w:t xml:space="preserve">Kunal N. Patel, Shu-Fang Shih, Chandra Bondugula, et al., "Hospital Compliance with Price Transparency Policy in the U.S.," Journal of Hospital Management and Health Policy (September 2023). URL: </w:t>
      </w:r>
      <w:hyperlink r:id="rId99">
        <w:r w:rsidRPr="00D47BFE">
          <w:rPr>
            <w:color w:val="0070C0"/>
            <w:u w:val="single"/>
          </w:rPr>
          <w:t>https://jhmhp.amegroups.org/article/view/8144/html</w:t>
        </w:r>
      </w:hyperlink>
    </w:p>
    <w:p w14:paraId="0499F02F" w14:textId="77777777" w:rsidR="00C76085" w:rsidRPr="00327917" w:rsidRDefault="00C76085" w:rsidP="00646036">
      <w:pPr>
        <w:rPr>
          <w:color w:val="auto"/>
        </w:rPr>
      </w:pPr>
    </w:p>
    <w:p w14:paraId="209FF033" w14:textId="4141C4A3" w:rsidR="00C76085" w:rsidRPr="00327917" w:rsidRDefault="00C76085" w:rsidP="00646036">
      <w:pPr>
        <w:rPr>
          <w:color w:val="auto"/>
        </w:rPr>
      </w:pPr>
      <w:r w:rsidRPr="00327917">
        <w:rPr>
          <w:color w:val="auto"/>
        </w:rPr>
        <w:t xml:space="preserve">Leelah Klauber, "2025 State Price Transparency Actions," The Source on </w:t>
      </w:r>
      <w:r w:rsidR="007C1C4E">
        <w:rPr>
          <w:color w:val="auto"/>
        </w:rPr>
        <w:t>Health care</w:t>
      </w:r>
      <w:r w:rsidRPr="00327917">
        <w:rPr>
          <w:color w:val="auto"/>
        </w:rPr>
        <w:t xml:space="preserve"> Price and Competition, University of California College of the Law, San Francisco (November 2025). URL: </w:t>
      </w:r>
      <w:hyperlink r:id="rId100">
        <w:r w:rsidRPr="00D47BFE">
          <w:rPr>
            <w:color w:val="0070C0"/>
            <w:u w:val="single"/>
          </w:rPr>
          <w:t>https://sourceon</w:t>
        </w:r>
        <w:r w:rsidR="007C1C4E" w:rsidRPr="00D47BFE">
          <w:rPr>
            <w:color w:val="0070C0"/>
            <w:u w:val="single"/>
          </w:rPr>
          <w:t>health care</w:t>
        </w:r>
        <w:r w:rsidRPr="00D47BFE">
          <w:rPr>
            <w:color w:val="0070C0"/>
            <w:u w:val="single"/>
          </w:rPr>
          <w:t>.org/spotlight-on-2025-state-price-transparency-actions/</w:t>
        </w:r>
      </w:hyperlink>
    </w:p>
    <w:p w14:paraId="32CEA60D" w14:textId="77777777" w:rsidR="00C76085" w:rsidRPr="00327917" w:rsidRDefault="00C76085" w:rsidP="00646036">
      <w:pPr>
        <w:rPr>
          <w:color w:val="auto"/>
        </w:rPr>
      </w:pPr>
    </w:p>
    <w:p w14:paraId="3CC50C2D" w14:textId="77777777" w:rsidR="00C76085" w:rsidRPr="00327917" w:rsidRDefault="00C76085" w:rsidP="00646036">
      <w:pPr>
        <w:rPr>
          <w:color w:val="auto"/>
        </w:rPr>
      </w:pPr>
      <w:r w:rsidRPr="00327917">
        <w:rPr>
          <w:color w:val="auto"/>
        </w:rPr>
        <w:t xml:space="preserve">Maanasa Kona and Nadia Stovicek, "State Efforts to Improve Price Transparency," Health Affairs Forefront, Georgetown University Center on Health Insurance Reforms (April 2024). URL: </w:t>
      </w:r>
      <w:hyperlink r:id="rId101">
        <w:r w:rsidRPr="00D47BFE">
          <w:rPr>
            <w:color w:val="0070C0"/>
            <w:u w:val="single"/>
          </w:rPr>
          <w:t>https://www.healthaffairs.org/content/forefront/state-efforts-improve-pricetransparency</w:t>
        </w:r>
      </w:hyperlink>
    </w:p>
    <w:p w14:paraId="6E70F0D0" w14:textId="77777777" w:rsidR="00C76085" w:rsidRPr="00327917" w:rsidRDefault="00C76085" w:rsidP="00646036">
      <w:pPr>
        <w:rPr>
          <w:color w:val="auto"/>
        </w:rPr>
      </w:pPr>
    </w:p>
    <w:p w14:paraId="7DD34CED" w14:textId="086343C7" w:rsidR="00C76085" w:rsidRPr="00D47BFE" w:rsidRDefault="00C76085" w:rsidP="00646036">
      <w:pPr>
        <w:rPr>
          <w:color w:val="0070C0"/>
        </w:rPr>
      </w:pPr>
      <w:r w:rsidRPr="00327917">
        <w:rPr>
          <w:color w:val="auto"/>
        </w:rPr>
        <w:t xml:space="preserve">Sonia Ali Malik, "Enhancing </w:t>
      </w:r>
      <w:r w:rsidR="007C1C4E">
        <w:rPr>
          <w:color w:val="auto"/>
        </w:rPr>
        <w:t>Health care</w:t>
      </w:r>
      <w:r w:rsidRPr="00327917">
        <w:rPr>
          <w:color w:val="auto"/>
        </w:rPr>
        <w:t xml:space="preserve"> Cost Transparency: Assessing Implementation Challenges, Criticisms, and Alternative Solutions," Frontiers in Health Services, Vol. 4 (January 2025). URL: </w:t>
      </w:r>
      <w:hyperlink r:id="rId102">
        <w:r w:rsidRPr="00D47BFE">
          <w:rPr>
            <w:color w:val="0070C0"/>
            <w:u w:val="single"/>
          </w:rPr>
          <w:t>https://www.frontiersin.org/journals/health-services/articles/10.3389/frhs.2024.1379416/full</w:t>
        </w:r>
      </w:hyperlink>
    </w:p>
    <w:p w14:paraId="2E3B198F" w14:textId="77777777" w:rsidR="00C76085" w:rsidRPr="00327917" w:rsidRDefault="00C76085" w:rsidP="00646036">
      <w:pPr>
        <w:rPr>
          <w:color w:val="auto"/>
        </w:rPr>
      </w:pPr>
      <w:r w:rsidRPr="00327917">
        <w:rPr>
          <w:color w:val="auto"/>
        </w:rPr>
        <w:t xml:space="preserve"> </w:t>
      </w:r>
    </w:p>
    <w:p w14:paraId="2C50475C" w14:textId="77777777" w:rsidR="00C76085" w:rsidRPr="00327917" w:rsidRDefault="00C76085" w:rsidP="00646036">
      <w:pPr>
        <w:rPr>
          <w:color w:val="auto"/>
        </w:rPr>
      </w:pPr>
      <w:r w:rsidRPr="00327917">
        <w:rPr>
          <w:color w:val="auto"/>
        </w:rPr>
        <w:t xml:space="preserve">Stacey Pogue and Abigail Knapp, "Leveraging Data to Control Costs: How Five State Employee Health Plans Use Claims and Price Transparency Data to Improve Affordability," Center on Health Insurance Reforms (CHIR), Georgetown University McCourt School of Public Policy (April 2026). </w:t>
      </w:r>
      <w:hyperlink r:id="rId103">
        <w:r w:rsidRPr="00D47BFE">
          <w:rPr>
            <w:color w:val="0070C0"/>
            <w:u w:val="single"/>
          </w:rPr>
          <w:t>https://chir.georgetown.edu/leveraging-data-to-control-health-care-costs/</w:t>
        </w:r>
      </w:hyperlink>
    </w:p>
    <w:p w14:paraId="1ECE680B" w14:textId="77777777" w:rsidR="00C76085" w:rsidRPr="00327917" w:rsidRDefault="00C76085" w:rsidP="00646036">
      <w:pPr>
        <w:rPr>
          <w:color w:val="auto"/>
        </w:rPr>
      </w:pPr>
    </w:p>
    <w:p w14:paraId="6F7A3CBE" w14:textId="77777777" w:rsidR="00C76085" w:rsidRPr="00D47BFE" w:rsidRDefault="00C76085" w:rsidP="00646036">
      <w:pPr>
        <w:rPr>
          <w:color w:val="0070C0"/>
        </w:rPr>
      </w:pPr>
      <w:r w:rsidRPr="00327917">
        <w:rPr>
          <w:color w:val="auto"/>
        </w:rPr>
        <w:t xml:space="preserve">U.S. Census Bureau, "Health Insurance Coverage in the United States: 2024," Current Population Reports, P60-288, U.S. Government Publishing Office, Washington, DC (September 2025). URL: </w:t>
      </w:r>
      <w:hyperlink r:id="rId104">
        <w:r w:rsidRPr="00D47BFE">
          <w:rPr>
            <w:color w:val="0070C0"/>
            <w:u w:val="single"/>
          </w:rPr>
          <w:t>https://www.census.gov/library/publications/2025/demo/p60-288.html</w:t>
        </w:r>
      </w:hyperlink>
    </w:p>
    <w:p w14:paraId="3F79418E" w14:textId="77777777" w:rsidR="00C76085" w:rsidRPr="00327917" w:rsidRDefault="00C76085" w:rsidP="00646036">
      <w:pPr>
        <w:rPr>
          <w:color w:val="auto"/>
        </w:rPr>
      </w:pPr>
    </w:p>
    <w:p w14:paraId="29D4BA3B" w14:textId="77777777" w:rsidR="00C76085" w:rsidRPr="00D47BFE" w:rsidRDefault="00C76085" w:rsidP="00646036">
      <w:pPr>
        <w:rPr>
          <w:color w:val="0070C0"/>
        </w:rPr>
      </w:pPr>
      <w:r w:rsidRPr="00327917">
        <w:rPr>
          <w:color w:val="auto"/>
        </w:rPr>
        <w:t xml:space="preserve">U.S. Department of Health and Human Services, Office of Inspector General, "Not All Selected Hospitals Complied with the Hospital Price Transparency Rule," (November 2024). URL: </w:t>
      </w:r>
      <w:hyperlink r:id="rId105">
        <w:r w:rsidRPr="00D47BFE">
          <w:rPr>
            <w:color w:val="0070C0"/>
            <w:u w:val="single"/>
          </w:rPr>
          <w:t>https://oig.hhs.gov/documents/audit/10042/A-07-22-06108.pdf</w:t>
        </w:r>
      </w:hyperlink>
    </w:p>
    <w:p w14:paraId="60F93483" w14:textId="77777777" w:rsidR="00C76085" w:rsidRPr="00327917" w:rsidRDefault="00C76085" w:rsidP="00646036">
      <w:pPr>
        <w:rPr>
          <w:color w:val="auto"/>
        </w:rPr>
      </w:pPr>
    </w:p>
    <w:p w14:paraId="53605F94" w14:textId="77777777" w:rsidR="00C76085" w:rsidRPr="00D47BFE" w:rsidRDefault="00C76085" w:rsidP="00646036">
      <w:pPr>
        <w:rPr>
          <w:color w:val="0070C0"/>
        </w:rPr>
      </w:pPr>
      <w:r w:rsidRPr="00327917">
        <w:rPr>
          <w:color w:val="auto"/>
        </w:rPr>
        <w:t xml:space="preserve">Yang Wang, Mark Katz Meiselbach, John S. Cox, Gerard F. Anderson, and Ge Bai, "The Relationships Among Cash Prices, Negotiated Rates, and Chargemaster Prices for Shoppable Hospital Services," Health Affairs (April 2023). URL: </w:t>
      </w:r>
      <w:hyperlink r:id="rId106">
        <w:r w:rsidRPr="00D47BFE">
          <w:rPr>
            <w:color w:val="0070C0"/>
            <w:u w:val="single"/>
          </w:rPr>
          <w:t>https://pubmed.ncbi.nlm.nih.gov/37011313/</w:t>
        </w:r>
      </w:hyperlink>
    </w:p>
    <w:p w14:paraId="333F9060" w14:textId="77777777" w:rsidR="00C76085" w:rsidRPr="00327917" w:rsidRDefault="00C76085" w:rsidP="00646036">
      <w:pPr>
        <w:rPr>
          <w:color w:val="auto"/>
        </w:rPr>
      </w:pPr>
      <w:r w:rsidRPr="00327917">
        <w:rPr>
          <w:color w:val="auto"/>
        </w:rPr>
        <w:t xml:space="preserve"> </w:t>
      </w:r>
    </w:p>
    <w:p w14:paraId="28928406" w14:textId="77777777" w:rsidR="00C76085" w:rsidRDefault="00C76085" w:rsidP="00D96053">
      <w:pPr>
        <w:pStyle w:val="NonTOCHeading"/>
      </w:pPr>
      <w:r w:rsidRPr="00327917">
        <w:t xml:space="preserve">Further Reading </w:t>
      </w:r>
    </w:p>
    <w:p w14:paraId="111D3E31" w14:textId="77777777" w:rsidR="00D47BFE" w:rsidRPr="00327917" w:rsidRDefault="00D47BFE" w:rsidP="00646036">
      <w:pPr>
        <w:rPr>
          <w:color w:val="auto"/>
        </w:rPr>
      </w:pPr>
    </w:p>
    <w:p w14:paraId="17DFA928" w14:textId="77777777" w:rsidR="00C76085" w:rsidRPr="00327917" w:rsidRDefault="00C76085" w:rsidP="00646036">
      <w:pPr>
        <w:rPr>
          <w:color w:val="auto"/>
        </w:rPr>
      </w:pPr>
      <w:r w:rsidRPr="00327917">
        <w:rPr>
          <w:color w:val="auto"/>
        </w:rPr>
        <w:t xml:space="preserve">Centers for Medicare &amp; Medicaid Services (CMS) Technical Guide on Encoding Hospital Price Transparency Machine-Readable Files (2025/2026 updates): </w:t>
      </w:r>
      <w:hyperlink r:id="rId107">
        <w:r w:rsidRPr="00D47BFE">
          <w:rPr>
            <w:color w:val="0070C0"/>
            <w:u w:val="single"/>
          </w:rPr>
          <w:t>https://www.cms.gov/priorities/key-initiatives/hospital-price-transparency</w:t>
        </w:r>
      </w:hyperlink>
    </w:p>
    <w:p w14:paraId="7A69283D" w14:textId="77777777" w:rsidR="00C76085" w:rsidRPr="00327917" w:rsidRDefault="00C76085" w:rsidP="00646036">
      <w:pPr>
        <w:rPr>
          <w:color w:val="auto"/>
        </w:rPr>
      </w:pPr>
    </w:p>
    <w:p w14:paraId="7B275350" w14:textId="16925059" w:rsidR="003F14C6" w:rsidRPr="005674D6" w:rsidRDefault="7EC4AD4A" w:rsidP="52B404F0">
      <w:r w:rsidRPr="52B404F0">
        <w:rPr>
          <w:color w:val="auto"/>
        </w:rPr>
        <w:t xml:space="preserve">National Academy for State Health Policy (NASHP) Hospital Cost Tool (HCT 5.0), housing structural cost reports and commercial breakeven calculations across 5,000+ general acute hospitals: </w:t>
      </w:r>
      <w:hyperlink r:id="rId108">
        <w:r w:rsidRPr="52B404F0">
          <w:rPr>
            <w:color w:val="auto"/>
            <w:u w:val="single"/>
          </w:rPr>
          <w:t>https://tool.nashp.org/</w:t>
        </w:r>
      </w:hyperlink>
    </w:p>
    <w:p w14:paraId="6F3CCEEE" w14:textId="1B96CA58" w:rsidR="003F14C6" w:rsidRPr="005674D6" w:rsidRDefault="003F14C6" w:rsidP="52B404F0">
      <w:pPr>
        <w:rPr>
          <w:b/>
          <w:bCs/>
          <w:lang w:val="en"/>
        </w:rPr>
      </w:pPr>
    </w:p>
    <w:p w14:paraId="41321043" w14:textId="43D3362A" w:rsidR="003F14C6" w:rsidRPr="005674D6" w:rsidRDefault="003F14C6" w:rsidP="52B404F0">
      <w:pPr>
        <w:rPr>
          <w:b/>
          <w:bCs/>
          <w:lang w:val="en"/>
        </w:rPr>
      </w:pPr>
    </w:p>
    <w:p w14:paraId="0871B2A8" w14:textId="213EC948" w:rsidR="003F14C6" w:rsidRPr="005674D6" w:rsidRDefault="003F14C6" w:rsidP="52B404F0">
      <w:pPr>
        <w:rPr>
          <w:b/>
          <w:bCs/>
          <w:lang w:val="en"/>
        </w:rPr>
      </w:pPr>
    </w:p>
    <w:p w14:paraId="3B21AC23" w14:textId="7B2D0BAA" w:rsidR="003F14C6" w:rsidRPr="005674D6" w:rsidRDefault="003F14C6" w:rsidP="52B404F0">
      <w:pPr>
        <w:rPr>
          <w:b/>
          <w:bCs/>
          <w:lang w:val="en"/>
        </w:rPr>
      </w:pPr>
    </w:p>
    <w:p w14:paraId="1DEBD36D" w14:textId="7B29164E" w:rsidR="003F14C6" w:rsidRPr="005674D6" w:rsidRDefault="003F14C6" w:rsidP="52B404F0">
      <w:pPr>
        <w:rPr>
          <w:b/>
          <w:bCs/>
          <w:lang w:val="en"/>
        </w:rPr>
      </w:pPr>
    </w:p>
    <w:p w14:paraId="74B4894F" w14:textId="711FC067" w:rsidR="003F14C6" w:rsidRPr="005674D6" w:rsidRDefault="003F14C6" w:rsidP="52B404F0">
      <w:pPr>
        <w:rPr>
          <w:b/>
          <w:bCs/>
          <w:lang w:val="en"/>
        </w:rPr>
      </w:pPr>
    </w:p>
    <w:p w14:paraId="2021E510" w14:textId="0DDD933D" w:rsidR="003F14C6" w:rsidRPr="005674D6" w:rsidRDefault="003F14C6" w:rsidP="52B404F0">
      <w:pPr>
        <w:rPr>
          <w:b/>
          <w:bCs/>
          <w:lang w:val="en"/>
        </w:rPr>
      </w:pPr>
    </w:p>
    <w:p w14:paraId="2E9104CC" w14:textId="200DB930" w:rsidR="003F14C6" w:rsidRPr="005674D6" w:rsidRDefault="003F14C6" w:rsidP="52B404F0">
      <w:pPr>
        <w:rPr>
          <w:b/>
          <w:bCs/>
          <w:lang w:val="en"/>
        </w:rPr>
      </w:pPr>
    </w:p>
    <w:p w14:paraId="4BB35A13" w14:textId="42906D1F" w:rsidR="003F14C6" w:rsidRPr="005674D6" w:rsidRDefault="003F14C6" w:rsidP="52B404F0">
      <w:pPr>
        <w:rPr>
          <w:b/>
          <w:bCs/>
          <w:lang w:val="en"/>
        </w:rPr>
      </w:pPr>
    </w:p>
    <w:p w14:paraId="2A533B7F" w14:textId="7C8B1E77" w:rsidR="003F14C6" w:rsidRPr="005674D6" w:rsidRDefault="003F14C6" w:rsidP="52B404F0">
      <w:pPr>
        <w:rPr>
          <w:b/>
          <w:bCs/>
          <w:lang w:val="en"/>
        </w:rPr>
      </w:pPr>
    </w:p>
    <w:p w14:paraId="705ED8E2" w14:textId="4DE76726" w:rsidR="003F14C6" w:rsidRPr="005674D6" w:rsidRDefault="003F14C6" w:rsidP="52B404F0">
      <w:pPr>
        <w:rPr>
          <w:b/>
          <w:bCs/>
          <w:lang w:val="en"/>
        </w:rPr>
      </w:pPr>
    </w:p>
    <w:p w14:paraId="15D1061B" w14:textId="4CECCB9C" w:rsidR="003F14C6" w:rsidRPr="005674D6" w:rsidRDefault="003F14C6" w:rsidP="52B404F0">
      <w:pPr>
        <w:rPr>
          <w:b/>
          <w:bCs/>
          <w:lang w:val="en"/>
        </w:rPr>
      </w:pPr>
    </w:p>
    <w:p w14:paraId="10581739" w14:textId="0CDD74B4" w:rsidR="003F14C6" w:rsidRPr="005674D6" w:rsidRDefault="003F14C6" w:rsidP="52B404F0">
      <w:pPr>
        <w:rPr>
          <w:b/>
          <w:bCs/>
          <w:lang w:val="en"/>
        </w:rPr>
      </w:pPr>
    </w:p>
    <w:p w14:paraId="49F69F3C" w14:textId="0D88C385" w:rsidR="003F14C6" w:rsidRPr="005674D6" w:rsidRDefault="003F14C6" w:rsidP="52B404F0">
      <w:pPr>
        <w:rPr>
          <w:b/>
          <w:bCs/>
          <w:lang w:val="en"/>
        </w:rPr>
      </w:pPr>
    </w:p>
    <w:p w14:paraId="29867F22" w14:textId="5F870132" w:rsidR="003F14C6" w:rsidRPr="005674D6" w:rsidRDefault="003F14C6" w:rsidP="52B404F0">
      <w:pPr>
        <w:rPr>
          <w:b/>
          <w:bCs/>
          <w:lang w:val="en"/>
        </w:rPr>
      </w:pPr>
    </w:p>
    <w:p w14:paraId="067DED14" w14:textId="7EDA5E9F" w:rsidR="003F14C6" w:rsidRPr="005674D6" w:rsidRDefault="003F14C6" w:rsidP="52B404F0">
      <w:pPr>
        <w:rPr>
          <w:b/>
          <w:bCs/>
          <w:lang w:val="en"/>
        </w:rPr>
      </w:pPr>
    </w:p>
    <w:p w14:paraId="757F32C5" w14:textId="08780165" w:rsidR="003F14C6" w:rsidRPr="005674D6" w:rsidRDefault="003F14C6" w:rsidP="52B404F0">
      <w:pPr>
        <w:rPr>
          <w:b/>
          <w:bCs/>
          <w:lang w:val="en"/>
        </w:rPr>
      </w:pPr>
    </w:p>
    <w:p w14:paraId="550604DE" w14:textId="54E4D1EE" w:rsidR="003F14C6" w:rsidRPr="005674D6" w:rsidRDefault="003F14C6" w:rsidP="52B404F0">
      <w:pPr>
        <w:rPr>
          <w:b/>
          <w:bCs/>
          <w:lang w:val="en"/>
        </w:rPr>
      </w:pPr>
    </w:p>
    <w:p w14:paraId="0FDA3E5C" w14:textId="728620DD" w:rsidR="003F14C6" w:rsidRPr="005674D6" w:rsidRDefault="003F14C6" w:rsidP="52B404F0">
      <w:pPr>
        <w:rPr>
          <w:b/>
          <w:bCs/>
          <w:lang w:val="en"/>
        </w:rPr>
      </w:pPr>
    </w:p>
    <w:p w14:paraId="4A393882" w14:textId="797BFC19" w:rsidR="003F14C6" w:rsidRPr="005674D6" w:rsidRDefault="003F14C6" w:rsidP="52B404F0">
      <w:pPr>
        <w:rPr>
          <w:b/>
          <w:bCs/>
          <w:lang w:val="en"/>
        </w:rPr>
      </w:pPr>
    </w:p>
    <w:p w14:paraId="3014F47F" w14:textId="5D879F24" w:rsidR="003F14C6" w:rsidRPr="005674D6" w:rsidRDefault="003F14C6" w:rsidP="52B404F0">
      <w:pPr>
        <w:rPr>
          <w:b/>
          <w:bCs/>
          <w:lang w:val="en"/>
        </w:rPr>
      </w:pPr>
    </w:p>
    <w:p w14:paraId="545008A7" w14:textId="44DC0631" w:rsidR="003F14C6" w:rsidRPr="005674D6" w:rsidRDefault="003F14C6" w:rsidP="52B404F0">
      <w:pPr>
        <w:rPr>
          <w:b/>
          <w:bCs/>
          <w:lang w:val="en"/>
        </w:rPr>
      </w:pPr>
    </w:p>
    <w:p w14:paraId="62E81EE2" w14:textId="360E2C8D" w:rsidR="003F14C6" w:rsidRPr="005674D6" w:rsidRDefault="003F14C6" w:rsidP="52B404F0">
      <w:pPr>
        <w:rPr>
          <w:b/>
          <w:bCs/>
          <w:lang w:val="en"/>
        </w:rPr>
      </w:pPr>
    </w:p>
    <w:p w14:paraId="5F0524A9" w14:textId="0207F874" w:rsidR="003F14C6" w:rsidRPr="005674D6" w:rsidRDefault="003F14C6" w:rsidP="52B404F0">
      <w:pPr>
        <w:rPr>
          <w:b/>
          <w:bCs/>
          <w:lang w:val="en"/>
        </w:rPr>
      </w:pPr>
    </w:p>
    <w:p w14:paraId="151E8220" w14:textId="3E55C4E3" w:rsidR="003F14C6" w:rsidRPr="005674D6" w:rsidRDefault="003F14C6" w:rsidP="52B404F0">
      <w:pPr>
        <w:rPr>
          <w:b/>
          <w:bCs/>
          <w:lang w:val="en"/>
        </w:rPr>
      </w:pPr>
    </w:p>
    <w:p w14:paraId="56987DB4" w14:textId="7CFE5443" w:rsidR="003F14C6" w:rsidRPr="005674D6" w:rsidRDefault="003F14C6" w:rsidP="52B404F0">
      <w:pPr>
        <w:rPr>
          <w:b/>
          <w:bCs/>
          <w:lang w:val="en"/>
        </w:rPr>
      </w:pPr>
    </w:p>
    <w:p w14:paraId="03DA526C" w14:textId="03348FCF" w:rsidR="003F14C6" w:rsidRPr="005674D6" w:rsidRDefault="003F14C6" w:rsidP="52B404F0">
      <w:pPr>
        <w:rPr>
          <w:b/>
          <w:bCs/>
          <w:lang w:val="en"/>
        </w:rPr>
      </w:pPr>
    </w:p>
    <w:p w14:paraId="7F375667" w14:textId="3D9EA0B4" w:rsidR="003F14C6" w:rsidRPr="005674D6" w:rsidRDefault="003F14C6" w:rsidP="52B404F0">
      <w:pPr>
        <w:rPr>
          <w:b/>
          <w:bCs/>
          <w:lang w:val="en"/>
        </w:rPr>
      </w:pPr>
    </w:p>
    <w:p w14:paraId="3B0F412B" w14:textId="2A205D0D" w:rsidR="003F14C6" w:rsidRPr="005674D6" w:rsidRDefault="003F14C6" w:rsidP="52B404F0">
      <w:pPr>
        <w:rPr>
          <w:b/>
          <w:bCs/>
          <w:lang w:val="en"/>
        </w:rPr>
      </w:pPr>
    </w:p>
    <w:p w14:paraId="0A9964C6" w14:textId="640E1D60" w:rsidR="003F14C6" w:rsidRPr="005674D6" w:rsidRDefault="003F14C6" w:rsidP="52B404F0">
      <w:pPr>
        <w:rPr>
          <w:b/>
          <w:bCs/>
          <w:lang w:val="en"/>
        </w:rPr>
      </w:pPr>
    </w:p>
    <w:p w14:paraId="48A26636" w14:textId="4B92B7D5" w:rsidR="003F14C6" w:rsidRPr="005674D6" w:rsidRDefault="003F14C6" w:rsidP="52B404F0">
      <w:pPr>
        <w:rPr>
          <w:b/>
          <w:bCs/>
          <w:lang w:val="en"/>
        </w:rPr>
      </w:pPr>
    </w:p>
    <w:p w14:paraId="0368E73C" w14:textId="5FA77DD8" w:rsidR="003F14C6" w:rsidRPr="005674D6" w:rsidRDefault="003F14C6" w:rsidP="52B404F0">
      <w:pPr>
        <w:rPr>
          <w:b/>
          <w:bCs/>
          <w:lang w:val="en"/>
        </w:rPr>
      </w:pPr>
    </w:p>
    <w:p w14:paraId="70AC05D8" w14:textId="6D6B474E" w:rsidR="003F14C6" w:rsidRPr="005674D6" w:rsidRDefault="003F14C6" w:rsidP="52B404F0">
      <w:pPr>
        <w:rPr>
          <w:b/>
          <w:bCs/>
          <w:lang w:val="en"/>
        </w:rPr>
      </w:pPr>
    </w:p>
    <w:p w14:paraId="19B56C0D" w14:textId="74DC27DC" w:rsidR="003F14C6" w:rsidRPr="005674D6" w:rsidRDefault="003F14C6" w:rsidP="52B404F0">
      <w:pPr>
        <w:rPr>
          <w:b/>
          <w:bCs/>
          <w:lang w:val="en"/>
        </w:rPr>
      </w:pPr>
    </w:p>
    <w:p w14:paraId="1E53CD53" w14:textId="505FE72F" w:rsidR="003F14C6" w:rsidRPr="005674D6" w:rsidRDefault="003F14C6" w:rsidP="52B404F0">
      <w:pPr>
        <w:rPr>
          <w:b/>
          <w:bCs/>
          <w:lang w:val="en"/>
        </w:rPr>
      </w:pPr>
    </w:p>
    <w:p w14:paraId="3AA2F50C" w14:textId="0DCE5695" w:rsidR="003F14C6" w:rsidRPr="005674D6" w:rsidRDefault="003F14C6" w:rsidP="52B404F0">
      <w:pPr>
        <w:rPr>
          <w:b/>
          <w:bCs/>
          <w:lang w:val="en"/>
        </w:rPr>
      </w:pPr>
    </w:p>
    <w:p w14:paraId="10FBBB40" w14:textId="4D5C2784" w:rsidR="003F14C6" w:rsidRPr="005674D6" w:rsidRDefault="003F14C6" w:rsidP="52B404F0">
      <w:pPr>
        <w:rPr>
          <w:b/>
          <w:bCs/>
          <w:lang w:val="en"/>
        </w:rPr>
      </w:pPr>
    </w:p>
    <w:p w14:paraId="35E65379" w14:textId="323A7A33" w:rsidR="003F14C6" w:rsidRPr="005674D6" w:rsidRDefault="003F14C6" w:rsidP="52B404F0">
      <w:pPr>
        <w:rPr>
          <w:b/>
          <w:bCs/>
          <w:lang w:val="en"/>
        </w:rPr>
      </w:pPr>
    </w:p>
    <w:p w14:paraId="26CF41D9" w14:textId="5B7CC35F" w:rsidR="003F14C6" w:rsidRPr="005674D6" w:rsidRDefault="003F14C6" w:rsidP="52B404F0">
      <w:pPr>
        <w:rPr>
          <w:b/>
          <w:bCs/>
          <w:lang w:val="en"/>
        </w:rPr>
      </w:pPr>
    </w:p>
    <w:p w14:paraId="4AD9F9B4" w14:textId="4738E826" w:rsidR="003F14C6" w:rsidRPr="005674D6" w:rsidRDefault="003F14C6" w:rsidP="52B404F0">
      <w:pPr>
        <w:rPr>
          <w:b/>
          <w:bCs/>
          <w:lang w:val="en"/>
        </w:rPr>
      </w:pPr>
    </w:p>
    <w:p w14:paraId="027CA7E4" w14:textId="767258B2" w:rsidR="003F14C6" w:rsidRPr="005674D6" w:rsidRDefault="003F14C6" w:rsidP="52B404F0">
      <w:pPr>
        <w:rPr>
          <w:b/>
          <w:bCs/>
          <w:lang w:val="en"/>
        </w:rPr>
      </w:pPr>
    </w:p>
    <w:p w14:paraId="01F63B48" w14:textId="520A1461" w:rsidR="003F14C6" w:rsidRPr="00D96053" w:rsidRDefault="00D47BFE" w:rsidP="00D96053">
      <w:pPr>
        <w:pStyle w:val="Heading1"/>
      </w:pPr>
      <w:bookmarkStart w:id="29" w:name="_Toc243048305"/>
      <w:r w:rsidRPr="00D96053">
        <w:t xml:space="preserve">Section 6: </w:t>
      </w:r>
      <w:r w:rsidR="3D261CE7" w:rsidRPr="00D96053">
        <w:t>Direct-to-Consumer Drug Platforms</w:t>
      </w:r>
      <w:bookmarkEnd w:id="29"/>
    </w:p>
    <w:p w14:paraId="110A377A" w14:textId="77777777" w:rsidR="00D43313" w:rsidRPr="005674D6" w:rsidRDefault="00D43313" w:rsidP="00D96053">
      <w:pPr>
        <w:pStyle w:val="NonTOCHeading"/>
        <w:rPr>
          <w:bCs/>
          <w:sz w:val="24"/>
          <w:szCs w:val="24"/>
        </w:rPr>
      </w:pPr>
      <w:r w:rsidRPr="005674D6">
        <w:rPr>
          <w:lang w:val="en"/>
        </w:rPr>
        <w:t>Contributors</w:t>
      </w:r>
      <w:r w:rsidRPr="005674D6">
        <w:rPr>
          <w:sz w:val="24"/>
          <w:szCs w:val="24"/>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2"/>
        <w:gridCol w:w="4365"/>
        <w:gridCol w:w="3393"/>
      </w:tblGrid>
      <w:tr w:rsidR="00D43313" w:rsidRPr="005674D6" w14:paraId="01B313BA" w14:textId="77777777" w:rsidTr="52B404F0">
        <w:trPr>
          <w:trHeight w:val="450"/>
        </w:trPr>
        <w:tc>
          <w:tcPr>
            <w:tcW w:w="1152"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4FFF0ACD" w14:textId="77777777" w:rsidR="00D43313" w:rsidRPr="005674D6" w:rsidRDefault="6772E450" w:rsidP="52B404F0">
            <w:pPr>
              <w:rPr>
                <w:b/>
                <w:bCs/>
              </w:rPr>
            </w:pPr>
            <w:r w:rsidRPr="52B404F0">
              <w:rPr>
                <w:b/>
                <w:bCs/>
                <w:lang w:val="en"/>
              </w:rPr>
              <w:t>Contributors</w:t>
            </w:r>
            <w:r w:rsidRPr="52B404F0">
              <w:rPr>
                <w:b/>
                <w:bCs/>
              </w:rPr>
              <w:t> </w:t>
            </w:r>
          </w:p>
        </w:tc>
        <w:tc>
          <w:tcPr>
            <w:tcW w:w="2165"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064E3F41" w14:textId="77777777" w:rsidR="00D43313" w:rsidRPr="005674D6" w:rsidRDefault="6772E450" w:rsidP="52B404F0">
            <w:pPr>
              <w:rPr>
                <w:b/>
                <w:bCs/>
              </w:rPr>
            </w:pPr>
            <w:r w:rsidRPr="52B404F0">
              <w:rPr>
                <w:b/>
                <w:bCs/>
                <w:lang w:val="en"/>
              </w:rPr>
              <w:t>Titles of Contributors</w:t>
            </w:r>
            <w:r w:rsidRPr="52B404F0">
              <w:rPr>
                <w:b/>
                <w:bCs/>
              </w:rPr>
              <w:t> </w:t>
            </w:r>
          </w:p>
        </w:tc>
        <w:tc>
          <w:tcPr>
            <w:tcW w:w="1683" w:type="pct"/>
            <w:tcBorders>
              <w:top w:val="single" w:sz="6" w:space="0" w:color="000000" w:themeColor="text1"/>
              <w:left w:val="nil"/>
              <w:bottom w:val="single" w:sz="6" w:space="0" w:color="000000" w:themeColor="text1"/>
              <w:right w:val="nil"/>
            </w:tcBorders>
            <w:shd w:val="clear" w:color="auto" w:fill="F2F2F2" w:themeFill="background2" w:themeFillShade="F2"/>
            <w:vAlign w:val="center"/>
            <w:hideMark/>
          </w:tcPr>
          <w:p w14:paraId="02DD5FDB" w14:textId="77777777" w:rsidR="00D43313" w:rsidRPr="005674D6" w:rsidRDefault="6772E450" w:rsidP="52B404F0">
            <w:pPr>
              <w:rPr>
                <w:b/>
                <w:bCs/>
              </w:rPr>
            </w:pPr>
            <w:r w:rsidRPr="52B404F0">
              <w:rPr>
                <w:b/>
                <w:bCs/>
                <w:lang w:val="en"/>
              </w:rPr>
              <w:t>States of Contributors</w:t>
            </w:r>
            <w:r w:rsidRPr="52B404F0">
              <w:rPr>
                <w:b/>
                <w:bCs/>
              </w:rPr>
              <w:t> </w:t>
            </w:r>
          </w:p>
        </w:tc>
      </w:tr>
      <w:tr w:rsidR="00D43313" w:rsidRPr="005674D6" w14:paraId="2AE8C673" w14:textId="77777777" w:rsidTr="52B404F0">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4E087EC5" w14:textId="77777777" w:rsidR="00D43313" w:rsidRPr="005674D6" w:rsidRDefault="6772E450" w:rsidP="52B404F0">
            <w:pPr>
              <w:rPr>
                <w:rFonts w:ascii="Inter" w:eastAsia="Inter" w:hAnsi="Inter" w:cs="Inter"/>
                <w:lang w:val="en"/>
              </w:rPr>
            </w:pPr>
            <w:r w:rsidRPr="52B404F0">
              <w:rPr>
                <w:lang w:val="en"/>
              </w:rPr>
              <w:t>Gabrielle Lessard</w:t>
            </w:r>
          </w:p>
        </w:tc>
        <w:tc>
          <w:tcPr>
            <w:tcW w:w="2165" w:type="pct"/>
            <w:tcBorders>
              <w:top w:val="single" w:sz="6" w:space="0" w:color="000000" w:themeColor="text1"/>
              <w:left w:val="nil"/>
              <w:bottom w:val="single" w:sz="6" w:space="0" w:color="000000" w:themeColor="text1"/>
              <w:right w:val="nil"/>
            </w:tcBorders>
            <w:vAlign w:val="center"/>
            <w:hideMark/>
          </w:tcPr>
          <w:p w14:paraId="36F41EE2" w14:textId="77777777" w:rsidR="00D43313" w:rsidRPr="005674D6" w:rsidRDefault="6772E450" w:rsidP="52B404F0">
            <w:r>
              <w:t>Attorney, Health Equity and Access Office</w:t>
            </w:r>
          </w:p>
        </w:tc>
        <w:tc>
          <w:tcPr>
            <w:tcW w:w="1683" w:type="pct"/>
            <w:tcBorders>
              <w:top w:val="single" w:sz="6" w:space="0" w:color="000000" w:themeColor="text1"/>
              <w:left w:val="nil"/>
              <w:bottom w:val="single" w:sz="6" w:space="0" w:color="000000" w:themeColor="text1"/>
              <w:right w:val="nil"/>
            </w:tcBorders>
            <w:vAlign w:val="center"/>
            <w:hideMark/>
          </w:tcPr>
          <w:p w14:paraId="4E5195B3" w14:textId="77777777" w:rsidR="00D43313" w:rsidRPr="005674D6" w:rsidRDefault="6772E450" w:rsidP="52B404F0">
            <w:pPr>
              <w:rPr>
                <w:rFonts w:ascii="Inter" w:eastAsia="Inter" w:hAnsi="Inter" w:cs="Inter"/>
                <w:lang w:val="en"/>
              </w:rPr>
            </w:pPr>
            <w:r w:rsidRPr="52B404F0">
              <w:rPr>
                <w:lang w:val="en"/>
              </w:rPr>
              <w:t>California</w:t>
            </w:r>
          </w:p>
        </w:tc>
      </w:tr>
      <w:tr w:rsidR="00D43313" w:rsidRPr="005674D6" w14:paraId="3DC56969" w14:textId="77777777" w:rsidTr="52B404F0">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3F11FC20" w14:textId="77777777" w:rsidR="00D43313" w:rsidRPr="005674D6" w:rsidRDefault="6772E450" w:rsidP="52B404F0">
            <w:pPr>
              <w:rPr>
                <w:rFonts w:ascii="Inter" w:eastAsia="Inter" w:hAnsi="Inter" w:cs="Inter"/>
                <w:lang w:val="en"/>
              </w:rPr>
            </w:pPr>
            <w:r w:rsidRPr="52B404F0">
              <w:rPr>
                <w:lang w:val="en"/>
              </w:rPr>
              <w:t>Megan Mason</w:t>
            </w:r>
          </w:p>
        </w:tc>
        <w:tc>
          <w:tcPr>
            <w:tcW w:w="2165" w:type="pct"/>
            <w:tcBorders>
              <w:top w:val="single" w:sz="6" w:space="0" w:color="000000" w:themeColor="text1"/>
              <w:left w:val="nil"/>
              <w:bottom w:val="single" w:sz="6" w:space="0" w:color="000000" w:themeColor="text1"/>
              <w:right w:val="nil"/>
            </w:tcBorders>
            <w:vAlign w:val="center"/>
            <w:hideMark/>
          </w:tcPr>
          <w:p w14:paraId="30022301" w14:textId="77777777" w:rsidR="00D43313" w:rsidRPr="005674D6" w:rsidRDefault="6772E450" w:rsidP="52B404F0">
            <w:pPr>
              <w:rPr>
                <w:rFonts w:ascii="Inter" w:eastAsia="Inter" w:hAnsi="Inter" w:cs="Inter"/>
                <w:lang w:val="en"/>
              </w:rPr>
            </w:pPr>
            <w:r>
              <w:t>Associate Commissioner of Life and Health</w:t>
            </w:r>
          </w:p>
        </w:tc>
        <w:tc>
          <w:tcPr>
            <w:tcW w:w="1683" w:type="pct"/>
            <w:tcBorders>
              <w:top w:val="single" w:sz="6" w:space="0" w:color="000000" w:themeColor="text1"/>
              <w:left w:val="nil"/>
              <w:bottom w:val="single" w:sz="6" w:space="0" w:color="000000" w:themeColor="text1"/>
              <w:right w:val="nil"/>
            </w:tcBorders>
            <w:vAlign w:val="center"/>
            <w:hideMark/>
          </w:tcPr>
          <w:p w14:paraId="5D05ACDC" w14:textId="77777777" w:rsidR="00D43313" w:rsidRPr="005674D6" w:rsidRDefault="6772E450" w:rsidP="52B404F0">
            <w:pPr>
              <w:rPr>
                <w:rFonts w:ascii="Inter" w:eastAsia="Inter" w:hAnsi="Inter" w:cs="Inter"/>
                <w:lang w:val="en"/>
              </w:rPr>
            </w:pPr>
            <w:r w:rsidRPr="52B404F0">
              <w:rPr>
                <w:lang w:val="en"/>
              </w:rPr>
              <w:t>Maryland</w:t>
            </w:r>
          </w:p>
        </w:tc>
      </w:tr>
      <w:tr w:rsidR="00D43313" w:rsidRPr="005674D6" w14:paraId="6068AF0E" w14:textId="77777777" w:rsidTr="52B404F0">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5969B3CA" w14:textId="77777777" w:rsidR="00D43313" w:rsidRPr="005674D6" w:rsidRDefault="6772E450" w:rsidP="52B404F0">
            <w:pPr>
              <w:rPr>
                <w:rFonts w:ascii="Inter" w:eastAsia="Inter" w:hAnsi="Inter" w:cs="Inter"/>
                <w:lang w:val="en"/>
              </w:rPr>
            </w:pPr>
            <w:r w:rsidRPr="52B404F0">
              <w:rPr>
                <w:lang w:val="en"/>
              </w:rPr>
              <w:t>Kristin Cly</w:t>
            </w:r>
          </w:p>
        </w:tc>
        <w:tc>
          <w:tcPr>
            <w:tcW w:w="2165" w:type="pct"/>
            <w:tcBorders>
              <w:top w:val="single" w:sz="6" w:space="0" w:color="000000" w:themeColor="text1"/>
              <w:left w:val="nil"/>
              <w:bottom w:val="single" w:sz="6" w:space="0" w:color="000000" w:themeColor="text1"/>
              <w:right w:val="nil"/>
            </w:tcBorders>
            <w:vAlign w:val="center"/>
            <w:hideMark/>
          </w:tcPr>
          <w:p w14:paraId="472333A2" w14:textId="77777777" w:rsidR="00D43313" w:rsidRPr="005674D6" w:rsidRDefault="6772E450" w:rsidP="52B404F0">
            <w:pPr>
              <w:rPr>
                <w:rFonts w:ascii="Inter" w:eastAsia="Inter" w:hAnsi="Inter" w:cs="Inter"/>
                <w:lang w:val="en"/>
              </w:rPr>
            </w:pPr>
            <w:r>
              <w:t>Senior Legal Counsel, Ohio Department of Insurance</w:t>
            </w:r>
          </w:p>
        </w:tc>
        <w:tc>
          <w:tcPr>
            <w:tcW w:w="1683" w:type="pct"/>
            <w:tcBorders>
              <w:top w:val="single" w:sz="6" w:space="0" w:color="000000" w:themeColor="text1"/>
              <w:left w:val="nil"/>
              <w:bottom w:val="single" w:sz="6" w:space="0" w:color="000000" w:themeColor="text1"/>
              <w:right w:val="nil"/>
            </w:tcBorders>
            <w:vAlign w:val="center"/>
            <w:hideMark/>
          </w:tcPr>
          <w:p w14:paraId="2C80B33B" w14:textId="77777777" w:rsidR="00D43313" w:rsidRPr="005674D6" w:rsidRDefault="6772E450" w:rsidP="52B404F0">
            <w:pPr>
              <w:rPr>
                <w:rFonts w:ascii="Inter" w:eastAsia="Inter" w:hAnsi="Inter" w:cs="Inter"/>
                <w:lang w:val="en"/>
              </w:rPr>
            </w:pPr>
            <w:r w:rsidRPr="52B404F0">
              <w:rPr>
                <w:lang w:val="en"/>
              </w:rPr>
              <w:t>Ohio</w:t>
            </w:r>
          </w:p>
        </w:tc>
      </w:tr>
      <w:tr w:rsidR="00D43313" w:rsidRPr="005674D6" w14:paraId="046F6F77" w14:textId="77777777" w:rsidTr="52B404F0">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2B109703" w14:textId="77777777" w:rsidR="00D43313" w:rsidRPr="005674D6" w:rsidRDefault="6772E450" w:rsidP="52B404F0">
            <w:pPr>
              <w:rPr>
                <w:rFonts w:ascii="Inter" w:eastAsia="Inter" w:hAnsi="Inter" w:cs="Inter"/>
                <w:lang w:val="en"/>
              </w:rPr>
            </w:pPr>
            <w:r w:rsidRPr="52B404F0">
              <w:rPr>
                <w:lang w:val="en"/>
              </w:rPr>
              <w:t>Ashley Severyn</w:t>
            </w:r>
          </w:p>
        </w:tc>
        <w:tc>
          <w:tcPr>
            <w:tcW w:w="2165" w:type="pct"/>
            <w:tcBorders>
              <w:top w:val="single" w:sz="6" w:space="0" w:color="000000" w:themeColor="text1"/>
              <w:left w:val="nil"/>
              <w:bottom w:val="single" w:sz="6" w:space="0" w:color="000000" w:themeColor="text1"/>
              <w:right w:val="nil"/>
            </w:tcBorders>
            <w:vAlign w:val="center"/>
            <w:hideMark/>
          </w:tcPr>
          <w:p w14:paraId="367E0949" w14:textId="77777777" w:rsidR="00D43313" w:rsidRPr="005674D6" w:rsidRDefault="6772E450" w:rsidP="52B404F0">
            <w:pPr>
              <w:rPr>
                <w:rFonts w:ascii="Inter" w:eastAsia="Inter" w:hAnsi="Inter" w:cs="Inter"/>
                <w:lang w:val="en"/>
              </w:rPr>
            </w:pPr>
            <w:r>
              <w:t>Pharmacy Consultant</w:t>
            </w:r>
          </w:p>
        </w:tc>
        <w:tc>
          <w:tcPr>
            <w:tcW w:w="1683" w:type="pct"/>
            <w:tcBorders>
              <w:top w:val="single" w:sz="6" w:space="0" w:color="000000" w:themeColor="text1"/>
              <w:left w:val="nil"/>
              <w:bottom w:val="single" w:sz="6" w:space="0" w:color="000000" w:themeColor="text1"/>
              <w:right w:val="nil"/>
            </w:tcBorders>
            <w:vAlign w:val="center"/>
            <w:hideMark/>
          </w:tcPr>
          <w:p w14:paraId="1C36FC08" w14:textId="77777777" w:rsidR="00D43313" w:rsidRPr="005674D6" w:rsidRDefault="6772E450" w:rsidP="52B404F0">
            <w:pPr>
              <w:rPr>
                <w:rFonts w:ascii="Inter" w:eastAsia="Inter" w:hAnsi="Inter" w:cs="Inter"/>
                <w:lang w:val="en"/>
              </w:rPr>
            </w:pPr>
            <w:r w:rsidRPr="52B404F0">
              <w:rPr>
                <w:lang w:val="en"/>
              </w:rPr>
              <w:t>South Dakota</w:t>
            </w:r>
          </w:p>
        </w:tc>
      </w:tr>
      <w:tr w:rsidR="00D43313" w:rsidRPr="005674D6" w14:paraId="41154F51" w14:textId="77777777" w:rsidTr="52B404F0">
        <w:trPr>
          <w:trHeight w:val="450"/>
        </w:trPr>
        <w:tc>
          <w:tcPr>
            <w:tcW w:w="1152" w:type="pct"/>
            <w:tcBorders>
              <w:top w:val="single" w:sz="6" w:space="0" w:color="000000" w:themeColor="text1"/>
              <w:left w:val="nil"/>
              <w:bottom w:val="single" w:sz="6" w:space="0" w:color="000000" w:themeColor="text1"/>
              <w:right w:val="nil"/>
            </w:tcBorders>
            <w:vAlign w:val="center"/>
            <w:hideMark/>
          </w:tcPr>
          <w:p w14:paraId="4213D051" w14:textId="77777777" w:rsidR="00D43313" w:rsidRPr="005674D6" w:rsidRDefault="6772E450" w:rsidP="52B404F0">
            <w:pPr>
              <w:rPr>
                <w:rFonts w:ascii="Inter" w:eastAsia="Inter" w:hAnsi="Inter" w:cs="Inter"/>
                <w:lang w:val="en"/>
              </w:rPr>
            </w:pPr>
            <w:r w:rsidRPr="52B404F0">
              <w:rPr>
                <w:lang w:val="en"/>
              </w:rPr>
              <w:t>Joylynn Fix</w:t>
            </w:r>
          </w:p>
        </w:tc>
        <w:tc>
          <w:tcPr>
            <w:tcW w:w="2165" w:type="pct"/>
            <w:tcBorders>
              <w:top w:val="single" w:sz="6" w:space="0" w:color="000000" w:themeColor="text1"/>
              <w:left w:val="nil"/>
              <w:bottom w:val="single" w:sz="6" w:space="0" w:color="000000" w:themeColor="text1"/>
              <w:right w:val="nil"/>
            </w:tcBorders>
            <w:vAlign w:val="center"/>
            <w:hideMark/>
          </w:tcPr>
          <w:p w14:paraId="0D2B9416" w14:textId="77777777" w:rsidR="00D43313" w:rsidRPr="005674D6" w:rsidRDefault="6772E450" w:rsidP="52B404F0">
            <w:pPr>
              <w:rPr>
                <w:rFonts w:ascii="Inter" w:eastAsia="Inter" w:hAnsi="Inter" w:cs="Inter"/>
                <w:lang w:val="en"/>
              </w:rPr>
            </w:pPr>
            <w:r>
              <w:t>Life and Health Director</w:t>
            </w:r>
          </w:p>
        </w:tc>
        <w:tc>
          <w:tcPr>
            <w:tcW w:w="1683" w:type="pct"/>
            <w:tcBorders>
              <w:top w:val="single" w:sz="6" w:space="0" w:color="000000" w:themeColor="text1"/>
              <w:left w:val="nil"/>
              <w:bottom w:val="single" w:sz="6" w:space="0" w:color="000000" w:themeColor="text1"/>
              <w:right w:val="nil"/>
            </w:tcBorders>
            <w:vAlign w:val="center"/>
            <w:hideMark/>
          </w:tcPr>
          <w:p w14:paraId="5BDCCF9B" w14:textId="77777777" w:rsidR="00D43313" w:rsidRPr="005674D6" w:rsidRDefault="6772E450" w:rsidP="52B404F0">
            <w:pPr>
              <w:rPr>
                <w:rFonts w:ascii="Inter" w:eastAsia="Inter" w:hAnsi="Inter" w:cs="Inter"/>
                <w:lang w:val="en"/>
              </w:rPr>
            </w:pPr>
            <w:r w:rsidRPr="52B404F0">
              <w:rPr>
                <w:lang w:val="en"/>
              </w:rPr>
              <w:t>West Virginia</w:t>
            </w:r>
          </w:p>
        </w:tc>
      </w:tr>
    </w:tbl>
    <w:p w14:paraId="6990A061" w14:textId="77777777" w:rsidR="00D43313" w:rsidRPr="005674D6" w:rsidRDefault="00D43313" w:rsidP="00646036">
      <w:pPr>
        <w:rPr>
          <w:lang w:val="en"/>
        </w:rPr>
      </w:pPr>
    </w:p>
    <w:p w14:paraId="6C658DCA" w14:textId="77777777" w:rsidR="00D43313" w:rsidRPr="005674D6" w:rsidRDefault="00D43313" w:rsidP="00D96053">
      <w:pPr>
        <w:pStyle w:val="NonTOCHeading"/>
        <w:rPr>
          <w:bCs/>
          <w:lang w:val="en"/>
        </w:rPr>
      </w:pPr>
      <w:r w:rsidRPr="005674D6">
        <w:rPr>
          <w:lang w:val="en"/>
        </w:rPr>
        <w:t>Connection to Affordability</w:t>
      </w:r>
    </w:p>
    <w:p w14:paraId="0EFD7572" w14:textId="6F25970F" w:rsidR="00D43313" w:rsidRPr="005674D6" w:rsidRDefault="00D43313" w:rsidP="00646036">
      <w:r w:rsidRPr="005674D6">
        <w:t xml:space="preserve">Prescription drugs account for a significant share of overall </w:t>
      </w:r>
      <w:r w:rsidR="007C1C4E">
        <w:t>health care</w:t>
      </w:r>
      <w:r w:rsidRPr="005674D6">
        <w:t xml:space="preserve"> costs, ranging from an estimated 11% of personal expenditures to over 25% of commercial health insurance premium dollars. With the advent of online drug platforms and the overall increase in the use of telehealth services since the COVID pandemic, more consumers are shopping around for prescription discounts that may or may not coordinate with their insurance plan. If the spending associated with these online delivery methods can be integrated into a consumer’s coverage, then a fuller picture of usage and out-of-pocket costs can be seen. This transparency can lead to more competitive pricing, more cohesive care, and acknowledgement of </w:t>
      </w:r>
      <w:r w:rsidR="007C1C4E">
        <w:t>health care</w:t>
      </w:r>
      <w:r w:rsidRPr="005674D6">
        <w:t xml:space="preserve"> costs that are currently unaccounted for.</w:t>
      </w:r>
    </w:p>
    <w:p w14:paraId="2C8F6205" w14:textId="77777777" w:rsidR="00D43313" w:rsidRPr="005674D6" w:rsidRDefault="00D43313" w:rsidP="00646036">
      <w:pPr>
        <w:rPr>
          <w:lang w:val="en"/>
        </w:rPr>
      </w:pPr>
    </w:p>
    <w:p w14:paraId="13B017DC" w14:textId="77777777" w:rsidR="00D43313" w:rsidRPr="005674D6" w:rsidRDefault="00D43313" w:rsidP="00D96053">
      <w:pPr>
        <w:pStyle w:val="NonTOCHeading"/>
        <w:rPr>
          <w:bCs/>
          <w:sz w:val="24"/>
          <w:szCs w:val="24"/>
          <w:lang w:val="en"/>
        </w:rPr>
      </w:pPr>
      <w:r w:rsidRPr="005674D6">
        <w:rPr>
          <w:lang w:val="en"/>
        </w:rPr>
        <w:t>Introduction</w:t>
      </w:r>
    </w:p>
    <w:p w14:paraId="659015AE" w14:textId="77777777" w:rsidR="00D43313" w:rsidRPr="005674D6" w:rsidRDefault="00D43313" w:rsidP="00646036">
      <w:pPr>
        <w:rPr>
          <w:rFonts w:ascii="Inter" w:eastAsia="Inter" w:hAnsi="Inter" w:cs="Inter"/>
          <w:lang w:val="en"/>
        </w:rPr>
      </w:pPr>
      <w:r w:rsidRPr="005674D6">
        <w:t xml:space="preserve">This document seeks to address three different types of direct-to-consumer drug purchasing pathways currently available, how those options do or do not interact with the pharmacy benefits typically available through health insurance, and the impact on overall health care affordability. State policy options will be presented along with their benefits and disadvantages. </w:t>
      </w:r>
    </w:p>
    <w:p w14:paraId="639CAE58" w14:textId="77777777" w:rsidR="00D43313" w:rsidRPr="005674D6" w:rsidRDefault="00D43313" w:rsidP="00646036">
      <w:r w:rsidRPr="005674D6">
        <w:t xml:space="preserve">The creation, distribution, and purchasing of drugs is exceedingly complicated and involves many different players. Other NAIC groups are investigating areas such as Pharmacy Benefit Managers and Prescription Drug Affordability Boards, so they will not be addressed here. </w:t>
      </w:r>
    </w:p>
    <w:p w14:paraId="0CD942A9" w14:textId="77777777" w:rsidR="00D43313" w:rsidRPr="005674D6" w:rsidRDefault="00D43313" w:rsidP="00646036"/>
    <w:p w14:paraId="05DEF4F6" w14:textId="77777777" w:rsidR="00D43313" w:rsidRPr="005674D6" w:rsidRDefault="00D43313" w:rsidP="00646036">
      <w:r w:rsidRPr="005674D6">
        <w:t>To fully investigate direct-to-consumer drug platforms, regulators should understand three different ecospheres of prescription drug distribution: discount cards, manufacturer assistance programs, and true direct-to-consumer platforms.</w:t>
      </w:r>
    </w:p>
    <w:p w14:paraId="0F9C9B97" w14:textId="77777777" w:rsidR="002A2F15" w:rsidRPr="005674D6" w:rsidRDefault="002A2F15" w:rsidP="00646036"/>
    <w:p w14:paraId="5568313F" w14:textId="77777777" w:rsidR="00D43313" w:rsidRPr="005674D6" w:rsidRDefault="00D43313" w:rsidP="00D96053">
      <w:pPr>
        <w:pStyle w:val="NonTOCHeading"/>
        <w:rPr>
          <w:bCs/>
        </w:rPr>
      </w:pPr>
      <w:r w:rsidRPr="005674D6">
        <w:t>Discount Cards</w:t>
      </w:r>
    </w:p>
    <w:p w14:paraId="19361A5A" w14:textId="256AEE0C" w:rsidR="00D43313" w:rsidRPr="005674D6" w:rsidRDefault="6772E450" w:rsidP="00646036">
      <w:r>
        <w:t>Discount pharmacy plans and cards offer pre-negotiated cash prices for prescriptions. Discount card vendors often contract with PBMs to provide consumers (“members”) with access to discounted prices at participating pharmacies. Discount card transactions often include an administrative fee that is reflected in the amount paid by the “member” at the point of sale. Because the transaction occurs outside the health plan's benefit structure, consumer payments generally are not applied toward plan deductibles, out-of-pocket maximums, or other cost-sharing accumulators.</w:t>
      </w:r>
      <w:r w:rsidR="1AF0DF51">
        <w:t xml:space="preserve"> </w:t>
      </w:r>
      <w:r>
        <w:t>Significant discounting raises questions about drug pricing transparency and the extent to which negotiated prices accurately reflecting underlying market costs.</w:t>
      </w:r>
    </w:p>
    <w:p w14:paraId="4B9DA7B7" w14:textId="77777777" w:rsidR="00D43313" w:rsidRPr="005674D6" w:rsidRDefault="00D43313" w:rsidP="00646036"/>
    <w:p w14:paraId="7A37FA15" w14:textId="77777777" w:rsidR="00D43313" w:rsidRPr="005674D6" w:rsidRDefault="00D43313" w:rsidP="00D96053">
      <w:pPr>
        <w:pStyle w:val="NonTOCHeading"/>
        <w:rPr>
          <w:bCs/>
        </w:rPr>
      </w:pPr>
      <w:r w:rsidRPr="005674D6">
        <w:t>Manufacturer Assistance Programs</w:t>
      </w:r>
    </w:p>
    <w:p w14:paraId="5081F954" w14:textId="77777777" w:rsidR="00D43313" w:rsidRPr="005674D6" w:rsidRDefault="00D43313" w:rsidP="00646036">
      <w:pPr>
        <w:rPr>
          <w:u w:val="single"/>
        </w:rPr>
      </w:pPr>
      <w:r w:rsidRPr="005674D6">
        <w:t>Manufacturer assistance programs provide free or reduced-cost brand name medications to patients, often through manufacturer coupons used at a local or mail-order pharmacy or via direct shipment to a provider’s office or patient’s home. The card applies a set amount toward the patient’s cost share and may be valid for one-time or multiple uses, subject to manufacturer limits. While the intention is for these programs to benefit the neediest consumers, often they are used by consumers who have insurance to avoid high out-of-pocket costs instituted by the plan.</w:t>
      </w:r>
    </w:p>
    <w:p w14:paraId="2546F58B" w14:textId="77777777" w:rsidR="00D43313" w:rsidRPr="005674D6" w:rsidRDefault="00D43313" w:rsidP="00646036"/>
    <w:p w14:paraId="2E4689CC" w14:textId="21DB38AE" w:rsidR="00D43313" w:rsidRPr="005674D6" w:rsidRDefault="6772E450" w:rsidP="52B404F0">
      <w:pPr>
        <w:rPr>
          <w:lang w:val="en"/>
        </w:rPr>
      </w:pPr>
      <w:r w:rsidRPr="52B404F0">
        <w:rPr>
          <w:lang w:val="en"/>
        </w:rPr>
        <w:t>Manufacturer copay assistance and discount cards are typically available only for a limited period and may not provide a sustainable long-term solution. Consumers are often unaware that these programs have expiration dates or other eligibility limitations. States may want to consider requesting additional transparency of these programs so that consumers understand their limitations, and regulators can better understand the impact they are having on health care affordability in their state.</w:t>
      </w:r>
    </w:p>
    <w:p w14:paraId="632128B4" w14:textId="77777777" w:rsidR="00D43313" w:rsidRPr="005674D6" w:rsidRDefault="00D43313" w:rsidP="00646036"/>
    <w:p w14:paraId="0A237A2E" w14:textId="77777777" w:rsidR="00D43313" w:rsidRPr="005674D6" w:rsidRDefault="00D43313" w:rsidP="00646036">
      <w:r w:rsidRPr="005674D6">
        <w:t>Additionally, accumulator adjustment programs (AAPs) used by plans and PBMs prevent manufacturer assistance from being applied toward the consumer’s deductible or out-of-pocket maximum. Twenty-five (25) states, D.C. and Puerto Rico have addressed this practice by passing laws requiring that any copay assistance be applied to a patient’s cost-sharing limits. In these cases, the consumer has incurred little or no direct cost because the manufacturer, rather than the consumer, is funding the assistance.</w:t>
      </w:r>
    </w:p>
    <w:p w14:paraId="0E12E2B2" w14:textId="77777777" w:rsidR="00D43313" w:rsidRPr="005674D6" w:rsidRDefault="00D43313" w:rsidP="00646036"/>
    <w:p w14:paraId="058F920C" w14:textId="77777777" w:rsidR="00D43313" w:rsidRPr="005674D6" w:rsidRDefault="00D43313" w:rsidP="00646036">
      <w:r w:rsidRPr="005674D6">
        <w:t>While these programs typically lower consumers’ out-of-pocket costs at the point of sale, they may result in consumers utilization of higher-cost drugs where clinically appropriate lower-cost alternatives are available. Some commentators believe that such programs suppress the use and ultimately the development of lower-cost products.</w:t>
      </w:r>
    </w:p>
    <w:p w14:paraId="6FE27F7E" w14:textId="77777777" w:rsidR="00D43313" w:rsidRPr="005674D6" w:rsidRDefault="00D43313" w:rsidP="00646036"/>
    <w:p w14:paraId="5F41FA42" w14:textId="77777777" w:rsidR="00D43313" w:rsidRPr="005674D6" w:rsidRDefault="00D43313" w:rsidP="00D96053">
      <w:pPr>
        <w:pStyle w:val="NonTOCHeading"/>
        <w:rPr>
          <w:bCs/>
        </w:rPr>
      </w:pPr>
      <w:r w:rsidRPr="005674D6">
        <w:t>Direct-to-Consumer Platforms</w:t>
      </w:r>
    </w:p>
    <w:p w14:paraId="012AAEFD" w14:textId="77777777" w:rsidR="00D43313" w:rsidRPr="005674D6" w:rsidRDefault="00D43313" w:rsidP="00646036">
      <w:r w:rsidRPr="005674D6">
        <w:t xml:space="preserve">Direct-to-Consumer pharmacies provide consumers with access to medications at a cash price that is not adjudicated through their health insurance coverage. These pharmacies may offer lower prices for certain drugs; however, because the transaction occurs outside the health plan's benefit structure, consumer payments generally are not applied toward plan deductibles, out-of-pocket maximums, or other cost-sharing accumulators. While new online platforms have generated public attention to Direct-to-Consumer sales, many chain pharmacies have long-standing discount programs that operate similarly. </w:t>
      </w:r>
    </w:p>
    <w:p w14:paraId="5D87E0CC" w14:textId="77777777" w:rsidR="00D43313" w:rsidRPr="005674D6" w:rsidRDefault="00D43313" w:rsidP="00646036"/>
    <w:p w14:paraId="40C7D77D" w14:textId="77777777" w:rsidR="00D43313" w:rsidRPr="005674D6" w:rsidRDefault="00D43313" w:rsidP="00646036">
      <w:r w:rsidRPr="005674D6">
        <w:t xml:space="preserve">Direct-to-Consumer sales offered by pharmaceutical manufacturers involve providing medication to consumers at a discounted cash price. Consumers create an online account to obtain prescription medications at prices that may be cheaper cash prices, with the medications mailed to their homes via mail order pharmacy. Because the transaction occurs outside the health plan's benefit structure, consumer payments generally are not applied toward plan deductibles, out-of-pocket maximums, or other cost-sharing accumulators. </w:t>
      </w:r>
    </w:p>
    <w:p w14:paraId="4DA2B27F" w14:textId="77777777" w:rsidR="00D43313" w:rsidRPr="005674D6" w:rsidRDefault="00D43313" w:rsidP="00646036"/>
    <w:p w14:paraId="75A6950A" w14:textId="77777777" w:rsidR="00D43313" w:rsidRPr="005674D6" w:rsidRDefault="00D43313" w:rsidP="00646036">
      <w:pPr>
        <w:rPr>
          <w:rFonts w:ascii="Inter" w:eastAsia="Inter" w:hAnsi="Inter" w:cs="Inter"/>
          <w:lang w:val="en"/>
        </w:rPr>
      </w:pPr>
      <w:r w:rsidRPr="005674D6">
        <w:t xml:space="preserve">Direct-to-Consumer Telehealth platforms provide telehealth medical appointments and mail order drug purchases virtually to patients. Some platforms accept insurance; however, the model we are exploring in this paper does not accept insurance. Because the transaction occurs outside the health plan's benefit structure, consumer payments generally are not applied toward plan deductibles, out-of-pocket maximums, or other cost-sharing accumulators. </w:t>
      </w:r>
    </w:p>
    <w:p w14:paraId="12B097D9" w14:textId="77777777" w:rsidR="00D43313" w:rsidRPr="005674D6" w:rsidRDefault="00D43313" w:rsidP="00646036"/>
    <w:p w14:paraId="1BBE1303" w14:textId="747C1D75" w:rsidR="00D43313" w:rsidRPr="005674D6" w:rsidRDefault="6772E450" w:rsidP="00646036">
      <w:r>
        <w:t>A commentator notes that Direct to Consumer sales can limit the visibility of the consumer’s full medication regimen to their health plan, potentially interfering with care coordination, medication adherence and the ability to identify potential interactions or duplicative treatment.</w:t>
      </w:r>
    </w:p>
    <w:p w14:paraId="3E7AF506" w14:textId="77777777" w:rsidR="002A2F15" w:rsidRPr="005674D6" w:rsidRDefault="002A2F15" w:rsidP="00646036"/>
    <w:p w14:paraId="65EC0FE3" w14:textId="77777777" w:rsidR="00D43313" w:rsidRPr="005674D6" w:rsidRDefault="00D43313" w:rsidP="00D96053">
      <w:pPr>
        <w:pStyle w:val="NonTOCHeading"/>
        <w:rPr>
          <w:bCs/>
          <w:lang w:val="en"/>
        </w:rPr>
      </w:pPr>
      <w:r w:rsidRPr="005674D6">
        <w:rPr>
          <w:lang w:val="en"/>
        </w:rPr>
        <w:t>Premium Impact and Savings Analysis</w:t>
      </w:r>
    </w:p>
    <w:p w14:paraId="2C2A6157" w14:textId="77777777" w:rsidR="00D43313" w:rsidRPr="005674D6" w:rsidRDefault="00D43313" w:rsidP="00646036">
      <w:r w:rsidRPr="005674D6">
        <w:t>The effects of direct-to-consumer drug platforms, discount pharmacy cards, and manufacturer assistance programs on health insurance affordability are complex. They depend on the specific products purchased, their value, the prices available through each pathway, as well as how the programs impact the behavior of consumers and other market participants. These programs could reduce overall health costs if they provide affordable access to effective medications that consumers would not otherwise find affordable. However, they may raise overall health costs if they lead to the use of more drugs or more expensive drugs without commensurate health benefits. Because they operate outside of existing pharmacy benefits, they may shift spending away from insurance providers without reducing overall system costs.</w:t>
      </w:r>
    </w:p>
    <w:p w14:paraId="70E51354" w14:textId="77777777" w:rsidR="00D43313" w:rsidRPr="005674D6" w:rsidRDefault="00D43313" w:rsidP="00646036">
      <w:r w:rsidRPr="005674D6">
        <w:t xml:space="preserve">The impact of these drug programs also varies from person to person. For the uninsured, these programs may provide valuable discounts on drugs. The savings are harder to quantify for consumers with insurance, and may depend on the specific medication, the plan’s formulary and benefit design and whether the consumer has met their deductible. If a drug isn’t covered by a consumer’s plan, these drug programs </w:t>
      </w:r>
      <w:r w:rsidRPr="005674D6">
        <w:rPr>
          <w:i/>
          <w:iCs/>
        </w:rPr>
        <w:t>may</w:t>
      </w:r>
      <w:r w:rsidRPr="005674D6">
        <w:t xml:space="preserve"> save the consumer money. It is important to remember there may be an alternative medication, such as a generic, available that is covered by the plan or an exceptions process that could allow coverage for a drug excluded from a plan formulary. By using one of these programs instead of using a covered alternative, a consumer may incur out-of-pocket costs that are not applied to their deductible or out of pocket maximum.</w:t>
      </w:r>
    </w:p>
    <w:p w14:paraId="1F237DB8" w14:textId="77777777" w:rsidR="00D43313" w:rsidRPr="005674D6" w:rsidRDefault="00D43313" w:rsidP="00646036"/>
    <w:p w14:paraId="2F9ACD98" w14:textId="77777777" w:rsidR="00D43313" w:rsidRPr="005674D6" w:rsidRDefault="00D43313" w:rsidP="00646036">
      <w:r w:rsidRPr="005674D6">
        <w:t>It is important to distinguish between Direct-to-Consumer pharmacy programs, discount pharmacy cards, and manufacturer assistance programs. When a Direct-to-Consumer pharmacy or discount pharmacy card is used, the consumer pays the cost of the prescription out of pocket, often at a discounted cash price. These payments generally are not credited toward the consumer’s deductible or out-of-pocket maximum because the claim is not processed through the health plan, thus the consumer incurs an actual financial expense.</w:t>
      </w:r>
    </w:p>
    <w:p w14:paraId="60CDFA36" w14:textId="77777777" w:rsidR="00D43313" w:rsidRPr="005674D6" w:rsidRDefault="00D43313" w:rsidP="00646036"/>
    <w:p w14:paraId="5904DA15" w14:textId="77777777" w:rsidR="00D43313" w:rsidRPr="005674D6" w:rsidRDefault="00D43313" w:rsidP="00646036">
      <w:r w:rsidRPr="005674D6">
        <w:t>Manufacturer assistance programs reduce or eliminate the consumer’s out-of-pocket cost through financial support provided by the drug manufacturer. While the value of this assistance generally is not applied toward the consumer’s deductible or out-of-pocket maximum, the consumer has incurred little or no cost because the manufacturer, rather than the consumer, is funding the assistance.</w:t>
      </w:r>
    </w:p>
    <w:p w14:paraId="2A2F4A1F" w14:textId="77777777" w:rsidR="00D43313" w:rsidRPr="005674D6" w:rsidRDefault="00D43313" w:rsidP="00646036"/>
    <w:p w14:paraId="733B4FB7" w14:textId="77777777" w:rsidR="00D43313" w:rsidRPr="005674D6" w:rsidRDefault="00D43313" w:rsidP="00646036">
      <w:r w:rsidRPr="005674D6">
        <w:t>If a drug is covered by a consumer’s plan, Direct-to-Consumer pharmacies and discount pharmacy cards may provide lower upfront costs, however, this could ultimately work against consumers because amounts paid for drugs purchased using Direct-to-Consumer pharmacies or discount pharmacy cards are typically not counted towards the consumers deductibles. As a result, a consumer may continue to incur cost-sharing obligations for other covered services, such as physician visits or medical procedures, for a longer period than if the prescription had been obtained through the health plan.</w:t>
      </w:r>
    </w:p>
    <w:p w14:paraId="456E121F" w14:textId="77777777" w:rsidR="00D43313" w:rsidRPr="005674D6" w:rsidRDefault="00D43313" w:rsidP="00646036"/>
    <w:p w14:paraId="2ABA05CE" w14:textId="4BD9D882" w:rsidR="00D43313" w:rsidRPr="005674D6" w:rsidRDefault="6772E450" w:rsidP="00646036">
      <w:r>
        <w:t>Manufacturer coupons are issued for brand name drugs to keep them competitive with generics by offering consumers short-term savings at the point of purchase. Consumers pay less out of pocket, which encourages them to use the brand-name version of a drug, even when a less expensive generic or biosimilar version might be available through their plan. Some insurers say this encourages the unnecessary use of more expensive drugs which results in higher premiums and overall costs to consumers.</w:t>
      </w:r>
    </w:p>
    <w:p w14:paraId="3D7D81CF" w14:textId="77777777" w:rsidR="00D43313" w:rsidRPr="005674D6" w:rsidRDefault="00D43313" w:rsidP="00646036"/>
    <w:p w14:paraId="12E9B11A" w14:textId="752BA143" w:rsidR="00D43313" w:rsidRPr="005674D6" w:rsidRDefault="6772E450" w:rsidP="00646036">
      <w:r>
        <w:t>To mitigate the effect of manufacturer coupons on formulary design, some insurers use copay adjustment programs. The two most common types are Copay Accumulators and Copay Maximizers. In both of these situations, consumers may use drug coupons, but the value of the manufacturer assistance is not applied to the plan’s deductible or out-of-pocket maximum. As a result, consumers may not reach those limits and may face out-of-pocket costs if manufacturer assistance is exhausted before the end of the plan year. Some maximizer programs are designed to address this possibility by using a third party to spread the value of the manufacturer's assistance over the course of the benefit year, reducing the likelihood the assistance will be depleted prematurely.</w:t>
      </w:r>
    </w:p>
    <w:p w14:paraId="2DCF9E57" w14:textId="77777777" w:rsidR="002A2F15" w:rsidRPr="005674D6" w:rsidRDefault="002A2F15" w:rsidP="00646036"/>
    <w:p w14:paraId="2A3BF030" w14:textId="77777777" w:rsidR="00D43313" w:rsidRPr="005674D6" w:rsidRDefault="00D43313" w:rsidP="00BC366B">
      <w:pPr>
        <w:pStyle w:val="NonTOCHeading"/>
        <w:rPr>
          <w:bCs/>
          <w:lang w:val="en"/>
        </w:rPr>
      </w:pPr>
      <w:r w:rsidRPr="005674D6">
        <w:rPr>
          <w:lang w:val="en"/>
        </w:rPr>
        <w:t xml:space="preserve">Direct-to-Consumer Drug Platform State Policy Options </w:t>
      </w:r>
    </w:p>
    <w:p w14:paraId="587A2EB0" w14:textId="77777777" w:rsidR="00D43313" w:rsidRPr="005674D6" w:rsidRDefault="00D43313" w:rsidP="00646036">
      <w:pPr>
        <w:rPr>
          <w:rFonts w:ascii="Inter" w:eastAsia="Inter" w:hAnsi="Inter" w:cs="Inter"/>
          <w:lang w:val="en"/>
        </w:rPr>
      </w:pPr>
      <w:r w:rsidRPr="005674D6">
        <w:t>State policy options for addressing Direct-to-Consumer drug platforms depend on policymakers’ goals and the regulatory tools available for each of the Direct-to-Consumer pathways. States have established extensive regulation of health insurance issuers and pharmacy benefit managers but have less authority and regulatory experience regarding drug manufacturers and drug discount programs. States may wish to ensure out-of-pocket spending limits distinguish between costs paid by the consumer and amounts funded by a manufacturer or other third party and recognize the potential for manufacturer coupons to encourage consumers to use higher cost products.</w:t>
      </w:r>
    </w:p>
    <w:p w14:paraId="625DFA31" w14:textId="77777777" w:rsidR="00D43313" w:rsidRPr="005674D6" w:rsidRDefault="00D43313" w:rsidP="00646036"/>
    <w:p w14:paraId="4A5404FD" w14:textId="77777777" w:rsidR="00D43313" w:rsidRPr="005674D6" w:rsidRDefault="00D43313" w:rsidP="00646036">
      <w:pPr>
        <w:rPr>
          <w:rFonts w:ascii="Inter" w:eastAsia="Inter" w:hAnsi="Inter" w:cs="Inter"/>
          <w:lang w:val="en"/>
        </w:rPr>
      </w:pPr>
      <w:r w:rsidRPr="005674D6">
        <w:t>States have taken several actions to direct how health insurance issuers apply spending to cost-sharing obligations and to make drugs available to consumers. States considering policies that credit consumer expenditures made outside the health plan benefit toward deductibles or annual out-of-pocket limits should consider balancing consumer access to lower prescription drug prices with issuer administrative and actuarial considerations. Key considerations include ensuring credit for legitimate out-of-pocket expenditures, preserving patient-safety and care-coordination mechanisms, maintaining appropriate formulary incentives, limiting opportunities for circumvention by manufacturers or other market participants, and avoiding unintended premium impacts for the broader insured population.</w:t>
      </w:r>
    </w:p>
    <w:p w14:paraId="145039ED" w14:textId="138057EA" w:rsidR="00D43313" w:rsidRPr="005674D6" w:rsidRDefault="6772E450" w:rsidP="00646036">
      <w:pPr>
        <w:rPr>
          <w:lang w:val="en"/>
        </w:rPr>
      </w:pPr>
      <w:r w:rsidRPr="52B404F0">
        <w:rPr>
          <w:lang w:val="en"/>
        </w:rPr>
        <w:t xml:space="preserve"> </w:t>
      </w:r>
    </w:p>
    <w:p w14:paraId="64CAEEAB" w14:textId="77777777" w:rsidR="00D43313" w:rsidRPr="005674D6" w:rsidRDefault="00D43313" w:rsidP="00D96053">
      <w:pPr>
        <w:pStyle w:val="NonTOCHeading"/>
        <w:rPr>
          <w:bCs/>
        </w:rPr>
      </w:pPr>
      <w:r w:rsidRPr="005674D6">
        <w:t>Rules on Out-of-Pocket Calculations</w:t>
      </w:r>
    </w:p>
    <w:p w14:paraId="58331174" w14:textId="77777777" w:rsidR="00D43313" w:rsidRPr="005674D6" w:rsidRDefault="00D43313" w:rsidP="00646036">
      <w:r w:rsidRPr="005674D6">
        <w:t xml:space="preserve">Twenty-five states, the District of Columbia, and Puerto Rico have laws to require any payment or discount made by or on behalf of a consumer to be applied to the consumer’s annual out-of-pocket cost-sharing requirement. Some examples include: </w:t>
      </w:r>
    </w:p>
    <w:p w14:paraId="3A31683B" w14:textId="77777777" w:rsidR="00D43313" w:rsidRPr="005674D6" w:rsidRDefault="00D43313" w:rsidP="00646036"/>
    <w:p w14:paraId="14787827" w14:textId="77777777" w:rsidR="00D43313" w:rsidRPr="00D96053" w:rsidRDefault="6772E450" w:rsidP="00D96053">
      <w:pPr>
        <w:rPr>
          <w:b/>
          <w:bCs/>
          <w:i/>
        </w:rPr>
      </w:pPr>
      <w:r w:rsidRPr="00D96053">
        <w:rPr>
          <w:b/>
          <w:bCs/>
        </w:rPr>
        <w:t>Colorado</w:t>
      </w:r>
    </w:p>
    <w:p w14:paraId="6CA6260A" w14:textId="77777777" w:rsidR="00D43313" w:rsidRPr="005674D6" w:rsidRDefault="00D43313" w:rsidP="00646036">
      <w:r w:rsidRPr="005674D6">
        <w:t>Beginning on January 1, 2028, a health insurance carrier shall account for and credit an out-of-pocket expense that the covered person incurs by purchasing a prescription drug directly from a pharmacy or direct-to-consumer platform when calculating a covered person's contribution to an out-of-pocket maximum or cost-sharing requirement. To receive a credit, an enrollee must provide proof of payment for a direct purchase of a prescription drug, such as an itemized receipt or pharmacy record, within 90 days after making the purchase. The carrier may request additional information or documentation if the proof of payment is insufficient or incomplete. The carrier shall not apply a contribution credit if the amount of a covered person's out-of-pocket expense is greater than the amount the covered person would have incurred if they had obtained the same prescription drug in the same plan year from an in-network pharmacy and pursuant to the terms of their plan or if the enrollee does not comply with the carrier's utilization management processes, including prior authorization and step therapy protocols required under the plan.</w:t>
      </w:r>
    </w:p>
    <w:p w14:paraId="3D0E3E7A" w14:textId="77777777" w:rsidR="00D43313" w:rsidRPr="005674D6" w:rsidRDefault="00D43313" w:rsidP="00646036"/>
    <w:p w14:paraId="667F9713" w14:textId="77777777" w:rsidR="00D43313" w:rsidRPr="00D96053" w:rsidRDefault="6772E450" w:rsidP="00D96053">
      <w:pPr>
        <w:rPr>
          <w:b/>
          <w:bCs/>
          <w:i/>
        </w:rPr>
      </w:pPr>
      <w:r w:rsidRPr="00D96053">
        <w:rPr>
          <w:b/>
          <w:bCs/>
        </w:rPr>
        <w:t>Connecticut</w:t>
      </w:r>
    </w:p>
    <w:p w14:paraId="47D39C0D" w14:textId="77777777" w:rsidR="00D43313" w:rsidRPr="005674D6" w:rsidRDefault="00D43313" w:rsidP="00646036">
      <w:r w:rsidRPr="005674D6">
        <w:t>Beginning July 1, 2026, Connecticut health carriers must credit to an enrollee’s cost-sharing requirement any in-network out</w:t>
      </w:r>
      <w:r w:rsidRPr="005674D6">
        <w:rPr>
          <w:rFonts w:ascii="Inter" w:eastAsia="Inter" w:hAnsi="Inter" w:cs="Inter"/>
          <w:lang w:val="en"/>
        </w:rPr>
        <w:noBreakHyphen/>
      </w:r>
      <w:r w:rsidRPr="005674D6">
        <w:t>of</w:t>
      </w:r>
      <w:r w:rsidRPr="005674D6">
        <w:rPr>
          <w:rFonts w:ascii="Inter" w:eastAsia="Inter" w:hAnsi="Inter" w:cs="Inter"/>
          <w:lang w:val="en"/>
        </w:rPr>
        <w:noBreakHyphen/>
      </w:r>
      <w:r w:rsidRPr="005674D6">
        <w:t>pocket prescription drug payments made directly to a pharmacy or health care provider, as long as no claim for the drug was submitted to the carrier, the drug is a covered benefit, and the drug’s price is below the plan’s or policy’s average in network discounted rate. Carriers must also create a proof</w:t>
      </w:r>
      <w:r w:rsidRPr="005674D6">
        <w:rPr>
          <w:rFonts w:ascii="Inter" w:eastAsia="Inter" w:hAnsi="Inter" w:cs="Inter"/>
          <w:lang w:val="en"/>
        </w:rPr>
        <w:noBreakHyphen/>
      </w:r>
      <w:r w:rsidRPr="005674D6">
        <w:t>of</w:t>
      </w:r>
      <w:r w:rsidRPr="005674D6">
        <w:rPr>
          <w:rFonts w:ascii="Inter" w:eastAsia="Inter" w:hAnsi="Inter" w:cs="Inter"/>
          <w:lang w:val="en"/>
        </w:rPr>
        <w:noBreakHyphen/>
      </w:r>
      <w:r w:rsidRPr="005674D6">
        <w:t>payment form for out-of-pocket prescription drug purchases, post the form online, and provide annual instructions to enrollees on how to access and submit it.</w:t>
      </w:r>
    </w:p>
    <w:p w14:paraId="54401D39" w14:textId="77777777" w:rsidR="002A2F15" w:rsidRPr="005674D6" w:rsidRDefault="002A2F15" w:rsidP="00646036">
      <w:pPr>
        <w:rPr>
          <w:sz w:val="21"/>
          <w:szCs w:val="21"/>
        </w:rPr>
      </w:pPr>
    </w:p>
    <w:p w14:paraId="1C168AFF" w14:textId="77777777" w:rsidR="00D43313" w:rsidRPr="00D96053" w:rsidRDefault="6772E450" w:rsidP="00D96053">
      <w:pPr>
        <w:rPr>
          <w:b/>
          <w:bCs/>
          <w:i/>
        </w:rPr>
      </w:pPr>
      <w:r w:rsidRPr="00D96053">
        <w:rPr>
          <w:b/>
          <w:bCs/>
        </w:rPr>
        <w:t>Maryland</w:t>
      </w:r>
    </w:p>
    <w:p w14:paraId="27DF1E2C" w14:textId="77777777" w:rsidR="00D43313" w:rsidRPr="005674D6" w:rsidRDefault="6772E450" w:rsidP="00646036">
      <w:r>
        <w:t xml:space="preserve">Beginning on January 1, 2026, when calculating an enrollee’s contribution to out–of–pocket costs, insurers shall include any discount, financial assistance payment, product voucher, or other out–of–pocket expense made by or on behalf of the enrollee for a prescription drug. The drug must be either covered under the plan and not have an AB–rated generic equivalent drug or an interchangeable biological product preferred under the health benefit plan’s formulary or have an AB–rated generic equivalent drug or an interchangeable biological product preferred under the health benefit plan’s formulary and the insured or enrollee originally obtained coverage for that product through prior authorization, a step therapy protocol, or the exception or appeal process of the issuer. </w:t>
      </w:r>
    </w:p>
    <w:p w14:paraId="621858D0" w14:textId="30E8AC13" w:rsidR="52B404F0" w:rsidRDefault="52B404F0" w:rsidP="52B404F0">
      <w:pPr>
        <w:pStyle w:val="Heading3"/>
        <w:rPr>
          <w:lang w:val="en"/>
        </w:rPr>
      </w:pPr>
    </w:p>
    <w:p w14:paraId="3595470A" w14:textId="77777777" w:rsidR="00D43313" w:rsidRPr="005674D6" w:rsidRDefault="00D43313" w:rsidP="00D96053">
      <w:pPr>
        <w:pStyle w:val="NonTOCHeading"/>
        <w:rPr>
          <w:bCs/>
          <w:lang w:val="en"/>
        </w:rPr>
      </w:pPr>
      <w:r w:rsidRPr="005674D6">
        <w:rPr>
          <w:lang w:val="en"/>
        </w:rPr>
        <w:t>State Bulk Purchasing</w:t>
      </w:r>
    </w:p>
    <w:p w14:paraId="3AD3284B" w14:textId="77777777" w:rsidR="00D43313" w:rsidRPr="00D96053" w:rsidRDefault="6772E450" w:rsidP="00D96053">
      <w:pPr>
        <w:rPr>
          <w:b/>
          <w:bCs/>
          <w:i/>
        </w:rPr>
      </w:pPr>
      <w:r w:rsidRPr="00D96053">
        <w:rPr>
          <w:b/>
          <w:bCs/>
        </w:rPr>
        <w:t>California</w:t>
      </w:r>
    </w:p>
    <w:p w14:paraId="51BDA108" w14:textId="13BCB2B2" w:rsidR="00D43313" w:rsidRPr="005674D6" w:rsidRDefault="6772E450" w:rsidP="00646036">
      <w:r w:rsidRPr="52B404F0">
        <w:rPr>
          <w:color w:val="1F1F1F"/>
        </w:rPr>
        <w:t xml:space="preserve">CalRx: The </w:t>
      </w:r>
      <w:r>
        <w:t>California Affordable Drug Manufacturing Act of 2020, also known as CalRx, authorizes the state Health and Human Services agency to enter into contracts and partnerships for the purpose of making pharmaceuticals more affordable. The statute authorizes the creation of a California-branded label for generic drugs, with the goals of ensurin</w:t>
      </w:r>
      <w:r w:rsidRPr="52B404F0">
        <w:rPr>
          <w:color w:val="333333"/>
        </w:rPr>
        <w:t xml:space="preserve">g access to generic prescription drugs and lowering health care costs through savings to public health care programs and private health insurance coverage. </w:t>
      </w:r>
      <w:r>
        <w:t>To date, the state has implemented two drug delivery models, promoting access to a biosimilar insulin injection product and a naloxone nasal spray.</w:t>
      </w:r>
    </w:p>
    <w:p w14:paraId="730A360B" w14:textId="46542745" w:rsidR="52B404F0" w:rsidRDefault="52B404F0"/>
    <w:p w14:paraId="72D79D4C" w14:textId="77777777" w:rsidR="00D43313" w:rsidRPr="005674D6" w:rsidRDefault="00D43313" w:rsidP="00932C4D">
      <w:pPr>
        <w:pStyle w:val="ListParagraph"/>
        <w:numPr>
          <w:ilvl w:val="0"/>
          <w:numId w:val="44"/>
        </w:numPr>
        <w:rPr>
          <w:color w:val="111111"/>
        </w:rPr>
      </w:pPr>
      <w:r w:rsidRPr="005674D6">
        <w:rPr>
          <w:color w:val="111111"/>
        </w:rPr>
        <w:t xml:space="preserve">Insulin: Californians with diabetes often struggle to afford needed insulin. CalRx, in partnership with Civica, provides </w:t>
      </w:r>
      <w:r w:rsidRPr="005674D6">
        <w:t xml:space="preserve">Glargine biosimilar insulin pens through participating pharmacies. CalRx Insulin is eligible for health insurance coverage and is available to patients with an existing prescription for similar insulin products. The product is currently priced at $55 for a 10-pack of 3 milliliter pens. The product is not currently available in other formats, such as vials. </w:t>
      </w:r>
    </w:p>
    <w:p w14:paraId="54BA744E" w14:textId="77777777" w:rsidR="00D43313" w:rsidRPr="005674D6" w:rsidRDefault="00D43313" w:rsidP="00932C4D">
      <w:pPr>
        <w:pStyle w:val="ListParagraph"/>
        <w:numPr>
          <w:ilvl w:val="0"/>
          <w:numId w:val="44"/>
        </w:numPr>
      </w:pPr>
      <w:r w:rsidRPr="005674D6">
        <w:t xml:space="preserve">Naloxone: While Naloxone is currently available without a prescription throughout the U.S., it unaffordable for many consumers. California’s CalRx program provides a twin pack of naloxone nasal spray to state residents through participating pharmacies and direct online sales. The product is provided free of charge to first responders, health care providers, schools and community organizations and at a reduced cost, currently $19, to individuals. </w:t>
      </w:r>
    </w:p>
    <w:p w14:paraId="100CAC61" w14:textId="77777777" w:rsidR="00D43313" w:rsidRPr="005674D6" w:rsidRDefault="00D43313" w:rsidP="00646036"/>
    <w:p w14:paraId="513DC91F" w14:textId="5E116C8E" w:rsidR="00D43313" w:rsidRPr="005674D6" w:rsidRDefault="00D43313" w:rsidP="00646036">
      <w:pPr>
        <w:rPr>
          <w:rFonts w:ascii="Inter" w:eastAsia="Inter" w:hAnsi="Inter" w:cs="Inter"/>
          <w:color w:val="1F1F1F"/>
          <w:lang w:val="en"/>
        </w:rPr>
      </w:pPr>
      <w:r w:rsidRPr="005674D6">
        <w:t xml:space="preserve">The CalRx naloxone program is managed by the state Department of </w:t>
      </w:r>
      <w:r w:rsidR="007C1C4E">
        <w:t>Health care</w:t>
      </w:r>
      <w:r w:rsidRPr="005674D6">
        <w:t xml:space="preserve"> Services (DHCS), through a partnership with a manufacturer, Amneal. The program receives financial support from an opioid settlement fund. </w:t>
      </w:r>
    </w:p>
    <w:p w14:paraId="4A5999D4" w14:textId="77777777" w:rsidR="00D43313" w:rsidRPr="005674D6" w:rsidRDefault="00D43313" w:rsidP="00646036"/>
    <w:p w14:paraId="6A6F459C" w14:textId="77777777" w:rsidR="00D43313" w:rsidRPr="005674D6" w:rsidRDefault="00D43313" w:rsidP="00D96053">
      <w:pPr>
        <w:pStyle w:val="NonTOCHeading"/>
        <w:rPr>
          <w:bCs/>
        </w:rPr>
      </w:pPr>
      <w:r w:rsidRPr="005674D6">
        <w:t>Conclusion</w:t>
      </w:r>
    </w:p>
    <w:p w14:paraId="49CE6B94" w14:textId="77777777" w:rsidR="00D43313" w:rsidRPr="005674D6" w:rsidRDefault="00D43313" w:rsidP="00646036">
      <w:r w:rsidRPr="005674D6">
        <w:t>The ability for consumers to access prescriptions through online and mail order platforms has changed the traditional landscape of pharmacy services. These alternative methods are likely to increase and it is important to coordinate with insurers to understand the total cost of care and ensure patient safety. Many of the state options listed above are new, so it is imperative to track the progress of implementation to see how much impact these tools make on the affordability of the plans and the drugs themselves.</w:t>
      </w:r>
    </w:p>
    <w:p w14:paraId="0F01FAEA" w14:textId="77777777" w:rsidR="00D43313" w:rsidRPr="005674D6" w:rsidRDefault="00D43313" w:rsidP="00646036">
      <w:pPr>
        <w:rPr>
          <w:lang w:val="en"/>
        </w:rPr>
      </w:pPr>
    </w:p>
    <w:p w14:paraId="56C223F1" w14:textId="77777777" w:rsidR="00D43313" w:rsidRPr="005674D6" w:rsidRDefault="00D43313" w:rsidP="00D96053">
      <w:pPr>
        <w:pStyle w:val="NonTOCHeading"/>
        <w:rPr>
          <w:bCs/>
          <w:lang w:val="en"/>
        </w:rPr>
      </w:pPr>
      <w:r w:rsidRPr="005674D6">
        <w:rPr>
          <w:lang w:val="en"/>
        </w:rPr>
        <w:t>Sources</w:t>
      </w:r>
    </w:p>
    <w:p w14:paraId="70E9BB93" w14:textId="77777777" w:rsidR="00D43313" w:rsidRPr="00327917" w:rsidRDefault="00D43313" w:rsidP="00646036">
      <w:pPr>
        <w:rPr>
          <w:color w:val="auto"/>
        </w:rPr>
      </w:pPr>
      <w:r w:rsidRPr="00327917">
        <w:rPr>
          <w:color w:val="auto"/>
          <w:lang w:val="en"/>
        </w:rPr>
        <w:t xml:space="preserve">Amneal. </w:t>
      </w:r>
      <w:hyperlink r:id="rId109" w:history="1">
        <w:r w:rsidRPr="001629CF">
          <w:rPr>
            <w:color w:val="0070C0"/>
            <w:u w:val="single"/>
          </w:rPr>
          <w:t>https://amneal.com</w:t>
        </w:r>
      </w:hyperlink>
    </w:p>
    <w:p w14:paraId="51CDED3D" w14:textId="77777777" w:rsidR="00D43313" w:rsidRPr="00327917" w:rsidRDefault="00D43313" w:rsidP="00646036">
      <w:pPr>
        <w:rPr>
          <w:color w:val="auto"/>
        </w:rPr>
      </w:pPr>
    </w:p>
    <w:p w14:paraId="64131A4B" w14:textId="77777777" w:rsidR="00D43313" w:rsidRPr="001629CF" w:rsidRDefault="00D43313" w:rsidP="00646036">
      <w:pPr>
        <w:rPr>
          <w:color w:val="0070C0"/>
        </w:rPr>
      </w:pPr>
      <w:r w:rsidRPr="00327917">
        <w:rPr>
          <w:color w:val="auto"/>
        </w:rPr>
        <w:t xml:space="preserve">CalRx. Biosimilar Insulin Initiative. </w:t>
      </w:r>
      <w:hyperlink r:id="rId110" w:history="1">
        <w:r w:rsidRPr="001629CF">
          <w:rPr>
            <w:color w:val="0070C0"/>
            <w:u w:val="single"/>
          </w:rPr>
          <w:t>https://calrx.ca.gov/biosimilar-insulin-initiative/</w:t>
        </w:r>
      </w:hyperlink>
    </w:p>
    <w:p w14:paraId="4BE4A6FB" w14:textId="77777777" w:rsidR="00D43313" w:rsidRPr="00327917" w:rsidRDefault="00D43313" w:rsidP="00646036">
      <w:pPr>
        <w:rPr>
          <w:color w:val="auto"/>
        </w:rPr>
      </w:pPr>
    </w:p>
    <w:p w14:paraId="1DE6CF11" w14:textId="77777777" w:rsidR="00D43313" w:rsidRPr="001629CF" w:rsidRDefault="00D43313" w:rsidP="00646036">
      <w:pPr>
        <w:rPr>
          <w:color w:val="0070C0"/>
        </w:rPr>
      </w:pPr>
      <w:r w:rsidRPr="00327917">
        <w:rPr>
          <w:color w:val="auto"/>
        </w:rPr>
        <w:t xml:space="preserve">CalRx. Naloxone. </w:t>
      </w:r>
      <w:hyperlink r:id="rId111" w:history="1">
        <w:r w:rsidRPr="001629CF">
          <w:rPr>
            <w:color w:val="0070C0"/>
            <w:u w:val="single"/>
          </w:rPr>
          <w:t>https://calrx.ca.gov/naloxone/</w:t>
        </w:r>
      </w:hyperlink>
    </w:p>
    <w:p w14:paraId="3AA27786" w14:textId="77777777" w:rsidR="00D43313" w:rsidRPr="00327917" w:rsidRDefault="00D43313" w:rsidP="00646036">
      <w:pPr>
        <w:rPr>
          <w:color w:val="auto"/>
        </w:rPr>
      </w:pPr>
    </w:p>
    <w:p w14:paraId="05D019F0" w14:textId="77777777" w:rsidR="00D43313" w:rsidRPr="00327917" w:rsidRDefault="00D43313" w:rsidP="00646036">
      <w:pPr>
        <w:rPr>
          <w:rFonts w:eastAsia="Inter" w:cs="Inter"/>
          <w:color w:val="auto"/>
          <w:lang w:val="en"/>
        </w:rPr>
      </w:pPr>
      <w:r w:rsidRPr="00327917">
        <w:rPr>
          <w:color w:val="auto"/>
        </w:rPr>
        <w:t xml:space="preserve">Civica Rx. California Selects Civica Rx as Its Insulin Manufacturing Partner. </w:t>
      </w:r>
      <w:hyperlink r:id="rId112">
        <w:r w:rsidRPr="001629CF">
          <w:rPr>
            <w:color w:val="0070C0"/>
            <w:u w:val="single"/>
          </w:rPr>
          <w:t>https://civicarx.org/wp-content/uploads/2023/07/Civica-and-California-Partnership-PR-FINAL_3.20-.pdf</w:t>
        </w:r>
      </w:hyperlink>
    </w:p>
    <w:p w14:paraId="1B7FBFE4" w14:textId="77777777" w:rsidR="00D43313" w:rsidRPr="00327917" w:rsidRDefault="00D43313" w:rsidP="00646036">
      <w:pPr>
        <w:rPr>
          <w:color w:val="auto"/>
          <w:lang w:val="en"/>
        </w:rPr>
      </w:pPr>
    </w:p>
    <w:p w14:paraId="0EF14E0C" w14:textId="77777777" w:rsidR="00D43313" w:rsidRPr="00327917" w:rsidRDefault="00D43313" w:rsidP="00646036">
      <w:pPr>
        <w:rPr>
          <w:color w:val="auto"/>
          <w:lang w:val="en"/>
        </w:rPr>
      </w:pPr>
      <w:r w:rsidRPr="00327917">
        <w:rPr>
          <w:color w:val="auto"/>
          <w:lang w:val="en"/>
        </w:rPr>
        <w:t xml:space="preserve">Colorado General Assembly. SB26-167: Prescription Drug Out-of-Pocket Expense Credit (2026). </w:t>
      </w:r>
      <w:hyperlink r:id="rId113" w:history="1">
        <w:r w:rsidRPr="001629CF">
          <w:rPr>
            <w:color w:val="0070C0"/>
            <w:u w:val="single"/>
            <w:lang w:val="en"/>
          </w:rPr>
          <w:t>https://leg.colorado.gov/bills/SB26-167</w:t>
        </w:r>
      </w:hyperlink>
    </w:p>
    <w:p w14:paraId="5A4BC905" w14:textId="77777777" w:rsidR="00D43313" w:rsidRPr="00327917" w:rsidRDefault="00D43313" w:rsidP="00646036">
      <w:pPr>
        <w:rPr>
          <w:color w:val="auto"/>
        </w:rPr>
      </w:pPr>
    </w:p>
    <w:p w14:paraId="286BBA88" w14:textId="77777777" w:rsidR="00D43313" w:rsidRPr="00327917" w:rsidRDefault="00D43313" w:rsidP="00646036">
      <w:pPr>
        <w:rPr>
          <w:color w:val="auto"/>
        </w:rPr>
      </w:pPr>
      <w:r w:rsidRPr="00327917">
        <w:rPr>
          <w:color w:val="auto"/>
        </w:rPr>
        <w:t xml:space="preserve">Maryland General Assembly. Statutes Text </w:t>
      </w:r>
      <w:r w:rsidRPr="00327917">
        <w:rPr>
          <w:color w:val="auto"/>
          <w:lang w:val="en"/>
        </w:rPr>
        <w:t xml:space="preserve">§15–118.1. </w:t>
      </w:r>
      <w:hyperlink r:id="rId114" w:history="1">
        <w:r w:rsidRPr="001629CF">
          <w:rPr>
            <w:color w:val="0070C0"/>
            <w:u w:val="single"/>
          </w:rPr>
          <w:t>https://mgaleg.maryland.gov/mgawebsite/Laws/StatuteText?article=gin&amp;section=15-118.1&amp;enactments=false</w:t>
        </w:r>
      </w:hyperlink>
    </w:p>
    <w:p w14:paraId="47DFB498" w14:textId="77777777" w:rsidR="00D43313" w:rsidRPr="00327917" w:rsidRDefault="00D43313" w:rsidP="00646036">
      <w:pPr>
        <w:rPr>
          <w:color w:val="auto"/>
        </w:rPr>
      </w:pPr>
    </w:p>
    <w:p w14:paraId="6C20061B" w14:textId="77777777" w:rsidR="00D43313" w:rsidRPr="00327917" w:rsidRDefault="00D43313" w:rsidP="00646036">
      <w:pPr>
        <w:rPr>
          <w:color w:val="auto"/>
        </w:rPr>
      </w:pPr>
      <w:r w:rsidRPr="00327917">
        <w:rPr>
          <w:color w:val="auto"/>
        </w:rPr>
        <w:t xml:space="preserve">National Conference of State Legislatures. State co-pay accumulator laws. (11 December 2025). </w:t>
      </w:r>
      <w:hyperlink r:id="rId115" w:history="1">
        <w:r w:rsidRPr="001629CF">
          <w:rPr>
            <w:color w:val="0070C0"/>
            <w:u w:val="single"/>
          </w:rPr>
          <w:t>https://www.ncsl.org/health/copayment-adjustment-programs</w:t>
        </w:r>
      </w:hyperlink>
      <w:r w:rsidRPr="001629CF">
        <w:rPr>
          <w:color w:val="0070C0"/>
        </w:rPr>
        <w:t xml:space="preserve"> </w:t>
      </w:r>
    </w:p>
    <w:p w14:paraId="23972050" w14:textId="77777777" w:rsidR="00D43313" w:rsidRPr="00327917" w:rsidRDefault="00D43313" w:rsidP="00646036">
      <w:pPr>
        <w:rPr>
          <w:color w:val="auto"/>
        </w:rPr>
      </w:pPr>
    </w:p>
    <w:p w14:paraId="77BF631E" w14:textId="77777777" w:rsidR="00D43313" w:rsidRDefault="00D43313" w:rsidP="00646036">
      <w:r w:rsidRPr="00327917">
        <w:rPr>
          <w:color w:val="auto"/>
        </w:rPr>
        <w:t xml:space="preserve">State of Connecticut Insurance Department. Notice to All Health Carriers Concerning Credit for Certain Out-of-Pocket Prescription Drug Purchases. (17 February 2026). </w:t>
      </w:r>
      <w:hyperlink r:id="rId116">
        <w:r w:rsidRPr="001629CF">
          <w:rPr>
            <w:color w:val="0070C0"/>
            <w:u w:val="single"/>
          </w:rPr>
          <w:t>https://portal.ct.gov/cid/-/media/cid/1_notices/prescription-drug-credit-notice.pdf</w:t>
        </w:r>
      </w:hyperlink>
    </w:p>
    <w:p w14:paraId="76FA3E47" w14:textId="77777777" w:rsidR="001629CF" w:rsidRPr="00327917" w:rsidRDefault="001629CF" w:rsidP="00646036">
      <w:pPr>
        <w:rPr>
          <w:color w:val="auto"/>
        </w:rPr>
      </w:pPr>
    </w:p>
    <w:p w14:paraId="044A6FBC" w14:textId="77777777" w:rsidR="00D43313" w:rsidRPr="00327917" w:rsidRDefault="00D43313" w:rsidP="00D96053">
      <w:pPr>
        <w:pStyle w:val="NonTOCHeading"/>
      </w:pPr>
      <w:r w:rsidRPr="00327917">
        <w:t>Further Reading</w:t>
      </w:r>
    </w:p>
    <w:p w14:paraId="616CCB1C" w14:textId="77777777" w:rsidR="001629CF" w:rsidRDefault="001629CF" w:rsidP="00646036"/>
    <w:p w14:paraId="36AD4043" w14:textId="79342B44" w:rsidR="00D43313" w:rsidRPr="00327917" w:rsidRDefault="00D43313" w:rsidP="00646036">
      <w:pPr>
        <w:rPr>
          <w:color w:val="auto"/>
        </w:rPr>
      </w:pPr>
      <w:hyperlink r:id="rId117" w:history="1">
        <w:r w:rsidRPr="00327917">
          <w:rPr>
            <w:color w:val="auto"/>
          </w:rPr>
          <w:t>Gusovsky Chevalier AV, Lin CC, Kerber K, Reynolds EL, Callaghan BC, Burke JF. Neurologic Medication Costs in a Direct-to-Consumer Pharmacy vs Commercial Insurance Plans. JAMA Netw Open. 2025;8(8):e2527476.</w:t>
        </w:r>
      </w:hyperlink>
    </w:p>
    <w:p w14:paraId="2F871053" w14:textId="77777777" w:rsidR="00D43313" w:rsidRPr="00327917" w:rsidRDefault="00D43313" w:rsidP="00646036">
      <w:pPr>
        <w:rPr>
          <w:color w:val="auto"/>
        </w:rPr>
      </w:pPr>
      <w:r w:rsidRPr="00327917">
        <w:rPr>
          <w:color w:val="auto"/>
        </w:rPr>
        <w:t>Compares neurologic medication costs at Cost Plus Drugs with commercial insurance plan costs.</w:t>
      </w:r>
    </w:p>
    <w:p w14:paraId="6B8A0CA7" w14:textId="77777777" w:rsidR="00D43313" w:rsidRPr="00327917" w:rsidRDefault="00D43313" w:rsidP="00646036">
      <w:pPr>
        <w:rPr>
          <w:color w:val="auto"/>
        </w:rPr>
      </w:pPr>
    </w:p>
    <w:p w14:paraId="2A144DF8" w14:textId="77777777" w:rsidR="00D43313" w:rsidRPr="00327917" w:rsidRDefault="00D43313" w:rsidP="00646036">
      <w:pPr>
        <w:rPr>
          <w:color w:val="auto"/>
        </w:rPr>
      </w:pPr>
      <w:hyperlink r:id="rId118" w:history="1">
        <w:r w:rsidRPr="00327917">
          <w:rPr>
            <w:color w:val="auto"/>
          </w:rPr>
          <w:t>Harris E. Discount Cards Could Save Patients Millions on Drug Costs. JAMA. 2023;330(13):1218.</w:t>
        </w:r>
      </w:hyperlink>
    </w:p>
    <w:p w14:paraId="67FFDAC3" w14:textId="77777777" w:rsidR="00D43313" w:rsidRPr="00327917" w:rsidRDefault="00D43313" w:rsidP="00646036">
      <w:pPr>
        <w:rPr>
          <w:color w:val="auto"/>
        </w:rPr>
      </w:pPr>
      <w:r w:rsidRPr="00327917">
        <w:rPr>
          <w:color w:val="auto"/>
        </w:rPr>
        <w:t>Compares actual out-of-pocket payments for common generic drugs with Amazon Prime and GoodRx Gold discount card prices.</w:t>
      </w:r>
    </w:p>
    <w:p w14:paraId="5D786978" w14:textId="77777777" w:rsidR="00D43313" w:rsidRPr="00327917" w:rsidRDefault="00D43313" w:rsidP="00646036">
      <w:pPr>
        <w:rPr>
          <w:color w:val="auto"/>
        </w:rPr>
      </w:pPr>
    </w:p>
    <w:p w14:paraId="6F72F962" w14:textId="77777777" w:rsidR="00D43313" w:rsidRPr="00327917" w:rsidRDefault="00D43313" w:rsidP="00646036">
      <w:pPr>
        <w:rPr>
          <w:color w:val="auto"/>
        </w:rPr>
      </w:pPr>
      <w:hyperlink r:id="rId119" w:history="1">
        <w:r w:rsidRPr="00327917">
          <w:rPr>
            <w:color w:val="auto"/>
          </w:rPr>
          <w:t>Hussain S. Lalani, Aaron S. Kesselheim, Benjamin N. Rome. Potential Medicare Part D Savings on Generic Drugs From the Mark Cuban Cost Plus Drug Company. Ann Intern Med.2022;175:1053-1055. [Epub 21 June 2022].</w:t>
        </w:r>
      </w:hyperlink>
    </w:p>
    <w:p w14:paraId="28D607CF" w14:textId="77777777" w:rsidR="00D43313" w:rsidRPr="00327917" w:rsidRDefault="00D43313" w:rsidP="00646036">
      <w:pPr>
        <w:rPr>
          <w:color w:val="auto"/>
          <w:lang w:val="en"/>
        </w:rPr>
      </w:pPr>
      <w:r w:rsidRPr="00327917">
        <w:rPr>
          <w:color w:val="auto"/>
        </w:rPr>
        <w:t>Estimates potential Medicare Part D savings if Medicare had purchased selected generic drugs at Mark Cuban Cost Plus Drug Company prices</w:t>
      </w:r>
    </w:p>
    <w:p w14:paraId="35F6568F" w14:textId="77777777" w:rsidR="00D43313" w:rsidRPr="00327917" w:rsidRDefault="00D43313" w:rsidP="00646036">
      <w:pPr>
        <w:rPr>
          <w:color w:val="auto"/>
        </w:rPr>
      </w:pPr>
    </w:p>
    <w:p w14:paraId="466374EE" w14:textId="77777777" w:rsidR="00D43313" w:rsidRPr="00327917" w:rsidRDefault="00D43313" w:rsidP="00646036">
      <w:pPr>
        <w:rPr>
          <w:color w:val="auto"/>
        </w:rPr>
      </w:pPr>
      <w:r w:rsidRPr="00327917">
        <w:rPr>
          <w:color w:val="auto"/>
        </w:rPr>
        <w:t xml:space="preserve">John K. Lin, et al. Identifying Meaningful Patient Savings on Generics: Direct-to-Consumer Prices </w:t>
      </w:r>
    </w:p>
    <w:p w14:paraId="6B91A913" w14:textId="7819B4B2" w:rsidR="00D43313" w:rsidRPr="00327917" w:rsidRDefault="00D43313" w:rsidP="00646036">
      <w:pPr>
        <w:rPr>
          <w:color w:val="auto"/>
          <w:lang w:val="en"/>
        </w:rPr>
      </w:pPr>
      <w:r w:rsidRPr="00327917">
        <w:rPr>
          <w:color w:val="auto"/>
        </w:rPr>
        <w:t>Versus Commercial Insurance Cost Sharing. Annals of Internal Medicine (May 2026)</w:t>
      </w:r>
    </w:p>
    <w:p w14:paraId="4E102AEC" w14:textId="677FBBCD" w:rsidR="00D43313" w:rsidRPr="00327917" w:rsidRDefault="6772E450" w:rsidP="00646036">
      <w:pPr>
        <w:rPr>
          <w:color w:val="auto"/>
        </w:rPr>
      </w:pPr>
      <w:r w:rsidRPr="52B404F0">
        <w:rPr>
          <w:color w:val="auto"/>
        </w:rPr>
        <w:t>Compares Cost savings for generic Rx purchased via DTC platform vs. Insurance co-pay; outlines challenges and tradeoffs of DTC for insured consumers.</w:t>
      </w:r>
    </w:p>
    <w:p w14:paraId="5D4B84A9" w14:textId="77777777" w:rsidR="00D43313" w:rsidRPr="00327917" w:rsidRDefault="00D43313" w:rsidP="00646036">
      <w:pPr>
        <w:rPr>
          <w:color w:val="auto"/>
        </w:rPr>
      </w:pPr>
    </w:p>
    <w:p w14:paraId="233AC01D" w14:textId="60B2B502" w:rsidR="00D43313" w:rsidRPr="00327917" w:rsidRDefault="00D43313" w:rsidP="00646036">
      <w:pPr>
        <w:rPr>
          <w:color w:val="auto"/>
        </w:rPr>
      </w:pPr>
      <w:hyperlink r:id="rId120" w:history="1">
        <w:r w:rsidRPr="00327917">
          <w:rPr>
            <w:color w:val="auto"/>
          </w:rPr>
          <w:t>Lalani HS, Kesselheim AS, Rome BN. Benefits and Limitations of Direct-to-Consumer Pharmacies in the US. JAMA Netw Open. 2025;8(8):e2527484. doi:10.1001/jamanetworkopen.2025.27484</w:t>
        </w:r>
      </w:hyperlink>
    </w:p>
    <w:p w14:paraId="1FE8D17C" w14:textId="77777777" w:rsidR="00D43313" w:rsidRPr="00327917" w:rsidRDefault="00D43313" w:rsidP="00646036">
      <w:pPr>
        <w:rPr>
          <w:color w:val="auto"/>
        </w:rPr>
      </w:pPr>
    </w:p>
    <w:p w14:paraId="41B93752" w14:textId="77777777" w:rsidR="00D43313" w:rsidRPr="00327917" w:rsidRDefault="00D43313" w:rsidP="00646036">
      <w:pPr>
        <w:rPr>
          <w:color w:val="auto"/>
        </w:rPr>
      </w:pPr>
      <w:hyperlink r:id="rId121" w:history="1">
        <w:r w:rsidRPr="00327917">
          <w:rPr>
            <w:color w:val="auto"/>
          </w:rPr>
          <w:t>Lalani HS, Tessema FA, Kesselheim AS, Rome BN. Availability and Cost of Expensive and Common Generic Prescription Drugs: A Cross-sectional Analysis of Direct-to-Consumer Pharmacies. J Gen Intern Med. 2024 Sep;39(12):2187-2195.</w:t>
        </w:r>
      </w:hyperlink>
    </w:p>
    <w:p w14:paraId="798C243F" w14:textId="77777777" w:rsidR="00D43313" w:rsidRPr="00327917" w:rsidRDefault="00D43313" w:rsidP="00646036">
      <w:pPr>
        <w:rPr>
          <w:color w:val="auto"/>
          <w:lang w:val="en"/>
        </w:rPr>
      </w:pPr>
      <w:r w:rsidRPr="00327917">
        <w:rPr>
          <w:color w:val="auto"/>
        </w:rPr>
        <w:t>Compares availability and prices for expensive and common generic drugs across DTC pharmacies.</w:t>
      </w:r>
    </w:p>
    <w:p w14:paraId="10576E77" w14:textId="77777777" w:rsidR="00D43313" w:rsidRPr="00327917" w:rsidRDefault="00D43313" w:rsidP="00646036">
      <w:pPr>
        <w:rPr>
          <w:color w:val="auto"/>
        </w:rPr>
      </w:pPr>
    </w:p>
    <w:p w14:paraId="6FE8FBD2" w14:textId="6FA83D09" w:rsidR="00D43313" w:rsidRPr="00327917" w:rsidRDefault="00D43313" w:rsidP="00646036">
      <w:pPr>
        <w:rPr>
          <w:color w:val="auto"/>
        </w:rPr>
      </w:pPr>
      <w:r w:rsidRPr="00327917">
        <w:rPr>
          <w:color w:val="auto"/>
        </w:rPr>
        <w:t xml:space="preserve">Brooke McCormick, Patients Face New Care Complexities as DTC Options Expand. The American </w:t>
      </w:r>
    </w:p>
    <w:p w14:paraId="36427651" w14:textId="6EC705D9" w:rsidR="00D43313" w:rsidRPr="00327917" w:rsidRDefault="6772E450" w:rsidP="00646036">
      <w:pPr>
        <w:rPr>
          <w:color w:val="auto"/>
        </w:rPr>
      </w:pPr>
      <w:r w:rsidRPr="52B404F0">
        <w:rPr>
          <w:color w:val="auto"/>
        </w:rPr>
        <w:t>Journal of Managed Care (November 2025).</w:t>
      </w:r>
      <w:r w:rsidR="657F128E" w:rsidRPr="52B404F0">
        <w:rPr>
          <w:color w:val="auto"/>
        </w:rPr>
        <w:t xml:space="preserve"> </w:t>
      </w:r>
      <w:r w:rsidRPr="52B404F0">
        <w:rPr>
          <w:color w:val="auto"/>
        </w:rPr>
        <w:t>Presents advantages and disadvantages of DTC for consumers including limited options and out-of-pocket costs.</w:t>
      </w:r>
    </w:p>
    <w:p w14:paraId="1C4B550B" w14:textId="77777777" w:rsidR="00D43313" w:rsidRPr="00D43313" w:rsidRDefault="00D43313" w:rsidP="00646036">
      <w:pPr>
        <w:rPr>
          <w:lang w:val="en"/>
        </w:rPr>
      </w:pPr>
    </w:p>
    <w:sectPr w:rsidR="00D43313" w:rsidRPr="00D43313" w:rsidSect="00B875F3">
      <w:headerReference w:type="default" r:id="rId122"/>
      <w:headerReference w:type="first" r:id="rId123"/>
      <w:pgSz w:w="12240" w:h="15840" w:code="1"/>
      <w:pgMar w:top="1080" w:right="1080" w:bottom="1080" w:left="108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0D12F" w14:textId="77777777" w:rsidR="002A5AFA" w:rsidRDefault="002A5AFA" w:rsidP="00646036">
      <w:r>
        <w:separator/>
      </w:r>
    </w:p>
  </w:endnote>
  <w:endnote w:type="continuationSeparator" w:id="0">
    <w:p w14:paraId="4E098207" w14:textId="77777777" w:rsidR="002A5AFA" w:rsidRDefault="002A5AFA" w:rsidP="00646036">
      <w:r>
        <w:continuationSeparator/>
      </w:r>
    </w:p>
  </w:endnote>
  <w:endnote w:type="continuationNotice" w:id="1">
    <w:p w14:paraId="4821BCBF" w14:textId="77777777" w:rsidR="002A5AFA" w:rsidRDefault="002A5AFA" w:rsidP="00646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Inte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Inter Medium">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710216"/>
      <w:docPartObj>
        <w:docPartGallery w:val="Page Numbers (Bottom of Page)"/>
        <w:docPartUnique/>
      </w:docPartObj>
    </w:sdtPr>
    <w:sdtEndPr>
      <w:rPr>
        <w:noProof/>
      </w:rPr>
    </w:sdtEndPr>
    <w:sdtContent>
      <w:p w14:paraId="16F245A2" w14:textId="5DCD02B6" w:rsidR="00874BEB" w:rsidRDefault="00874B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7BD047" w14:textId="77777777" w:rsidR="005B0BFE" w:rsidRDefault="005B0BFE" w:rsidP="00646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0E2D2262" w14:textId="77777777" w:rsidTr="7D95DB54">
      <w:trPr>
        <w:trHeight w:val="300"/>
      </w:trPr>
      <w:tc>
        <w:tcPr>
          <w:tcW w:w="3120" w:type="dxa"/>
        </w:tcPr>
        <w:p w14:paraId="6292A8E5" w14:textId="5FE0BD84" w:rsidR="7D95DB54" w:rsidRPr="00195393" w:rsidRDefault="7D95DB54" w:rsidP="00195393">
          <w:pPr>
            <w:pStyle w:val="Header"/>
            <w:ind w:left="-115"/>
            <w:jc w:val="center"/>
            <w:rPr>
              <w:b/>
              <w:bCs/>
            </w:rPr>
          </w:pPr>
        </w:p>
      </w:tc>
      <w:tc>
        <w:tcPr>
          <w:tcW w:w="3120" w:type="dxa"/>
        </w:tcPr>
        <w:p w14:paraId="16AC796E" w14:textId="57F1F980" w:rsidR="7D95DB54" w:rsidRDefault="00A22A6F" w:rsidP="00A22A6F">
          <w:pPr>
            <w:pStyle w:val="Header"/>
            <w:jc w:val="center"/>
          </w:pPr>
          <w:r w:rsidRPr="00195393">
            <w:rPr>
              <w:b/>
              <w:bCs/>
            </w:rPr>
            <w:t>OCTOBER 16 DRAFT</w:t>
          </w:r>
        </w:p>
      </w:tc>
      <w:tc>
        <w:tcPr>
          <w:tcW w:w="3120" w:type="dxa"/>
        </w:tcPr>
        <w:p w14:paraId="4FF58456" w14:textId="4CB5BD2E" w:rsidR="7D95DB54" w:rsidRDefault="7D95DB54" w:rsidP="00933151">
          <w:pPr>
            <w:pStyle w:val="Header"/>
            <w:ind w:right="-115"/>
          </w:pPr>
        </w:p>
      </w:tc>
    </w:tr>
  </w:tbl>
  <w:p w14:paraId="76E38684" w14:textId="66BF83B1" w:rsidR="7D95DB54" w:rsidRDefault="7D95DB54" w:rsidP="7D95DB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6C228" w14:textId="1DBC9B50" w:rsidR="52B404F0" w:rsidRDefault="00195393" w:rsidP="00195393">
    <w:pPr>
      <w:pStyle w:val="Footer"/>
      <w:jc w:val="center"/>
      <w:rPr>
        <w:noProof/>
      </w:rPr>
    </w:pPr>
    <w:r w:rsidRPr="00195393">
      <w:rPr>
        <w:b/>
        <w:bCs/>
      </w:rPr>
      <w:t>OCTOBER 16 DRAFT</w:t>
    </w:r>
  </w:p>
  <w:sdt>
    <w:sdtPr>
      <w:id w:val="-267162506"/>
      <w:docPartObj>
        <w:docPartGallery w:val="Page Numbers (Bottom of Page)"/>
        <w:docPartUnique/>
      </w:docPartObj>
    </w:sdtPr>
    <w:sdtEndPr>
      <w:rPr>
        <w:noProof/>
      </w:rPr>
    </w:sdtEndPr>
    <w:sdtContent>
      <w:p w14:paraId="16D93176" w14:textId="25EC5F20" w:rsidR="00874BEB" w:rsidRDefault="00874B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5E36C1" w14:textId="0B22910B" w:rsidR="00402212" w:rsidRPr="00FC6F3C" w:rsidRDefault="00402212" w:rsidP="006460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4988" w:type="pct"/>
      <w:tblBorders>
        <w:insideH w:val="single" w:sz="4" w:space="0" w:color="76777B" w:themeColor="accent4"/>
      </w:tblBorders>
      <w:tblLook w:val="04A0" w:firstRow="1" w:lastRow="0" w:firstColumn="1" w:lastColumn="0" w:noHBand="0" w:noVBand="1"/>
    </w:tblPr>
    <w:tblGrid>
      <w:gridCol w:w="8395"/>
      <w:gridCol w:w="1661"/>
    </w:tblGrid>
    <w:tr w:rsidR="004C1A57" w14:paraId="3EB104AE" w14:textId="77777777" w:rsidTr="530B2DF0">
      <w:trPr>
        <w:cantSplit/>
      </w:trPr>
      <w:tc>
        <w:tcPr>
          <w:tcW w:w="7795" w:type="dxa"/>
          <w:vAlign w:val="center"/>
        </w:tcPr>
        <w:p w14:paraId="2ABD3300" w14:textId="51F9B4D6" w:rsidR="004C1A57" w:rsidRDefault="004C1A57" w:rsidP="009C2901">
          <w:pPr>
            <w:pStyle w:val="Template-Address"/>
          </w:pPr>
        </w:p>
      </w:tc>
      <w:tc>
        <w:tcPr>
          <w:tcW w:w="1542" w:type="dxa"/>
          <w:vAlign w:val="center"/>
        </w:tcPr>
        <w:p w14:paraId="406D5DB7" w14:textId="5EDCA6D9" w:rsidR="004C1A57" w:rsidRDefault="004C1A57" w:rsidP="00777424">
          <w:pPr>
            <w:pStyle w:val="Template-Address"/>
            <w:jc w:val="right"/>
          </w:pPr>
        </w:p>
      </w:tc>
    </w:tr>
    <w:tr w:rsidR="004C1A57" w14:paraId="29B40B49" w14:textId="77777777" w:rsidTr="530B2DF0">
      <w:trPr>
        <w:cantSplit/>
      </w:trPr>
      <w:tc>
        <w:tcPr>
          <w:tcW w:w="7795" w:type="dxa"/>
          <w:vAlign w:val="center"/>
        </w:tcPr>
        <w:p w14:paraId="60B6BD9A" w14:textId="2BA73201" w:rsidR="004C1A57" w:rsidRPr="004C1A57" w:rsidRDefault="004C1A57" w:rsidP="009C2901">
          <w:pPr>
            <w:pStyle w:val="Template-Address"/>
          </w:pPr>
        </w:p>
      </w:tc>
      <w:tc>
        <w:tcPr>
          <w:tcW w:w="1542" w:type="dxa"/>
          <w:vAlign w:val="center"/>
        </w:tcPr>
        <w:p w14:paraId="5D949F67" w14:textId="739B660F" w:rsidR="004C1A57" w:rsidRDefault="004C1A57" w:rsidP="00777424">
          <w:pPr>
            <w:pStyle w:val="Template-Address"/>
            <w:jc w:val="right"/>
          </w:pPr>
        </w:p>
      </w:tc>
    </w:tr>
    <w:tr w:rsidR="004C1A57" w14:paraId="344019E0" w14:textId="77777777" w:rsidTr="530B2DF0">
      <w:trPr>
        <w:cantSplit/>
      </w:trPr>
      <w:tc>
        <w:tcPr>
          <w:tcW w:w="7795" w:type="dxa"/>
          <w:vAlign w:val="center"/>
        </w:tcPr>
        <w:p w14:paraId="445F88BA" w14:textId="5FA4EE14" w:rsidR="004C1A57" w:rsidRPr="004C1A57" w:rsidRDefault="004C1A57" w:rsidP="009C2901">
          <w:pPr>
            <w:pStyle w:val="Template-Address"/>
          </w:pPr>
        </w:p>
      </w:tc>
      <w:tc>
        <w:tcPr>
          <w:tcW w:w="1542" w:type="dxa"/>
          <w:vAlign w:val="center"/>
        </w:tcPr>
        <w:p w14:paraId="200D2B3A" w14:textId="48362136" w:rsidR="004C1A57" w:rsidRDefault="004C1A57" w:rsidP="00777424">
          <w:pPr>
            <w:pStyle w:val="Template-Address"/>
            <w:jc w:val="right"/>
          </w:pPr>
        </w:p>
      </w:tc>
    </w:tr>
  </w:tbl>
  <w:p w14:paraId="4A796C85" w14:textId="236802AB" w:rsidR="00131807" w:rsidRPr="00380163" w:rsidRDefault="530B2DF0" w:rsidP="00646036">
    <w:pPr>
      <w:pStyle w:val="Webaddress"/>
    </w:pPr>
    <w:r>
      <w:t>www.naic.org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896163"/>
      <w:docPartObj>
        <w:docPartGallery w:val="Page Numbers (Bottom of Page)"/>
        <w:docPartUnique/>
      </w:docPartObj>
    </w:sdtPr>
    <w:sdtEndPr>
      <w:rPr>
        <w:noProof/>
      </w:rPr>
    </w:sdtEndPr>
    <w:sdtContent>
      <w:p w14:paraId="53B73B55" w14:textId="79254D70" w:rsidR="00874BEB" w:rsidRDefault="00874B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54838B" w14:textId="186EDDB3" w:rsidR="00943041" w:rsidRPr="00380163" w:rsidRDefault="00A22A6F" w:rsidP="00A22A6F">
    <w:pPr>
      <w:pStyle w:val="Webaddress"/>
      <w:jc w:val="center"/>
    </w:pPr>
    <w:r w:rsidRPr="00195393">
      <w:rPr>
        <w:b/>
        <w:bCs/>
      </w:rPr>
      <w:t>OCTOBER 16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61F49" w14:textId="77777777" w:rsidR="002A5AFA" w:rsidRDefault="002A5AFA" w:rsidP="00646036">
      <w:r>
        <w:separator/>
      </w:r>
    </w:p>
  </w:footnote>
  <w:footnote w:type="continuationSeparator" w:id="0">
    <w:p w14:paraId="3080EB51" w14:textId="77777777" w:rsidR="002A5AFA" w:rsidRDefault="002A5AFA" w:rsidP="00646036">
      <w:r>
        <w:continuationSeparator/>
      </w:r>
    </w:p>
  </w:footnote>
  <w:footnote w:type="continuationNotice" w:id="1">
    <w:p w14:paraId="4157D3F7" w14:textId="77777777" w:rsidR="002A5AFA" w:rsidRDefault="002A5AFA" w:rsidP="00646036"/>
  </w:footnote>
  <w:footnote w:id="2">
    <w:p w14:paraId="485CEF42" w14:textId="77777777" w:rsidR="00415A7E" w:rsidRPr="00A17BBB" w:rsidRDefault="00415A7E"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 w:history="1">
        <w:r w:rsidRPr="00A17BBB">
          <w:rPr>
            <w:rStyle w:val="Hyperlink"/>
            <w:sz w:val="16"/>
            <w:szCs w:val="16"/>
          </w:rPr>
          <w:t>https://content.naic.org/sites/default/files/inline-files/PA%20white%20paper%20Adopted%2012.10.2025%20by%20Cmte.pdf</w:t>
        </w:r>
      </w:hyperlink>
      <w:r w:rsidRPr="00A17BBB">
        <w:rPr>
          <w:sz w:val="16"/>
          <w:szCs w:val="16"/>
        </w:rPr>
        <w:t xml:space="preserve"> </w:t>
      </w:r>
    </w:p>
  </w:footnote>
  <w:footnote w:id="3">
    <w:p w14:paraId="0F498639" w14:textId="77777777" w:rsidR="00415A7E" w:rsidRPr="00A17BBB" w:rsidRDefault="00415A7E" w:rsidP="00646036">
      <w:pPr>
        <w:pStyle w:val="FootnoteText"/>
        <w:rPr>
          <w:sz w:val="16"/>
          <w:szCs w:val="16"/>
        </w:rPr>
      </w:pPr>
      <w:r w:rsidRPr="00A17BBB">
        <w:rPr>
          <w:rStyle w:val="FootnoteReference"/>
          <w:sz w:val="16"/>
          <w:szCs w:val="16"/>
        </w:rPr>
        <w:footnoteRef/>
      </w:r>
      <w:r w:rsidRPr="00A17BBB">
        <w:rPr>
          <w:sz w:val="16"/>
          <w:szCs w:val="16"/>
        </w:rPr>
        <w:t xml:space="preserve"> Duff, J., Cullen, L., Hanrahan, K. et al. Determinants of an evidence-based practice environment: an interpretive description. Implement Sci Commun 1, 85 (2020). </w:t>
      </w:r>
      <w:hyperlink r:id="rId2" w:history="1">
        <w:r w:rsidRPr="00A17BBB">
          <w:rPr>
            <w:rStyle w:val="Hyperlink"/>
            <w:sz w:val="16"/>
            <w:szCs w:val="16"/>
          </w:rPr>
          <w:t>https://implementationsciencecomms.biomedcentral.com/articles/10.1186/s43058-020-00070-0</w:t>
        </w:r>
      </w:hyperlink>
      <w:r w:rsidRPr="00A17BBB">
        <w:rPr>
          <w:sz w:val="16"/>
          <w:szCs w:val="16"/>
        </w:rPr>
        <w:t xml:space="preserve">.  </w:t>
      </w:r>
    </w:p>
  </w:footnote>
  <w:footnote w:id="4">
    <w:p w14:paraId="40C93B1E"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3">
        <w:r w:rsidRPr="00A17BBB">
          <w:rPr>
            <w:rStyle w:val="Hyperlink"/>
            <w:sz w:val="16"/>
            <w:szCs w:val="16"/>
          </w:rPr>
          <w:t>Pharmacy Benefit Managers: The Powerful Middlemen Inflating Drug Costs and Squeezing Main Street Pharmacies</w:t>
        </w:r>
      </w:hyperlink>
      <w:r w:rsidRPr="00A17BBB">
        <w:rPr>
          <w:sz w:val="16"/>
          <w:szCs w:val="16"/>
        </w:rPr>
        <w:t xml:space="preserve"> See also </w:t>
      </w:r>
      <w:hyperlink r:id="rId4">
        <w:r w:rsidRPr="00A17BBB">
          <w:rPr>
            <w:rStyle w:val="Hyperlink"/>
            <w:sz w:val="16"/>
            <w:szCs w:val="16"/>
          </w:rPr>
          <w:t>FTC Releases Interim Staff Report on Prescription Drug Middlemen | Federal Trade Commission</w:t>
        </w:r>
      </w:hyperlink>
    </w:p>
  </w:footnote>
  <w:footnote w:id="5">
    <w:p w14:paraId="02EDB981" w14:textId="5A6A2C81"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5">
        <w:r w:rsidRPr="00A17BBB">
          <w:rPr>
            <w:rStyle w:val="Hyperlink"/>
            <w:sz w:val="16"/>
            <w:szCs w:val="16"/>
          </w:rPr>
          <w:t>2026-01-pbm-profitability.pdf</w:t>
        </w:r>
      </w:hyperlink>
    </w:p>
  </w:footnote>
  <w:footnote w:id="6">
    <w:p w14:paraId="74F247E7" w14:textId="590F66BC" w:rsidR="00D946F8" w:rsidRPr="00A17BBB" w:rsidRDefault="00D946F8" w:rsidP="00646036">
      <w:pPr>
        <w:rPr>
          <w:sz w:val="16"/>
          <w:szCs w:val="16"/>
        </w:rPr>
      </w:pPr>
      <w:r w:rsidRPr="00A17BBB">
        <w:rPr>
          <w:rStyle w:val="FootnoteReference"/>
          <w:sz w:val="16"/>
          <w:szCs w:val="16"/>
        </w:rPr>
        <w:footnoteRef/>
      </w:r>
      <w:r w:rsidRPr="00A17BBB">
        <w:rPr>
          <w:sz w:val="16"/>
          <w:szCs w:val="16"/>
        </w:rPr>
        <w:t xml:space="preserve"> </w:t>
      </w:r>
      <w:hyperlink r:id="rId6" w:history="1">
        <w:r w:rsidRPr="00C31123">
          <w:rPr>
            <w:rStyle w:val="Hyperlink"/>
            <w:sz w:val="16"/>
            <w:szCs w:val="16"/>
          </w:rPr>
          <w:t>NAIC Guidance Document</w:t>
        </w:r>
        <w:r w:rsidR="00C31123" w:rsidRPr="00C31123">
          <w:rPr>
            <w:rStyle w:val="Hyperlink"/>
            <w:sz w:val="16"/>
            <w:szCs w:val="16"/>
          </w:rPr>
          <w:t>:</w:t>
        </w:r>
        <w:r w:rsidRPr="00C31123">
          <w:rPr>
            <w:rStyle w:val="Hyperlink"/>
            <w:sz w:val="16"/>
            <w:szCs w:val="16"/>
          </w:rPr>
          <w:t xml:space="preserve"> ERISA Preemption and State PBM Laws (Draft)</w:t>
        </w:r>
      </w:hyperlink>
    </w:p>
  </w:footnote>
  <w:footnote w:id="7">
    <w:p w14:paraId="0DBD520C"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CVS Health launches Cordavis, (August 23, 2023), </w:t>
      </w:r>
      <w:hyperlink r:id="rId7" w:history="1">
        <w:r w:rsidRPr="00A17BBB">
          <w:rPr>
            <w:rStyle w:val="Hyperlink"/>
            <w:sz w:val="16"/>
            <w:szCs w:val="16"/>
          </w:rPr>
          <w:t>https://www.cvshealth.com/news/pbm/cvs-health-launches-cordavis.html</w:t>
        </w:r>
      </w:hyperlink>
      <w:r w:rsidRPr="00A17BBB">
        <w:rPr>
          <w:sz w:val="16"/>
          <w:szCs w:val="16"/>
        </w:rPr>
        <w:t xml:space="preserve"> </w:t>
      </w:r>
    </w:p>
  </w:footnote>
  <w:footnote w:id="8">
    <w:p w14:paraId="33015AC5"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8">
        <w:r w:rsidRPr="00A17BBB">
          <w:rPr>
            <w:rStyle w:val="Hyperlink"/>
            <w:sz w:val="16"/>
            <w:szCs w:val="16"/>
          </w:rPr>
          <w:t>GAO-25-107450, HEALTH CARE CONSOLIDATION: Published Estimates of the Extent and Effects of Physician Consolidation</w:t>
        </w:r>
      </w:hyperlink>
    </w:p>
  </w:footnote>
  <w:footnote w:id="9">
    <w:p w14:paraId="56040B2F" w14:textId="77777777" w:rsidR="00D946F8" w:rsidRPr="00A17BBB" w:rsidRDefault="00D946F8" w:rsidP="00646036">
      <w:pPr>
        <w:pStyle w:val="FootnoteText"/>
        <w:rPr>
          <w:sz w:val="16"/>
          <w:szCs w:val="16"/>
        </w:rPr>
      </w:pPr>
      <w:r w:rsidRPr="00A17BBB">
        <w:rPr>
          <w:rStyle w:val="FootnoteReference"/>
          <w:color w:val="auto"/>
          <w:sz w:val="16"/>
          <w:szCs w:val="16"/>
        </w:rPr>
        <w:footnoteRef/>
      </w:r>
      <w:r w:rsidRPr="00A17BBB">
        <w:rPr>
          <w:sz w:val="16"/>
          <w:szCs w:val="16"/>
        </w:rPr>
        <w:t xml:space="preserve"> See Carol Kane, Physician Practice Characteristics in 2024: Private Practices Account for Less Than Half of Physicians in Most Specialties (Chicago, Ill.: American Medical Association, 2025).</w:t>
      </w:r>
    </w:p>
  </w:footnote>
  <w:footnote w:id="10">
    <w:p w14:paraId="742DFF2F"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9">
        <w:r w:rsidRPr="00A17BBB">
          <w:rPr>
            <w:rStyle w:val="Hyperlink"/>
            <w:sz w:val="16"/>
            <w:szCs w:val="16"/>
          </w:rPr>
          <w:t>GAO-25-107450, HEALTH CARE CONSOLIDATION: Published Estimates of the Extent and Effects of Physician Consolidation</w:t>
        </w:r>
      </w:hyperlink>
    </w:p>
  </w:footnote>
  <w:footnote w:id="11">
    <w:p w14:paraId="23A3AA9B"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0">
        <w:r w:rsidRPr="00A17BBB">
          <w:rPr>
            <w:rStyle w:val="Hyperlink"/>
            <w:sz w:val="16"/>
            <w:szCs w:val="16"/>
          </w:rPr>
          <w:t>Commercial inpatient hospital price growth driven by system affiliation and nonprofit-status hospitals | Health Affairs Scholar | Oxford Academic</w:t>
        </w:r>
      </w:hyperlink>
    </w:p>
  </w:footnote>
  <w:footnote w:id="12">
    <w:p w14:paraId="58D4D1F3"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1">
        <w:r w:rsidRPr="00A17BBB">
          <w:rPr>
            <w:rStyle w:val="Hyperlink"/>
            <w:sz w:val="16"/>
            <w:szCs w:val="16"/>
          </w:rPr>
          <w:t>Commercial inpatient hospital price growth driven by system affiliation and nonprofit-status hospitals | Health Affairs Scholar | Oxford Academic</w:t>
        </w:r>
      </w:hyperlink>
    </w:p>
  </w:footnote>
  <w:footnote w:id="13">
    <w:p w14:paraId="778748B7"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See also Section 4: Reference Based Pricing, RBP and Facility Fees.</w:t>
      </w:r>
    </w:p>
  </w:footnote>
  <w:footnote w:id="14">
    <w:p w14:paraId="1BFD94D6"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See also Section 4: Reference Based Pricing, RBP and Site Neutral Payments.</w:t>
      </w:r>
    </w:p>
  </w:footnote>
  <w:footnote w:id="15">
    <w:p w14:paraId="6A438F0F" w14:textId="56DDED39"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2">
        <w:r w:rsidRPr="00A17BBB">
          <w:rPr>
            <w:rStyle w:val="Hyperlink"/>
            <w:sz w:val="16"/>
            <w:szCs w:val="16"/>
          </w:rPr>
          <w:t xml:space="preserve">Vertical integration and market consolidation in </w:t>
        </w:r>
        <w:r w:rsidR="007C1C4E">
          <w:rPr>
            <w:rStyle w:val="Hyperlink"/>
            <w:sz w:val="16"/>
            <w:szCs w:val="16"/>
          </w:rPr>
          <w:t>health care</w:t>
        </w:r>
        <w:r w:rsidRPr="00A17BBB">
          <w:rPr>
            <w:rStyle w:val="Hyperlink"/>
            <w:sz w:val="16"/>
            <w:szCs w:val="16"/>
          </w:rPr>
          <w:t>: Policy drivers and impact on physicians and patient care - ScienceDirect</w:t>
        </w:r>
      </w:hyperlink>
    </w:p>
  </w:footnote>
  <w:footnote w:id="16">
    <w:p w14:paraId="3CD430EE"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Julia Burleson. Vertical Integration in Health Care: Implications for Consumers, Employers, and Clinicians, Georgetown University Center on Health Insurance Reforms, May 2, 2026. </w:t>
      </w:r>
      <w:hyperlink r:id="rId13">
        <w:r w:rsidRPr="00A17BBB">
          <w:rPr>
            <w:rStyle w:val="Hyperlink"/>
            <w:sz w:val="16"/>
            <w:szCs w:val="16"/>
          </w:rPr>
          <w:t>https://chir.georgetown.edu/vertical-integration-in-health-care-implications-for-consumers-employers-and-clinicians/;</w:t>
        </w:r>
      </w:hyperlink>
      <w:r w:rsidRPr="00A17BBB">
        <w:rPr>
          <w:sz w:val="16"/>
          <w:szCs w:val="16"/>
        </w:rPr>
        <w:t xml:space="preserve"> </w:t>
      </w:r>
      <w:hyperlink r:id="rId14">
        <w:r w:rsidRPr="00A17BBB">
          <w:rPr>
            <w:rStyle w:val="Hyperlink"/>
            <w:sz w:val="16"/>
            <w:szCs w:val="16"/>
          </w:rPr>
          <w:t>Utilization, Steering, and Spending in Vertical Relationships Between Physicians and Health Systems | Health Policy | JAMA Health Forum | JAMA Network</w:t>
        </w:r>
      </w:hyperlink>
    </w:p>
  </w:footnote>
  <w:footnote w:id="17">
    <w:p w14:paraId="3365E551"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5">
        <w:r w:rsidRPr="00A17BBB">
          <w:rPr>
            <w:rStyle w:val="Hyperlink"/>
            <w:color w:val="1F1F1F"/>
            <w:sz w:val="16"/>
            <w:szCs w:val="16"/>
          </w:rPr>
          <w:t>The Complex Web of Health Care Financial Interests and Their Implications for Ever Higher Spending: An Expert Perspective.pdf | Powered by Box;</w:t>
        </w:r>
      </w:hyperlink>
      <w:r w:rsidRPr="00A17BBB">
        <w:rPr>
          <w:sz w:val="16"/>
          <w:szCs w:val="16"/>
        </w:rPr>
        <w:t xml:space="preserve"> </w:t>
      </w:r>
      <w:hyperlink r:id="rId16">
        <w:r w:rsidRPr="00A17BBB">
          <w:rPr>
            <w:rStyle w:val="Hyperlink"/>
            <w:sz w:val="16"/>
            <w:szCs w:val="16"/>
          </w:rPr>
          <w:t>Are Hospital Acquisitions of Physician Practices Anticompetitive? | NBER.</w:t>
        </w:r>
      </w:hyperlink>
    </w:p>
  </w:footnote>
  <w:footnote w:id="18">
    <w:p w14:paraId="671B1982"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7">
        <w:r w:rsidRPr="00A17BBB">
          <w:rPr>
            <w:rStyle w:val="Hyperlink"/>
            <w:sz w:val="16"/>
            <w:szCs w:val="16"/>
          </w:rPr>
          <w:t>Price Effects Of Vertical Integration And Joint Contracting Between Physicians And Hospitals In Massachusetts | Health Affairs</w:t>
        </w:r>
      </w:hyperlink>
    </w:p>
  </w:footnote>
  <w:footnote w:id="19">
    <w:p w14:paraId="15AE7C33" w14:textId="77777777" w:rsidR="00D946F8" w:rsidRPr="00A17BBB" w:rsidRDefault="00D946F8" w:rsidP="00646036">
      <w:pPr>
        <w:pStyle w:val="FootnoteText"/>
        <w:rPr>
          <w:sz w:val="16"/>
          <w:szCs w:val="16"/>
        </w:rPr>
      </w:pPr>
      <w:r w:rsidRPr="00A17BBB">
        <w:rPr>
          <w:rStyle w:val="FootnoteReference"/>
          <w:sz w:val="16"/>
          <w:szCs w:val="16"/>
        </w:rPr>
        <w:footnoteRef/>
      </w:r>
      <w:r w:rsidRPr="00A17BBB">
        <w:rPr>
          <w:sz w:val="16"/>
          <w:szCs w:val="16"/>
        </w:rPr>
        <w:t xml:space="preserve"> </w:t>
      </w:r>
      <w:hyperlink r:id="rId18">
        <w:r w:rsidRPr="00A17BBB">
          <w:rPr>
            <w:rStyle w:val="Hyperlink"/>
            <w:sz w:val="16"/>
            <w:szCs w:val="16"/>
          </w:rPr>
          <w:t>COUNCIL ON MEDICAL SERVICE</w:t>
        </w:r>
      </w:hyperlink>
    </w:p>
  </w:footnote>
  <w:footnote w:id="20">
    <w:p w14:paraId="61DF808D" w14:textId="77777777" w:rsidR="00D946F8" w:rsidRDefault="00D946F8" w:rsidP="00646036">
      <w:pPr>
        <w:pStyle w:val="FootnoteText"/>
      </w:pPr>
      <w:r w:rsidRPr="00A17BBB">
        <w:rPr>
          <w:rStyle w:val="FootnoteReference"/>
          <w:sz w:val="16"/>
          <w:szCs w:val="16"/>
        </w:rPr>
        <w:footnoteRef/>
      </w:r>
      <w:r w:rsidRPr="00A17BBB">
        <w:rPr>
          <w:sz w:val="16"/>
          <w:szCs w:val="16"/>
        </w:rPr>
        <w:t xml:space="preserve"> </w:t>
      </w:r>
      <w:hyperlink r:id="rId19">
        <w:r w:rsidRPr="00A17BBB">
          <w:rPr>
            <w:rStyle w:val="Hyperlink"/>
            <w:sz w:val="16"/>
            <w:szCs w:val="16"/>
          </w:rPr>
          <w:t>COUNCIL ON MEDICAL SERVICE</w:t>
        </w:r>
      </w:hyperlink>
    </w:p>
  </w:footnote>
  <w:footnote w:id="21">
    <w:p w14:paraId="6BF84837" w14:textId="0E8023FD" w:rsidR="00282917" w:rsidRPr="00102B2F" w:rsidRDefault="00282917">
      <w:pPr>
        <w:pStyle w:val="FootnoteText"/>
        <w:rPr>
          <w:sz w:val="16"/>
          <w:szCs w:val="16"/>
        </w:rPr>
      </w:pPr>
      <w:r>
        <w:rPr>
          <w:rStyle w:val="FootnoteReference"/>
        </w:rPr>
        <w:footnoteRef/>
      </w:r>
      <w:r>
        <w:t xml:space="preserve"> </w:t>
      </w:r>
      <w:hyperlink r:id="rId20" w:history="1">
        <w:r w:rsidRPr="00102B2F">
          <w:rPr>
            <w:rStyle w:val="Hyperlink"/>
            <w:sz w:val="16"/>
            <w:szCs w:val="16"/>
          </w:rPr>
          <w:t>https://dora.colorado.gov/press-release/colorado-option-lowers-premiums-and-saves-coloradans-money-findings-from-brown</w:t>
        </w:r>
      </w:hyperlink>
      <w:r w:rsidRPr="00102B2F">
        <w:rPr>
          <w:sz w:val="16"/>
          <w:szCs w:val="16"/>
        </w:rPr>
        <w:t xml:space="preserve"> </w:t>
      </w:r>
    </w:p>
  </w:footnote>
  <w:footnote w:id="22">
    <w:p w14:paraId="743978D7" w14:textId="65FA8307" w:rsidR="00282917" w:rsidRDefault="00282917">
      <w:pPr>
        <w:pStyle w:val="FootnoteText"/>
      </w:pPr>
      <w:r>
        <w:rPr>
          <w:rStyle w:val="FootnoteReference"/>
        </w:rPr>
        <w:footnoteRef/>
      </w:r>
      <w:r>
        <w:t xml:space="preserve"> </w:t>
      </w:r>
      <w:hyperlink r:id="rId21" w:history="1">
        <w:r w:rsidR="000F53C9" w:rsidRPr="00102B2F">
          <w:rPr>
            <w:rStyle w:val="Hyperlink"/>
            <w:sz w:val="16"/>
            <w:szCs w:val="16"/>
          </w:rPr>
          <w:t>https://www.mathematica.org/publications/analysis-of-the-colorado-option</w:t>
        </w:r>
      </w:hyperlink>
      <w:r w:rsidR="000F53C9">
        <w:t xml:space="preserve"> </w:t>
      </w:r>
    </w:p>
  </w:footnote>
  <w:footnote w:id="23">
    <w:p w14:paraId="349521DA" w14:textId="77777777" w:rsidR="00B45CAB" w:rsidRPr="00135756" w:rsidRDefault="00B45CAB" w:rsidP="00646036">
      <w:pPr>
        <w:pStyle w:val="FootnoteText"/>
      </w:pPr>
      <w:r>
        <w:rPr>
          <w:rStyle w:val="FootnoteReference"/>
        </w:rPr>
        <w:footnoteRef/>
      </w:r>
      <w:r>
        <w:t xml:space="preserve"> CMS and DOL guidance applicable to PHSA 2707(b). Additional requirements apply to individual and small group market plans.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459B6070" w14:textId="77777777" w:rsidTr="7D95DB54">
      <w:trPr>
        <w:trHeight w:val="300"/>
      </w:trPr>
      <w:tc>
        <w:tcPr>
          <w:tcW w:w="3120" w:type="dxa"/>
        </w:tcPr>
        <w:p w14:paraId="6626761D" w14:textId="78D3FB67" w:rsidR="7D95DB54" w:rsidRDefault="7D95DB54" w:rsidP="7D95DB54">
          <w:pPr>
            <w:pStyle w:val="Header"/>
            <w:ind w:left="-115"/>
          </w:pPr>
        </w:p>
      </w:tc>
      <w:tc>
        <w:tcPr>
          <w:tcW w:w="3120" w:type="dxa"/>
        </w:tcPr>
        <w:p w14:paraId="0EF307DF" w14:textId="2088767D" w:rsidR="7D95DB54" w:rsidRDefault="7D95DB54" w:rsidP="7D95DB54">
          <w:pPr>
            <w:pStyle w:val="Header"/>
            <w:jc w:val="center"/>
          </w:pPr>
        </w:p>
      </w:tc>
      <w:tc>
        <w:tcPr>
          <w:tcW w:w="3120" w:type="dxa"/>
        </w:tcPr>
        <w:p w14:paraId="3FF57728" w14:textId="25C2C50C" w:rsidR="7D95DB54" w:rsidRDefault="7D95DB54" w:rsidP="7D95DB54">
          <w:pPr>
            <w:pStyle w:val="Header"/>
            <w:ind w:right="-115"/>
            <w:jc w:val="right"/>
          </w:pPr>
        </w:p>
      </w:tc>
    </w:tr>
  </w:tbl>
  <w:p w14:paraId="51E38789" w14:textId="70E0BEE8" w:rsidR="7D95DB54" w:rsidRDefault="7D95DB54" w:rsidP="7D95D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42D2DE14" w14:textId="77777777" w:rsidTr="7D95DB54">
      <w:trPr>
        <w:trHeight w:val="300"/>
      </w:trPr>
      <w:tc>
        <w:tcPr>
          <w:tcW w:w="3120" w:type="dxa"/>
        </w:tcPr>
        <w:p w14:paraId="747B2785" w14:textId="26B79050" w:rsidR="7D95DB54" w:rsidRDefault="7D95DB54" w:rsidP="7D95DB54">
          <w:pPr>
            <w:pStyle w:val="Header"/>
            <w:ind w:left="-115"/>
          </w:pPr>
        </w:p>
      </w:tc>
      <w:tc>
        <w:tcPr>
          <w:tcW w:w="3120" w:type="dxa"/>
        </w:tcPr>
        <w:p w14:paraId="2F695343" w14:textId="3EE8F45D" w:rsidR="7D95DB54" w:rsidRDefault="7D95DB54" w:rsidP="7D95DB54">
          <w:pPr>
            <w:pStyle w:val="Header"/>
            <w:jc w:val="center"/>
          </w:pPr>
        </w:p>
      </w:tc>
      <w:tc>
        <w:tcPr>
          <w:tcW w:w="3120" w:type="dxa"/>
        </w:tcPr>
        <w:p w14:paraId="043A4A4E" w14:textId="07D8E7DA" w:rsidR="7D95DB54" w:rsidRDefault="7D95DB54" w:rsidP="7D95DB54">
          <w:pPr>
            <w:pStyle w:val="Header"/>
            <w:ind w:right="-115"/>
            <w:jc w:val="right"/>
          </w:pPr>
        </w:p>
      </w:tc>
    </w:tr>
  </w:tbl>
  <w:p w14:paraId="15471D57" w14:textId="0BC9D417" w:rsidR="7D95DB54" w:rsidRDefault="7D95DB54" w:rsidP="7D95DB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D95DB54" w14:paraId="749E575C" w14:textId="77777777" w:rsidTr="7D95DB54">
      <w:trPr>
        <w:trHeight w:val="300"/>
      </w:trPr>
      <w:tc>
        <w:tcPr>
          <w:tcW w:w="3360" w:type="dxa"/>
        </w:tcPr>
        <w:p w14:paraId="299DEFCA" w14:textId="6266A88A" w:rsidR="7D95DB54" w:rsidRDefault="7D95DB54" w:rsidP="7D95DB54">
          <w:pPr>
            <w:pStyle w:val="Header"/>
            <w:ind w:left="-115"/>
          </w:pPr>
        </w:p>
      </w:tc>
      <w:tc>
        <w:tcPr>
          <w:tcW w:w="3360" w:type="dxa"/>
        </w:tcPr>
        <w:p w14:paraId="388CD190" w14:textId="5F320404" w:rsidR="7D95DB54" w:rsidRDefault="7D95DB54" w:rsidP="7D95DB54">
          <w:pPr>
            <w:pStyle w:val="Header"/>
            <w:jc w:val="center"/>
          </w:pPr>
        </w:p>
      </w:tc>
      <w:tc>
        <w:tcPr>
          <w:tcW w:w="3360" w:type="dxa"/>
        </w:tcPr>
        <w:p w14:paraId="3D16FCEA" w14:textId="655F7569" w:rsidR="7D95DB54" w:rsidRDefault="7D95DB54" w:rsidP="7D95DB54">
          <w:pPr>
            <w:pStyle w:val="Header"/>
            <w:ind w:right="-115"/>
            <w:jc w:val="right"/>
          </w:pPr>
        </w:p>
      </w:tc>
    </w:tr>
  </w:tbl>
  <w:p w14:paraId="7BCC24F5" w14:textId="0C02744B" w:rsidR="7D95DB54" w:rsidRDefault="7D95DB54" w:rsidP="7D95DB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D95DB54" w14:paraId="33027220" w14:textId="77777777" w:rsidTr="7D95DB54">
      <w:trPr>
        <w:trHeight w:val="300"/>
      </w:trPr>
      <w:tc>
        <w:tcPr>
          <w:tcW w:w="3360" w:type="dxa"/>
        </w:tcPr>
        <w:p w14:paraId="308FF634" w14:textId="0D57354C" w:rsidR="7D95DB54" w:rsidRDefault="7D95DB54" w:rsidP="7D95DB54">
          <w:pPr>
            <w:pStyle w:val="Header"/>
            <w:ind w:left="-115"/>
          </w:pPr>
        </w:p>
      </w:tc>
      <w:tc>
        <w:tcPr>
          <w:tcW w:w="3360" w:type="dxa"/>
        </w:tcPr>
        <w:p w14:paraId="0F4AFD5A" w14:textId="032237AE" w:rsidR="7D95DB54" w:rsidRDefault="7D95DB54" w:rsidP="7D95DB54">
          <w:pPr>
            <w:pStyle w:val="Header"/>
            <w:jc w:val="center"/>
          </w:pPr>
        </w:p>
      </w:tc>
      <w:tc>
        <w:tcPr>
          <w:tcW w:w="3360" w:type="dxa"/>
        </w:tcPr>
        <w:p w14:paraId="610CCE56" w14:textId="3529BAA5" w:rsidR="7D95DB54" w:rsidRDefault="7D95DB54" w:rsidP="7D95DB54">
          <w:pPr>
            <w:pStyle w:val="Header"/>
            <w:ind w:right="-115"/>
            <w:jc w:val="right"/>
          </w:pPr>
        </w:p>
      </w:tc>
    </w:tr>
  </w:tbl>
  <w:p w14:paraId="37F328EB" w14:textId="1E0F128D" w:rsidR="7D95DB54" w:rsidRDefault="7D95DB54" w:rsidP="7D95DB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496B09F0" w14:textId="77777777" w:rsidTr="7D95DB54">
      <w:trPr>
        <w:trHeight w:val="300"/>
      </w:trPr>
      <w:tc>
        <w:tcPr>
          <w:tcW w:w="3360" w:type="dxa"/>
        </w:tcPr>
        <w:p w14:paraId="436381D2" w14:textId="024ACE1E" w:rsidR="7D95DB54" w:rsidRDefault="7D95DB54" w:rsidP="7D95DB54">
          <w:pPr>
            <w:pStyle w:val="Header"/>
            <w:ind w:left="-115"/>
          </w:pPr>
        </w:p>
      </w:tc>
      <w:tc>
        <w:tcPr>
          <w:tcW w:w="3360" w:type="dxa"/>
        </w:tcPr>
        <w:p w14:paraId="6DB62241" w14:textId="39C39037" w:rsidR="7D95DB54" w:rsidRDefault="7D95DB54" w:rsidP="7D95DB54">
          <w:pPr>
            <w:pStyle w:val="Header"/>
            <w:jc w:val="center"/>
          </w:pPr>
        </w:p>
      </w:tc>
      <w:tc>
        <w:tcPr>
          <w:tcW w:w="3360" w:type="dxa"/>
        </w:tcPr>
        <w:p w14:paraId="61C9648A" w14:textId="331AB76C" w:rsidR="7D95DB54" w:rsidRDefault="7D95DB54" w:rsidP="7D95DB54">
          <w:pPr>
            <w:pStyle w:val="Header"/>
            <w:ind w:right="-115"/>
            <w:jc w:val="right"/>
          </w:pPr>
        </w:p>
      </w:tc>
    </w:tr>
  </w:tbl>
  <w:p w14:paraId="110A4E0D" w14:textId="185011BC" w:rsidR="7D95DB54" w:rsidRDefault="7D95DB54" w:rsidP="7D95DB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D95DB54" w14:paraId="3AD2C1AD" w14:textId="77777777" w:rsidTr="7D95DB54">
      <w:trPr>
        <w:trHeight w:val="300"/>
      </w:trPr>
      <w:tc>
        <w:tcPr>
          <w:tcW w:w="3360" w:type="dxa"/>
        </w:tcPr>
        <w:p w14:paraId="25FD1E5A" w14:textId="04872860" w:rsidR="7D95DB54" w:rsidRDefault="7D95DB54" w:rsidP="7D95DB54">
          <w:pPr>
            <w:pStyle w:val="Header"/>
            <w:ind w:left="-115"/>
          </w:pPr>
        </w:p>
      </w:tc>
      <w:tc>
        <w:tcPr>
          <w:tcW w:w="3360" w:type="dxa"/>
        </w:tcPr>
        <w:p w14:paraId="3BBEC5AD" w14:textId="7C4F3C3D" w:rsidR="7D95DB54" w:rsidRDefault="7D95DB54" w:rsidP="7D95DB54">
          <w:pPr>
            <w:pStyle w:val="Header"/>
            <w:jc w:val="center"/>
          </w:pPr>
        </w:p>
      </w:tc>
      <w:tc>
        <w:tcPr>
          <w:tcW w:w="3360" w:type="dxa"/>
        </w:tcPr>
        <w:p w14:paraId="7ED41DA7" w14:textId="5DB6C03E" w:rsidR="7D95DB54" w:rsidRDefault="7D95DB54" w:rsidP="7D95DB54">
          <w:pPr>
            <w:pStyle w:val="Header"/>
            <w:ind w:right="-115"/>
            <w:jc w:val="right"/>
          </w:pPr>
        </w:p>
      </w:tc>
    </w:tr>
  </w:tbl>
  <w:p w14:paraId="451AD422" w14:textId="371FA1B5" w:rsidR="7D95DB54" w:rsidRDefault="7D95DB54" w:rsidP="7D95DB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7DAFCCF5" w14:textId="77777777" w:rsidTr="7D95DB54">
      <w:trPr>
        <w:trHeight w:val="300"/>
      </w:trPr>
      <w:tc>
        <w:tcPr>
          <w:tcW w:w="3360" w:type="dxa"/>
        </w:tcPr>
        <w:p w14:paraId="39F60212" w14:textId="356E82BB" w:rsidR="7D95DB54" w:rsidRDefault="7D95DB54" w:rsidP="7D95DB54">
          <w:pPr>
            <w:pStyle w:val="Header"/>
            <w:ind w:left="-115"/>
          </w:pPr>
        </w:p>
      </w:tc>
      <w:tc>
        <w:tcPr>
          <w:tcW w:w="3360" w:type="dxa"/>
        </w:tcPr>
        <w:p w14:paraId="0AB36184" w14:textId="550CDDFF" w:rsidR="7D95DB54" w:rsidRDefault="7D95DB54" w:rsidP="7D95DB54">
          <w:pPr>
            <w:pStyle w:val="Header"/>
            <w:jc w:val="center"/>
          </w:pPr>
        </w:p>
      </w:tc>
      <w:tc>
        <w:tcPr>
          <w:tcW w:w="3360" w:type="dxa"/>
        </w:tcPr>
        <w:p w14:paraId="387091E4" w14:textId="39B60E1E" w:rsidR="7D95DB54" w:rsidRDefault="7D95DB54" w:rsidP="7D95DB54">
          <w:pPr>
            <w:pStyle w:val="Header"/>
            <w:ind w:right="-115"/>
            <w:jc w:val="right"/>
          </w:pPr>
        </w:p>
      </w:tc>
    </w:tr>
  </w:tbl>
  <w:p w14:paraId="14622900" w14:textId="3B718961" w:rsidR="7D95DB54" w:rsidRDefault="7D95DB54" w:rsidP="7D95DB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D95DB54" w14:paraId="46F7B90E" w14:textId="77777777" w:rsidTr="7D95DB54">
      <w:trPr>
        <w:trHeight w:val="300"/>
      </w:trPr>
      <w:tc>
        <w:tcPr>
          <w:tcW w:w="3360" w:type="dxa"/>
        </w:tcPr>
        <w:p w14:paraId="7E9D51A5" w14:textId="2F4EF4FF" w:rsidR="7D95DB54" w:rsidRDefault="7D95DB54" w:rsidP="7D95DB54">
          <w:pPr>
            <w:pStyle w:val="Header"/>
            <w:ind w:left="-115"/>
          </w:pPr>
        </w:p>
      </w:tc>
      <w:tc>
        <w:tcPr>
          <w:tcW w:w="3360" w:type="dxa"/>
        </w:tcPr>
        <w:p w14:paraId="4BC525AA" w14:textId="38A8F7D0" w:rsidR="7D95DB54" w:rsidRDefault="7D95DB54" w:rsidP="7D95DB54">
          <w:pPr>
            <w:pStyle w:val="Header"/>
            <w:jc w:val="center"/>
          </w:pPr>
        </w:p>
      </w:tc>
      <w:tc>
        <w:tcPr>
          <w:tcW w:w="3360" w:type="dxa"/>
        </w:tcPr>
        <w:p w14:paraId="3AB14E1C" w14:textId="7C4E8797" w:rsidR="7D95DB54" w:rsidRDefault="7D95DB54" w:rsidP="7D95DB54">
          <w:pPr>
            <w:pStyle w:val="Header"/>
            <w:ind w:right="-115"/>
            <w:jc w:val="right"/>
          </w:pPr>
        </w:p>
      </w:tc>
    </w:tr>
  </w:tbl>
  <w:p w14:paraId="02F5F1F8" w14:textId="4E791909" w:rsidR="7D95DB54" w:rsidRDefault="7D95DB54" w:rsidP="7D95DB5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0D805836" w14:textId="77777777" w:rsidTr="7D95DB54">
      <w:trPr>
        <w:trHeight w:val="300"/>
      </w:trPr>
      <w:tc>
        <w:tcPr>
          <w:tcW w:w="3360" w:type="dxa"/>
        </w:tcPr>
        <w:p w14:paraId="104B9224" w14:textId="077CF66B" w:rsidR="7D95DB54" w:rsidRDefault="7D95DB54" w:rsidP="7D95DB54">
          <w:pPr>
            <w:pStyle w:val="Header"/>
            <w:ind w:left="-115"/>
          </w:pPr>
        </w:p>
      </w:tc>
      <w:tc>
        <w:tcPr>
          <w:tcW w:w="3360" w:type="dxa"/>
        </w:tcPr>
        <w:p w14:paraId="330000A0" w14:textId="4AD52523" w:rsidR="7D95DB54" w:rsidRDefault="7D95DB54" w:rsidP="7D95DB54">
          <w:pPr>
            <w:pStyle w:val="Header"/>
            <w:jc w:val="center"/>
          </w:pPr>
        </w:p>
      </w:tc>
      <w:tc>
        <w:tcPr>
          <w:tcW w:w="3360" w:type="dxa"/>
        </w:tcPr>
        <w:p w14:paraId="0B705AD4" w14:textId="3DD23B82" w:rsidR="7D95DB54" w:rsidRDefault="7D95DB54" w:rsidP="7D95DB54">
          <w:pPr>
            <w:pStyle w:val="Header"/>
            <w:ind w:right="-115"/>
            <w:jc w:val="right"/>
          </w:pPr>
        </w:p>
      </w:tc>
    </w:tr>
  </w:tbl>
  <w:p w14:paraId="5E5F653B" w14:textId="76806AE6" w:rsidR="7D95DB54" w:rsidRDefault="7D95DB54" w:rsidP="7D95DB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D95DB54" w14:paraId="72E4709B" w14:textId="77777777" w:rsidTr="7D95DB54">
      <w:trPr>
        <w:trHeight w:val="300"/>
      </w:trPr>
      <w:tc>
        <w:tcPr>
          <w:tcW w:w="3360" w:type="dxa"/>
        </w:tcPr>
        <w:p w14:paraId="602F090D" w14:textId="1F8D71AF" w:rsidR="7D95DB54" w:rsidRDefault="7D95DB54" w:rsidP="7D95DB54">
          <w:pPr>
            <w:pStyle w:val="Header"/>
            <w:ind w:left="-115"/>
          </w:pPr>
        </w:p>
      </w:tc>
      <w:tc>
        <w:tcPr>
          <w:tcW w:w="3360" w:type="dxa"/>
        </w:tcPr>
        <w:p w14:paraId="5103463F" w14:textId="305FDD91" w:rsidR="7D95DB54" w:rsidRDefault="7D95DB54" w:rsidP="7D95DB54">
          <w:pPr>
            <w:pStyle w:val="Header"/>
            <w:jc w:val="center"/>
          </w:pPr>
        </w:p>
      </w:tc>
      <w:tc>
        <w:tcPr>
          <w:tcW w:w="3360" w:type="dxa"/>
        </w:tcPr>
        <w:p w14:paraId="0A41D883" w14:textId="1005BC66" w:rsidR="7D95DB54" w:rsidRDefault="7D95DB54" w:rsidP="7D95DB54">
          <w:pPr>
            <w:pStyle w:val="Header"/>
            <w:ind w:right="-115"/>
            <w:jc w:val="right"/>
          </w:pPr>
        </w:p>
      </w:tc>
    </w:tr>
  </w:tbl>
  <w:p w14:paraId="7AF0E866" w14:textId="227D3618" w:rsidR="7D95DB54" w:rsidRDefault="7D95DB54" w:rsidP="7D95DB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D95DB54" w14:paraId="3126485E" w14:textId="77777777" w:rsidTr="7D95DB54">
      <w:trPr>
        <w:trHeight w:val="300"/>
      </w:trPr>
      <w:tc>
        <w:tcPr>
          <w:tcW w:w="3360" w:type="dxa"/>
        </w:tcPr>
        <w:p w14:paraId="2591C35D" w14:textId="47A1A27E" w:rsidR="7D95DB54" w:rsidRDefault="7D95DB54" w:rsidP="7D95DB54">
          <w:pPr>
            <w:pStyle w:val="Header"/>
            <w:ind w:left="-115"/>
          </w:pPr>
        </w:p>
      </w:tc>
      <w:tc>
        <w:tcPr>
          <w:tcW w:w="3360" w:type="dxa"/>
        </w:tcPr>
        <w:p w14:paraId="69C51518" w14:textId="0E40342D" w:rsidR="7D95DB54" w:rsidRDefault="7D95DB54" w:rsidP="7D95DB54">
          <w:pPr>
            <w:pStyle w:val="Header"/>
            <w:jc w:val="center"/>
          </w:pPr>
        </w:p>
      </w:tc>
      <w:tc>
        <w:tcPr>
          <w:tcW w:w="3360" w:type="dxa"/>
        </w:tcPr>
        <w:p w14:paraId="3499FD80" w14:textId="4D2954B9" w:rsidR="7D95DB54" w:rsidRDefault="7D95DB54" w:rsidP="7D95DB54">
          <w:pPr>
            <w:pStyle w:val="Header"/>
            <w:ind w:right="-115"/>
            <w:jc w:val="right"/>
          </w:pPr>
        </w:p>
      </w:tc>
    </w:tr>
  </w:tbl>
  <w:p w14:paraId="69DDABDB" w14:textId="0CE424F7" w:rsidR="7D95DB54" w:rsidRDefault="7D95DB54" w:rsidP="7D95DB5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D95DB54" w14:paraId="250735AE" w14:textId="77777777" w:rsidTr="7D95DB54">
      <w:trPr>
        <w:trHeight w:val="300"/>
      </w:trPr>
      <w:tc>
        <w:tcPr>
          <w:tcW w:w="3360" w:type="dxa"/>
        </w:tcPr>
        <w:p w14:paraId="746C8F6A" w14:textId="007093F5" w:rsidR="7D95DB54" w:rsidRDefault="7D95DB54" w:rsidP="7D95DB54">
          <w:pPr>
            <w:pStyle w:val="Header"/>
            <w:ind w:left="-115"/>
          </w:pPr>
        </w:p>
      </w:tc>
      <w:tc>
        <w:tcPr>
          <w:tcW w:w="3360" w:type="dxa"/>
        </w:tcPr>
        <w:p w14:paraId="4DC9E1F5" w14:textId="11366F90" w:rsidR="7D95DB54" w:rsidRDefault="7D95DB54" w:rsidP="7D95DB54">
          <w:pPr>
            <w:pStyle w:val="Header"/>
            <w:jc w:val="center"/>
          </w:pPr>
        </w:p>
      </w:tc>
      <w:tc>
        <w:tcPr>
          <w:tcW w:w="3360" w:type="dxa"/>
        </w:tcPr>
        <w:p w14:paraId="5CE09E1E" w14:textId="2847F01B" w:rsidR="7D95DB54" w:rsidRDefault="7D95DB54" w:rsidP="7D95DB54">
          <w:pPr>
            <w:pStyle w:val="Header"/>
            <w:ind w:right="-115"/>
            <w:jc w:val="right"/>
          </w:pPr>
        </w:p>
      </w:tc>
    </w:tr>
  </w:tbl>
  <w:p w14:paraId="1FA7810A" w14:textId="2DFA60B2" w:rsidR="7D95DB54" w:rsidRDefault="7D95DB54" w:rsidP="7D95DB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F898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F402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EDC08C8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AE4231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30331F2"/>
    <w:multiLevelType w:val="multilevel"/>
    <w:tmpl w:val="0EE49C78"/>
    <w:styleLink w:val="ListStyle-FactBoxListBullet"/>
    <w:lvl w:ilvl="0">
      <w:start w:val="1"/>
      <w:numFmt w:val="bullet"/>
      <w:pStyle w:val="FactBox-ListBullet"/>
      <w:lvlText w:val="•"/>
      <w:lvlJc w:val="left"/>
      <w:pPr>
        <w:ind w:left="454" w:hanging="284"/>
      </w:pPr>
      <w:rPr>
        <w:rFonts w:asciiTheme="minorHAnsi" w:hAnsiTheme="minorHAnsi"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5" w15:restartNumberingAfterBreak="0">
    <w:nsid w:val="0C419924"/>
    <w:multiLevelType w:val="hybridMultilevel"/>
    <w:tmpl w:val="24789A3A"/>
    <w:lvl w:ilvl="0" w:tplc="5052CC5A">
      <w:start w:val="1"/>
      <w:numFmt w:val="decimal"/>
      <w:lvlText w:val="%1)"/>
      <w:lvlJc w:val="left"/>
      <w:pPr>
        <w:ind w:left="720" w:hanging="360"/>
      </w:pPr>
    </w:lvl>
    <w:lvl w:ilvl="1" w:tplc="36386CE2">
      <w:start w:val="1"/>
      <w:numFmt w:val="lowerLetter"/>
      <w:lvlText w:val="%2."/>
      <w:lvlJc w:val="left"/>
      <w:pPr>
        <w:ind w:left="1440" w:hanging="360"/>
      </w:pPr>
    </w:lvl>
    <w:lvl w:ilvl="2" w:tplc="86749D74">
      <w:start w:val="1"/>
      <w:numFmt w:val="lowerRoman"/>
      <w:lvlText w:val="%3."/>
      <w:lvlJc w:val="right"/>
      <w:pPr>
        <w:ind w:left="2160" w:hanging="180"/>
      </w:pPr>
    </w:lvl>
    <w:lvl w:ilvl="3" w:tplc="F4D09172">
      <w:start w:val="1"/>
      <w:numFmt w:val="decimal"/>
      <w:lvlText w:val="%4."/>
      <w:lvlJc w:val="left"/>
      <w:pPr>
        <w:ind w:left="2880" w:hanging="360"/>
      </w:pPr>
    </w:lvl>
    <w:lvl w:ilvl="4" w:tplc="44F6EEA0">
      <w:start w:val="1"/>
      <w:numFmt w:val="lowerLetter"/>
      <w:lvlText w:val="%5."/>
      <w:lvlJc w:val="left"/>
      <w:pPr>
        <w:ind w:left="3600" w:hanging="360"/>
      </w:pPr>
    </w:lvl>
    <w:lvl w:ilvl="5" w:tplc="3584580E">
      <w:start w:val="1"/>
      <w:numFmt w:val="lowerRoman"/>
      <w:lvlText w:val="%6."/>
      <w:lvlJc w:val="right"/>
      <w:pPr>
        <w:ind w:left="4320" w:hanging="180"/>
      </w:pPr>
    </w:lvl>
    <w:lvl w:ilvl="6" w:tplc="AC7EFF30">
      <w:start w:val="1"/>
      <w:numFmt w:val="decimal"/>
      <w:lvlText w:val="%7."/>
      <w:lvlJc w:val="left"/>
      <w:pPr>
        <w:ind w:left="5040" w:hanging="360"/>
      </w:pPr>
    </w:lvl>
    <w:lvl w:ilvl="7" w:tplc="5E5AFBC0">
      <w:start w:val="1"/>
      <w:numFmt w:val="lowerLetter"/>
      <w:lvlText w:val="%8."/>
      <w:lvlJc w:val="left"/>
      <w:pPr>
        <w:ind w:left="5760" w:hanging="360"/>
      </w:pPr>
    </w:lvl>
    <w:lvl w:ilvl="8" w:tplc="C24EDB62">
      <w:start w:val="1"/>
      <w:numFmt w:val="lowerRoman"/>
      <w:lvlText w:val="%9."/>
      <w:lvlJc w:val="right"/>
      <w:pPr>
        <w:ind w:left="6480" w:hanging="180"/>
      </w:pPr>
    </w:lvl>
  </w:abstractNum>
  <w:abstractNum w:abstractNumId="6" w15:restartNumberingAfterBreak="0">
    <w:nsid w:val="101E0D26"/>
    <w:multiLevelType w:val="multilevel"/>
    <w:tmpl w:val="0406001D"/>
    <w:styleLink w:val="1ai"/>
    <w:lvl w:ilvl="0">
      <w:start w:val="1"/>
      <w:numFmt w:val="decimal"/>
      <w:lvlText w:val="%1)"/>
      <w:lvlJc w:val="left"/>
      <w:pPr>
        <w:ind w:left="360" w:hanging="360"/>
      </w:pPr>
      <w:rPr>
        <w:rFonts w:ascii="AvenirNext LT Pro Regular" w:hAnsi="AvenirNext LT Pro Regular"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1837254"/>
    <w:multiLevelType w:val="multilevel"/>
    <w:tmpl w:val="6BD40C76"/>
    <w:numStyleLink w:val="ListStyle-ListAlphabet"/>
  </w:abstractNum>
  <w:abstractNum w:abstractNumId="8" w15:restartNumberingAfterBreak="0">
    <w:nsid w:val="11EB237C"/>
    <w:multiLevelType w:val="multilevel"/>
    <w:tmpl w:val="E9086F02"/>
    <w:styleLink w:val="Liststyle-TableListBullet"/>
    <w:lvl w:ilvl="0">
      <w:start w:val="1"/>
      <w:numFmt w:val="bullet"/>
      <w:lvlText w:val="•"/>
      <w:lvlJc w:val="left"/>
      <w:pPr>
        <w:ind w:left="284" w:hanging="171"/>
      </w:pPr>
      <w:rPr>
        <w:rFonts w:ascii="AvenirNext LT Pro Regular" w:hAnsi="AvenirNext LT Pro Regular"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9" w15:restartNumberingAfterBreak="0">
    <w:nsid w:val="12476F5C"/>
    <w:multiLevelType w:val="multilevel"/>
    <w:tmpl w:val="0EE49C78"/>
    <w:numStyleLink w:val="ListStyle-FactBoxListBullet"/>
  </w:abstractNum>
  <w:abstractNum w:abstractNumId="10" w15:restartNumberingAfterBreak="0">
    <w:nsid w:val="197C6BC6"/>
    <w:multiLevelType w:val="multilevel"/>
    <w:tmpl w:val="6BD40C76"/>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11" w15:restartNumberingAfterBreak="0">
    <w:nsid w:val="1E1B3059"/>
    <w:multiLevelType w:val="multilevel"/>
    <w:tmpl w:val="EEAE20B6"/>
    <w:styleLink w:val="ListStyle-ListNumber"/>
    <w:lvl w:ilvl="0">
      <w:start w:val="1"/>
      <w:numFmt w:val="decimal"/>
      <w:pStyle w:val="ListNumber"/>
      <w:lvlText w:val="%1."/>
      <w:lvlJc w:val="left"/>
      <w:pPr>
        <w:ind w:left="340" w:hanging="340"/>
      </w:pPr>
      <w:rPr>
        <w:rFonts w:ascii="AvenirNext LT Pro Regular" w:hAnsi="AvenirNext LT Pro Regular"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12" w15:restartNumberingAfterBreak="0">
    <w:nsid w:val="2019191E"/>
    <w:multiLevelType w:val="multilevel"/>
    <w:tmpl w:val="F0800074"/>
    <w:styleLink w:val="ListStyle-AppendixHeading"/>
    <w:lvl w:ilvl="0">
      <w:start w:val="1"/>
      <w:numFmt w:val="decimal"/>
      <w:pStyle w:val="AppendixHeading"/>
      <w:suff w:val="space"/>
      <w:lvlText w:val="Appendix %1 -"/>
      <w:lvlJc w:val="left"/>
      <w:pPr>
        <w:ind w:left="0" w:firstLine="0"/>
      </w:pPr>
      <w:rPr>
        <w:rFonts w:asciiTheme="minorHAnsi" w:hAnsiTheme="minorHAnsi"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6735618"/>
    <w:multiLevelType w:val="multilevel"/>
    <w:tmpl w:val="EEAE20B6"/>
    <w:numStyleLink w:val="ListStyle-ListNumber"/>
  </w:abstractNum>
  <w:abstractNum w:abstractNumId="14" w15:restartNumberingAfterBreak="0">
    <w:nsid w:val="2A8F0B23"/>
    <w:multiLevelType w:val="hybridMultilevel"/>
    <w:tmpl w:val="9CBA20F4"/>
    <w:lvl w:ilvl="0" w:tplc="B1B6377E">
      <w:start w:val="1"/>
      <w:numFmt w:val="bullet"/>
      <w:lvlText w:val="·"/>
      <w:lvlJc w:val="left"/>
      <w:pPr>
        <w:ind w:left="720" w:hanging="360"/>
      </w:pPr>
      <w:rPr>
        <w:rFonts w:ascii="Symbol" w:hAnsi="Symbol" w:hint="default"/>
      </w:rPr>
    </w:lvl>
    <w:lvl w:ilvl="1" w:tplc="548C11E8">
      <w:start w:val="1"/>
      <w:numFmt w:val="bullet"/>
      <w:lvlText w:val="o"/>
      <w:lvlJc w:val="left"/>
      <w:pPr>
        <w:ind w:left="1440" w:hanging="360"/>
      </w:pPr>
      <w:rPr>
        <w:rFonts w:ascii="Courier New" w:hAnsi="Courier New" w:hint="default"/>
      </w:rPr>
    </w:lvl>
    <w:lvl w:ilvl="2" w:tplc="6EC0458E">
      <w:start w:val="1"/>
      <w:numFmt w:val="bullet"/>
      <w:lvlText w:val=""/>
      <w:lvlJc w:val="left"/>
      <w:pPr>
        <w:ind w:left="2160" w:hanging="360"/>
      </w:pPr>
      <w:rPr>
        <w:rFonts w:ascii="Wingdings" w:hAnsi="Wingdings" w:hint="default"/>
      </w:rPr>
    </w:lvl>
    <w:lvl w:ilvl="3" w:tplc="BF9A0900">
      <w:start w:val="1"/>
      <w:numFmt w:val="bullet"/>
      <w:lvlText w:val=""/>
      <w:lvlJc w:val="left"/>
      <w:pPr>
        <w:ind w:left="2880" w:hanging="360"/>
      </w:pPr>
      <w:rPr>
        <w:rFonts w:ascii="Symbol" w:hAnsi="Symbol" w:hint="default"/>
      </w:rPr>
    </w:lvl>
    <w:lvl w:ilvl="4" w:tplc="B1C43BEC">
      <w:start w:val="1"/>
      <w:numFmt w:val="bullet"/>
      <w:lvlText w:val="o"/>
      <w:lvlJc w:val="left"/>
      <w:pPr>
        <w:ind w:left="3600" w:hanging="360"/>
      </w:pPr>
      <w:rPr>
        <w:rFonts w:ascii="Courier New" w:hAnsi="Courier New" w:hint="default"/>
      </w:rPr>
    </w:lvl>
    <w:lvl w:ilvl="5" w:tplc="5D8EA130">
      <w:start w:val="1"/>
      <w:numFmt w:val="bullet"/>
      <w:lvlText w:val=""/>
      <w:lvlJc w:val="left"/>
      <w:pPr>
        <w:ind w:left="4320" w:hanging="360"/>
      </w:pPr>
      <w:rPr>
        <w:rFonts w:ascii="Wingdings" w:hAnsi="Wingdings" w:hint="default"/>
      </w:rPr>
    </w:lvl>
    <w:lvl w:ilvl="6" w:tplc="5358AEDC">
      <w:start w:val="1"/>
      <w:numFmt w:val="bullet"/>
      <w:lvlText w:val=""/>
      <w:lvlJc w:val="left"/>
      <w:pPr>
        <w:ind w:left="5040" w:hanging="360"/>
      </w:pPr>
      <w:rPr>
        <w:rFonts w:ascii="Symbol" w:hAnsi="Symbol" w:hint="default"/>
      </w:rPr>
    </w:lvl>
    <w:lvl w:ilvl="7" w:tplc="ABD6B8BE">
      <w:start w:val="1"/>
      <w:numFmt w:val="bullet"/>
      <w:lvlText w:val="o"/>
      <w:lvlJc w:val="left"/>
      <w:pPr>
        <w:ind w:left="5760" w:hanging="360"/>
      </w:pPr>
      <w:rPr>
        <w:rFonts w:ascii="Courier New" w:hAnsi="Courier New" w:hint="default"/>
      </w:rPr>
    </w:lvl>
    <w:lvl w:ilvl="8" w:tplc="D7682F9A">
      <w:start w:val="1"/>
      <w:numFmt w:val="bullet"/>
      <w:lvlText w:val=""/>
      <w:lvlJc w:val="left"/>
      <w:pPr>
        <w:ind w:left="6480" w:hanging="360"/>
      </w:pPr>
      <w:rPr>
        <w:rFonts w:ascii="Wingdings" w:hAnsi="Wingdings" w:hint="default"/>
      </w:rPr>
    </w:lvl>
  </w:abstractNum>
  <w:abstractNum w:abstractNumId="15" w15:restartNumberingAfterBreak="0">
    <w:nsid w:val="2EAD7215"/>
    <w:multiLevelType w:val="multilevel"/>
    <w:tmpl w:val="F0800074"/>
    <w:numStyleLink w:val="ListStyle-AppendixHeading"/>
  </w:abstractNum>
  <w:abstractNum w:abstractNumId="16" w15:restartNumberingAfterBreak="0">
    <w:nsid w:val="30A914DC"/>
    <w:multiLevelType w:val="hybridMultilevel"/>
    <w:tmpl w:val="4F587336"/>
    <w:lvl w:ilvl="0" w:tplc="602AA4FE">
      <w:start w:val="1"/>
      <w:numFmt w:val="decimal"/>
      <w:lvlText w:val="%1)"/>
      <w:lvlJc w:val="left"/>
      <w:pPr>
        <w:ind w:left="720" w:hanging="360"/>
      </w:pPr>
    </w:lvl>
    <w:lvl w:ilvl="1" w:tplc="3C8AE6F0">
      <w:start w:val="1"/>
      <w:numFmt w:val="lowerLetter"/>
      <w:lvlText w:val="%2."/>
      <w:lvlJc w:val="left"/>
      <w:pPr>
        <w:ind w:left="1440" w:hanging="360"/>
      </w:pPr>
    </w:lvl>
    <w:lvl w:ilvl="2" w:tplc="11AE8982">
      <w:start w:val="1"/>
      <w:numFmt w:val="lowerRoman"/>
      <w:lvlText w:val="%3."/>
      <w:lvlJc w:val="right"/>
      <w:pPr>
        <w:ind w:left="2160" w:hanging="180"/>
      </w:pPr>
    </w:lvl>
    <w:lvl w:ilvl="3" w:tplc="AFE44448">
      <w:start w:val="1"/>
      <w:numFmt w:val="decimal"/>
      <w:lvlText w:val="%4."/>
      <w:lvlJc w:val="left"/>
      <w:pPr>
        <w:ind w:left="2880" w:hanging="360"/>
      </w:pPr>
    </w:lvl>
    <w:lvl w:ilvl="4" w:tplc="F160A2B8">
      <w:start w:val="1"/>
      <w:numFmt w:val="lowerLetter"/>
      <w:lvlText w:val="%5."/>
      <w:lvlJc w:val="left"/>
      <w:pPr>
        <w:ind w:left="3600" w:hanging="360"/>
      </w:pPr>
    </w:lvl>
    <w:lvl w:ilvl="5" w:tplc="0090F3D4">
      <w:start w:val="1"/>
      <w:numFmt w:val="lowerRoman"/>
      <w:lvlText w:val="%6."/>
      <w:lvlJc w:val="right"/>
      <w:pPr>
        <w:ind w:left="4320" w:hanging="180"/>
      </w:pPr>
    </w:lvl>
    <w:lvl w:ilvl="6" w:tplc="BB44C9BE">
      <w:start w:val="1"/>
      <w:numFmt w:val="decimal"/>
      <w:lvlText w:val="%7."/>
      <w:lvlJc w:val="left"/>
      <w:pPr>
        <w:ind w:left="5040" w:hanging="360"/>
      </w:pPr>
    </w:lvl>
    <w:lvl w:ilvl="7" w:tplc="1800089E">
      <w:start w:val="1"/>
      <w:numFmt w:val="lowerLetter"/>
      <w:lvlText w:val="%8."/>
      <w:lvlJc w:val="left"/>
      <w:pPr>
        <w:ind w:left="5760" w:hanging="360"/>
      </w:pPr>
    </w:lvl>
    <w:lvl w:ilvl="8" w:tplc="DFFEC5EE">
      <w:start w:val="1"/>
      <w:numFmt w:val="lowerRoman"/>
      <w:lvlText w:val="%9."/>
      <w:lvlJc w:val="right"/>
      <w:pPr>
        <w:ind w:left="6480" w:hanging="180"/>
      </w:pPr>
    </w:lvl>
  </w:abstractNum>
  <w:abstractNum w:abstractNumId="17" w15:restartNumberingAfterBreak="0">
    <w:nsid w:val="36993D75"/>
    <w:multiLevelType w:val="multilevel"/>
    <w:tmpl w:val="E0384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AA41FB"/>
    <w:multiLevelType w:val="multilevel"/>
    <w:tmpl w:val="1C24E15A"/>
    <w:numStyleLink w:val="ListStyle-FactBoxListNumber"/>
  </w:abstractNum>
  <w:abstractNum w:abstractNumId="19" w15:restartNumberingAfterBreak="0">
    <w:nsid w:val="3B55D2DC"/>
    <w:multiLevelType w:val="hybridMultilevel"/>
    <w:tmpl w:val="26003D08"/>
    <w:lvl w:ilvl="0" w:tplc="BA2CC078">
      <w:start w:val="1"/>
      <w:numFmt w:val="decimal"/>
      <w:lvlText w:val="%1)"/>
      <w:lvlJc w:val="left"/>
      <w:pPr>
        <w:ind w:left="720" w:hanging="360"/>
      </w:pPr>
    </w:lvl>
    <w:lvl w:ilvl="1" w:tplc="464AF308">
      <w:start w:val="1"/>
      <w:numFmt w:val="lowerLetter"/>
      <w:lvlText w:val="%2."/>
      <w:lvlJc w:val="left"/>
      <w:pPr>
        <w:ind w:left="1440" w:hanging="360"/>
      </w:pPr>
    </w:lvl>
    <w:lvl w:ilvl="2" w:tplc="FE9C70C6">
      <w:start w:val="1"/>
      <w:numFmt w:val="lowerRoman"/>
      <w:lvlText w:val="%3."/>
      <w:lvlJc w:val="right"/>
      <w:pPr>
        <w:ind w:left="2160" w:hanging="180"/>
      </w:pPr>
    </w:lvl>
    <w:lvl w:ilvl="3" w:tplc="BBD456DE">
      <w:start w:val="1"/>
      <w:numFmt w:val="decimal"/>
      <w:lvlText w:val="%4."/>
      <w:lvlJc w:val="left"/>
      <w:pPr>
        <w:ind w:left="2880" w:hanging="360"/>
      </w:pPr>
    </w:lvl>
    <w:lvl w:ilvl="4" w:tplc="E61ED1DE">
      <w:start w:val="1"/>
      <w:numFmt w:val="lowerLetter"/>
      <w:lvlText w:val="%5."/>
      <w:lvlJc w:val="left"/>
      <w:pPr>
        <w:ind w:left="3600" w:hanging="360"/>
      </w:pPr>
    </w:lvl>
    <w:lvl w:ilvl="5" w:tplc="F162C844">
      <w:start w:val="1"/>
      <w:numFmt w:val="lowerRoman"/>
      <w:lvlText w:val="%6."/>
      <w:lvlJc w:val="right"/>
      <w:pPr>
        <w:ind w:left="4320" w:hanging="180"/>
      </w:pPr>
    </w:lvl>
    <w:lvl w:ilvl="6" w:tplc="4E5ED88C">
      <w:start w:val="1"/>
      <w:numFmt w:val="decimal"/>
      <w:lvlText w:val="%7."/>
      <w:lvlJc w:val="left"/>
      <w:pPr>
        <w:ind w:left="5040" w:hanging="360"/>
      </w:pPr>
    </w:lvl>
    <w:lvl w:ilvl="7" w:tplc="0484BF98">
      <w:start w:val="1"/>
      <w:numFmt w:val="lowerLetter"/>
      <w:lvlText w:val="%8."/>
      <w:lvlJc w:val="left"/>
      <w:pPr>
        <w:ind w:left="5760" w:hanging="360"/>
      </w:pPr>
    </w:lvl>
    <w:lvl w:ilvl="8" w:tplc="BAD27F90">
      <w:start w:val="1"/>
      <w:numFmt w:val="lowerRoman"/>
      <w:lvlText w:val="%9."/>
      <w:lvlJc w:val="right"/>
      <w:pPr>
        <w:ind w:left="6480" w:hanging="180"/>
      </w:pPr>
    </w:lvl>
  </w:abstractNum>
  <w:abstractNum w:abstractNumId="20" w15:restartNumberingAfterBreak="0">
    <w:nsid w:val="3BB83C9A"/>
    <w:multiLevelType w:val="hybridMultilevel"/>
    <w:tmpl w:val="43F22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EB798E"/>
    <w:multiLevelType w:val="multilevel"/>
    <w:tmpl w:val="1F207F06"/>
    <w:numStyleLink w:val="ListStyle-TableListBullet0"/>
  </w:abstractNum>
  <w:abstractNum w:abstractNumId="22" w15:restartNumberingAfterBreak="0">
    <w:nsid w:val="40394DD2"/>
    <w:multiLevelType w:val="hybridMultilevel"/>
    <w:tmpl w:val="2A12423A"/>
    <w:lvl w:ilvl="0" w:tplc="01D45FAA">
      <w:start w:val="1"/>
      <w:numFmt w:val="decimal"/>
      <w:lvlText w:val="%1)"/>
      <w:lvlJc w:val="left"/>
      <w:pPr>
        <w:ind w:left="720" w:hanging="360"/>
      </w:pPr>
    </w:lvl>
    <w:lvl w:ilvl="1" w:tplc="52223324">
      <w:start w:val="1"/>
      <w:numFmt w:val="lowerLetter"/>
      <w:lvlText w:val="%2."/>
      <w:lvlJc w:val="left"/>
      <w:pPr>
        <w:ind w:left="1440" w:hanging="360"/>
      </w:pPr>
    </w:lvl>
    <w:lvl w:ilvl="2" w:tplc="372292A2">
      <w:start w:val="1"/>
      <w:numFmt w:val="lowerRoman"/>
      <w:lvlText w:val="%3."/>
      <w:lvlJc w:val="right"/>
      <w:pPr>
        <w:ind w:left="2160" w:hanging="180"/>
      </w:pPr>
    </w:lvl>
    <w:lvl w:ilvl="3" w:tplc="D652B054">
      <w:start w:val="1"/>
      <w:numFmt w:val="decimal"/>
      <w:lvlText w:val="%4."/>
      <w:lvlJc w:val="left"/>
      <w:pPr>
        <w:ind w:left="2880" w:hanging="360"/>
      </w:pPr>
    </w:lvl>
    <w:lvl w:ilvl="4" w:tplc="103295C6">
      <w:start w:val="1"/>
      <w:numFmt w:val="lowerLetter"/>
      <w:lvlText w:val="%5."/>
      <w:lvlJc w:val="left"/>
      <w:pPr>
        <w:ind w:left="3600" w:hanging="360"/>
      </w:pPr>
    </w:lvl>
    <w:lvl w:ilvl="5" w:tplc="77B83660">
      <w:start w:val="1"/>
      <w:numFmt w:val="lowerRoman"/>
      <w:lvlText w:val="%6."/>
      <w:lvlJc w:val="right"/>
      <w:pPr>
        <w:ind w:left="4320" w:hanging="180"/>
      </w:pPr>
    </w:lvl>
    <w:lvl w:ilvl="6" w:tplc="71740E8A">
      <w:start w:val="1"/>
      <w:numFmt w:val="decimal"/>
      <w:lvlText w:val="%7."/>
      <w:lvlJc w:val="left"/>
      <w:pPr>
        <w:ind w:left="5040" w:hanging="360"/>
      </w:pPr>
    </w:lvl>
    <w:lvl w:ilvl="7" w:tplc="2D929F8E">
      <w:start w:val="1"/>
      <w:numFmt w:val="lowerLetter"/>
      <w:lvlText w:val="%8."/>
      <w:lvlJc w:val="left"/>
      <w:pPr>
        <w:ind w:left="5760" w:hanging="360"/>
      </w:pPr>
    </w:lvl>
    <w:lvl w:ilvl="8" w:tplc="A2F4FDB0">
      <w:start w:val="1"/>
      <w:numFmt w:val="lowerRoman"/>
      <w:lvlText w:val="%9."/>
      <w:lvlJc w:val="right"/>
      <w:pPr>
        <w:ind w:left="6480" w:hanging="180"/>
      </w:pPr>
    </w:lvl>
  </w:abstractNum>
  <w:abstractNum w:abstractNumId="23" w15:restartNumberingAfterBreak="0">
    <w:nsid w:val="416E2BE2"/>
    <w:multiLevelType w:val="multilevel"/>
    <w:tmpl w:val="75FCB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5E92F63"/>
    <w:multiLevelType w:val="hybridMultilevel"/>
    <w:tmpl w:val="685268E8"/>
    <w:lvl w:ilvl="0" w:tplc="4ABC6120">
      <w:start w:val="1"/>
      <w:numFmt w:val="bullet"/>
      <w:pStyle w:val="Not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44521F"/>
    <w:multiLevelType w:val="hybridMultilevel"/>
    <w:tmpl w:val="858C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6F0B62"/>
    <w:multiLevelType w:val="multilevel"/>
    <w:tmpl w:val="8AC65032"/>
    <w:styleLink w:val="ListStyle-ListBullet"/>
    <w:lvl w:ilvl="0">
      <w:start w:val="1"/>
      <w:numFmt w:val="bullet"/>
      <w:pStyle w:val="ListBullet"/>
      <w:lvlText w:val="•"/>
      <w:lvlJc w:val="left"/>
      <w:pPr>
        <w:ind w:left="340" w:hanging="340"/>
      </w:pPr>
      <w:rPr>
        <w:rFonts w:ascii="Times New Roman" w:hAnsi="Times New Roman" w:cs="Times New Roman" w:hint="default"/>
      </w:rPr>
    </w:lvl>
    <w:lvl w:ilvl="1">
      <w:start w:val="1"/>
      <w:numFmt w:val="bullet"/>
      <w:lvlText w:val="•"/>
      <w:lvlJc w:val="left"/>
      <w:pPr>
        <w:ind w:left="680" w:hanging="340"/>
      </w:pPr>
      <w:rPr>
        <w:rFonts w:ascii="Times New Roman" w:hAnsi="Times New Roman" w:cs="Times New Roman" w:hint="default"/>
      </w:rPr>
    </w:lvl>
    <w:lvl w:ilvl="2">
      <w:start w:val="1"/>
      <w:numFmt w:val="bullet"/>
      <w:lvlText w:val="•"/>
      <w:lvlJc w:val="left"/>
      <w:pPr>
        <w:ind w:left="1020" w:hanging="340"/>
      </w:pPr>
      <w:rPr>
        <w:rFonts w:ascii="Times New Roman" w:hAnsi="Times New Roman" w:cs="Times New Roman" w:hint="default"/>
      </w:rPr>
    </w:lvl>
    <w:lvl w:ilvl="3">
      <w:start w:val="1"/>
      <w:numFmt w:val="bullet"/>
      <w:lvlText w:val="•"/>
      <w:lvlJc w:val="left"/>
      <w:pPr>
        <w:ind w:left="1360" w:hanging="340"/>
      </w:pPr>
      <w:rPr>
        <w:rFonts w:ascii="Times New Roman" w:hAnsi="Times New Roman" w:cs="Times New Roman" w:hint="default"/>
      </w:rPr>
    </w:lvl>
    <w:lvl w:ilvl="4">
      <w:start w:val="1"/>
      <w:numFmt w:val="bullet"/>
      <w:lvlText w:val="•"/>
      <w:lvlJc w:val="left"/>
      <w:pPr>
        <w:ind w:left="1700" w:hanging="340"/>
      </w:pPr>
      <w:rPr>
        <w:rFonts w:ascii="Times New Roman" w:hAnsi="Times New Roman" w:cs="Times New Roman" w:hint="default"/>
      </w:rPr>
    </w:lvl>
    <w:lvl w:ilvl="5">
      <w:start w:val="1"/>
      <w:numFmt w:val="bullet"/>
      <w:lvlText w:val="•"/>
      <w:lvlJc w:val="left"/>
      <w:pPr>
        <w:ind w:left="2040" w:hanging="340"/>
      </w:pPr>
      <w:rPr>
        <w:rFonts w:ascii="Times New Roman" w:hAnsi="Times New Roman" w:cs="Times New Roman" w:hint="default"/>
      </w:rPr>
    </w:lvl>
    <w:lvl w:ilvl="6">
      <w:start w:val="1"/>
      <w:numFmt w:val="bullet"/>
      <w:lvlText w:val="•"/>
      <w:lvlJc w:val="left"/>
      <w:pPr>
        <w:ind w:left="2380" w:hanging="340"/>
      </w:pPr>
      <w:rPr>
        <w:rFonts w:ascii="Times New Roman" w:hAnsi="Times New Roman" w:cs="Times New Roman" w:hint="default"/>
      </w:rPr>
    </w:lvl>
    <w:lvl w:ilvl="7">
      <w:start w:val="1"/>
      <w:numFmt w:val="bullet"/>
      <w:lvlText w:val="•"/>
      <w:lvlJc w:val="left"/>
      <w:pPr>
        <w:ind w:left="2720" w:hanging="340"/>
      </w:pPr>
      <w:rPr>
        <w:rFonts w:ascii="Times New Roman" w:hAnsi="Times New Roman" w:cs="Times New Roman" w:hint="default"/>
      </w:rPr>
    </w:lvl>
    <w:lvl w:ilvl="8">
      <w:start w:val="1"/>
      <w:numFmt w:val="bullet"/>
      <w:lvlText w:val="•"/>
      <w:lvlJc w:val="left"/>
      <w:pPr>
        <w:ind w:left="3060" w:hanging="340"/>
      </w:pPr>
      <w:rPr>
        <w:rFonts w:ascii="Times New Roman" w:hAnsi="Times New Roman" w:cs="Times New Roman" w:hint="default"/>
      </w:rPr>
    </w:lvl>
  </w:abstractNum>
  <w:abstractNum w:abstractNumId="27" w15:restartNumberingAfterBreak="0">
    <w:nsid w:val="4B03B536"/>
    <w:multiLevelType w:val="hybridMultilevel"/>
    <w:tmpl w:val="78B420EA"/>
    <w:lvl w:ilvl="0" w:tplc="FB605AD8">
      <w:start w:val="1"/>
      <w:numFmt w:val="bullet"/>
      <w:lvlText w:val=""/>
      <w:lvlJc w:val="left"/>
      <w:pPr>
        <w:ind w:left="720" w:hanging="360"/>
      </w:pPr>
      <w:rPr>
        <w:rFonts w:ascii="Symbol" w:hAnsi="Symbol" w:hint="default"/>
      </w:rPr>
    </w:lvl>
    <w:lvl w:ilvl="1" w:tplc="A2CA930E">
      <w:start w:val="1"/>
      <w:numFmt w:val="bullet"/>
      <w:lvlText w:val="o"/>
      <w:lvlJc w:val="left"/>
      <w:pPr>
        <w:ind w:left="1440" w:hanging="360"/>
      </w:pPr>
      <w:rPr>
        <w:rFonts w:ascii="Courier New" w:hAnsi="Courier New" w:hint="default"/>
      </w:rPr>
    </w:lvl>
    <w:lvl w:ilvl="2" w:tplc="1C261D80">
      <w:start w:val="1"/>
      <w:numFmt w:val="bullet"/>
      <w:lvlText w:val=""/>
      <w:lvlJc w:val="left"/>
      <w:pPr>
        <w:ind w:left="2160" w:hanging="360"/>
      </w:pPr>
      <w:rPr>
        <w:rFonts w:ascii="Wingdings" w:hAnsi="Wingdings" w:hint="default"/>
      </w:rPr>
    </w:lvl>
    <w:lvl w:ilvl="3" w:tplc="351CD7D4">
      <w:start w:val="1"/>
      <w:numFmt w:val="bullet"/>
      <w:lvlText w:val=""/>
      <w:lvlJc w:val="left"/>
      <w:pPr>
        <w:ind w:left="2880" w:hanging="360"/>
      </w:pPr>
      <w:rPr>
        <w:rFonts w:ascii="Symbol" w:hAnsi="Symbol" w:hint="default"/>
      </w:rPr>
    </w:lvl>
    <w:lvl w:ilvl="4" w:tplc="9EB2A58A">
      <w:start w:val="1"/>
      <w:numFmt w:val="bullet"/>
      <w:lvlText w:val="o"/>
      <w:lvlJc w:val="left"/>
      <w:pPr>
        <w:ind w:left="3600" w:hanging="360"/>
      </w:pPr>
      <w:rPr>
        <w:rFonts w:ascii="Courier New" w:hAnsi="Courier New" w:hint="default"/>
      </w:rPr>
    </w:lvl>
    <w:lvl w:ilvl="5" w:tplc="09184D7E">
      <w:start w:val="1"/>
      <w:numFmt w:val="bullet"/>
      <w:lvlText w:val=""/>
      <w:lvlJc w:val="left"/>
      <w:pPr>
        <w:ind w:left="4320" w:hanging="360"/>
      </w:pPr>
      <w:rPr>
        <w:rFonts w:ascii="Wingdings" w:hAnsi="Wingdings" w:hint="default"/>
      </w:rPr>
    </w:lvl>
    <w:lvl w:ilvl="6" w:tplc="735647F2">
      <w:start w:val="1"/>
      <w:numFmt w:val="bullet"/>
      <w:lvlText w:val=""/>
      <w:lvlJc w:val="left"/>
      <w:pPr>
        <w:ind w:left="5040" w:hanging="360"/>
      </w:pPr>
      <w:rPr>
        <w:rFonts w:ascii="Symbol" w:hAnsi="Symbol" w:hint="default"/>
      </w:rPr>
    </w:lvl>
    <w:lvl w:ilvl="7" w:tplc="66A4F8DA">
      <w:start w:val="1"/>
      <w:numFmt w:val="bullet"/>
      <w:lvlText w:val="o"/>
      <w:lvlJc w:val="left"/>
      <w:pPr>
        <w:ind w:left="5760" w:hanging="360"/>
      </w:pPr>
      <w:rPr>
        <w:rFonts w:ascii="Courier New" w:hAnsi="Courier New" w:hint="default"/>
      </w:rPr>
    </w:lvl>
    <w:lvl w:ilvl="8" w:tplc="83FA7718">
      <w:start w:val="1"/>
      <w:numFmt w:val="bullet"/>
      <w:lvlText w:val=""/>
      <w:lvlJc w:val="left"/>
      <w:pPr>
        <w:ind w:left="6480" w:hanging="360"/>
      </w:pPr>
      <w:rPr>
        <w:rFonts w:ascii="Wingdings" w:hAnsi="Wingdings" w:hint="default"/>
      </w:rPr>
    </w:lvl>
  </w:abstractNum>
  <w:abstractNum w:abstractNumId="28" w15:restartNumberingAfterBreak="0">
    <w:nsid w:val="50F6377B"/>
    <w:multiLevelType w:val="hybridMultilevel"/>
    <w:tmpl w:val="E1F8AA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12D6CE8"/>
    <w:multiLevelType w:val="hybridMultilevel"/>
    <w:tmpl w:val="E926DD00"/>
    <w:lvl w:ilvl="0" w:tplc="D4DA511C">
      <w:start w:val="1"/>
      <w:numFmt w:val="decimal"/>
      <w:pStyle w:val="Note-NumberBulle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5B2A68"/>
    <w:multiLevelType w:val="multilevel"/>
    <w:tmpl w:val="8AC65032"/>
    <w:numStyleLink w:val="ListStyle-ListBullet"/>
  </w:abstractNum>
  <w:abstractNum w:abstractNumId="31" w15:restartNumberingAfterBreak="0">
    <w:nsid w:val="529E45BD"/>
    <w:multiLevelType w:val="hybridMultilevel"/>
    <w:tmpl w:val="6764E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560836"/>
    <w:multiLevelType w:val="multilevel"/>
    <w:tmpl w:val="1F207F06"/>
    <w:styleLink w:val="ListStyle-TableListBullet0"/>
    <w:lvl w:ilvl="0">
      <w:start w:val="1"/>
      <w:numFmt w:val="bullet"/>
      <w:pStyle w:val="Table-ListBullet"/>
      <w:lvlText w:val=""/>
      <w:lvlJc w:val="left"/>
      <w:pPr>
        <w:ind w:left="284" w:hanging="171"/>
      </w:pPr>
      <w:rPr>
        <w:rFonts w:ascii="Wingdings" w:hAnsi="Wingdings"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33" w15:restartNumberingAfterBreak="0">
    <w:nsid w:val="599145AD"/>
    <w:multiLevelType w:val="multilevel"/>
    <w:tmpl w:val="1C24E15A"/>
    <w:styleLink w:val="ListStyle-FactBoxListNumber"/>
    <w:lvl w:ilvl="0">
      <w:start w:val="1"/>
      <w:numFmt w:val="decimal"/>
      <w:pStyle w:val="FactBox-ListNumber"/>
      <w:lvlText w:val="%1."/>
      <w:lvlJc w:val="left"/>
      <w:pPr>
        <w:ind w:left="510" w:hanging="340"/>
      </w:pPr>
      <w:rPr>
        <w:rFonts w:asciiTheme="minorHAnsi" w:hAnsiTheme="minorHAnsi"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34" w15:restartNumberingAfterBreak="0">
    <w:nsid w:val="5D90306E"/>
    <w:multiLevelType w:val="multilevel"/>
    <w:tmpl w:val="02584F62"/>
    <w:styleLink w:val="ListStyle-TableListNumber"/>
    <w:lvl w:ilvl="0">
      <w:start w:val="1"/>
      <w:numFmt w:val="decimal"/>
      <w:lvlText w:val="%1."/>
      <w:lvlJc w:val="left"/>
      <w:pPr>
        <w:ind w:left="340" w:hanging="227"/>
      </w:pPr>
      <w:rPr>
        <w:rFonts w:ascii="AvenirNext LT Pro Regular" w:hAnsi="AvenirNext LT Pro Regular"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35" w15:restartNumberingAfterBreak="0">
    <w:nsid w:val="62F6F7BF"/>
    <w:multiLevelType w:val="hybridMultilevel"/>
    <w:tmpl w:val="96A4877E"/>
    <w:lvl w:ilvl="0" w:tplc="62443AE2">
      <w:start w:val="1"/>
      <w:numFmt w:val="bullet"/>
      <w:lvlText w:val=""/>
      <w:lvlJc w:val="left"/>
      <w:pPr>
        <w:ind w:left="720" w:hanging="360"/>
      </w:pPr>
      <w:rPr>
        <w:rFonts w:ascii="Symbol" w:hAnsi="Symbol" w:hint="default"/>
      </w:rPr>
    </w:lvl>
    <w:lvl w:ilvl="1" w:tplc="5C50CCEA">
      <w:start w:val="1"/>
      <w:numFmt w:val="bullet"/>
      <w:lvlText w:val="o"/>
      <w:lvlJc w:val="left"/>
      <w:pPr>
        <w:ind w:left="1440" w:hanging="360"/>
      </w:pPr>
      <w:rPr>
        <w:rFonts w:ascii="Courier New" w:hAnsi="Courier New" w:hint="default"/>
      </w:rPr>
    </w:lvl>
    <w:lvl w:ilvl="2" w:tplc="C052934E">
      <w:start w:val="1"/>
      <w:numFmt w:val="bullet"/>
      <w:lvlText w:val=""/>
      <w:lvlJc w:val="left"/>
      <w:pPr>
        <w:ind w:left="2160" w:hanging="360"/>
      </w:pPr>
      <w:rPr>
        <w:rFonts w:ascii="Wingdings" w:hAnsi="Wingdings" w:hint="default"/>
      </w:rPr>
    </w:lvl>
    <w:lvl w:ilvl="3" w:tplc="C15ECD32">
      <w:start w:val="1"/>
      <w:numFmt w:val="bullet"/>
      <w:lvlText w:val=""/>
      <w:lvlJc w:val="left"/>
      <w:pPr>
        <w:ind w:left="2880" w:hanging="360"/>
      </w:pPr>
      <w:rPr>
        <w:rFonts w:ascii="Symbol" w:hAnsi="Symbol" w:hint="default"/>
      </w:rPr>
    </w:lvl>
    <w:lvl w:ilvl="4" w:tplc="AF4A5558">
      <w:start w:val="1"/>
      <w:numFmt w:val="bullet"/>
      <w:lvlText w:val="o"/>
      <w:lvlJc w:val="left"/>
      <w:pPr>
        <w:ind w:left="3600" w:hanging="360"/>
      </w:pPr>
      <w:rPr>
        <w:rFonts w:ascii="Courier New" w:hAnsi="Courier New" w:hint="default"/>
      </w:rPr>
    </w:lvl>
    <w:lvl w:ilvl="5" w:tplc="6282B26C">
      <w:start w:val="1"/>
      <w:numFmt w:val="bullet"/>
      <w:lvlText w:val=""/>
      <w:lvlJc w:val="left"/>
      <w:pPr>
        <w:ind w:left="4320" w:hanging="360"/>
      </w:pPr>
      <w:rPr>
        <w:rFonts w:ascii="Wingdings" w:hAnsi="Wingdings" w:hint="default"/>
      </w:rPr>
    </w:lvl>
    <w:lvl w:ilvl="6" w:tplc="8058263E">
      <w:start w:val="1"/>
      <w:numFmt w:val="bullet"/>
      <w:lvlText w:val=""/>
      <w:lvlJc w:val="left"/>
      <w:pPr>
        <w:ind w:left="5040" w:hanging="360"/>
      </w:pPr>
      <w:rPr>
        <w:rFonts w:ascii="Symbol" w:hAnsi="Symbol" w:hint="default"/>
      </w:rPr>
    </w:lvl>
    <w:lvl w:ilvl="7" w:tplc="637E3A70">
      <w:start w:val="1"/>
      <w:numFmt w:val="bullet"/>
      <w:lvlText w:val="o"/>
      <w:lvlJc w:val="left"/>
      <w:pPr>
        <w:ind w:left="5760" w:hanging="360"/>
      </w:pPr>
      <w:rPr>
        <w:rFonts w:ascii="Courier New" w:hAnsi="Courier New" w:hint="default"/>
      </w:rPr>
    </w:lvl>
    <w:lvl w:ilvl="8" w:tplc="53DEC492">
      <w:start w:val="1"/>
      <w:numFmt w:val="bullet"/>
      <w:lvlText w:val=""/>
      <w:lvlJc w:val="left"/>
      <w:pPr>
        <w:ind w:left="6480" w:hanging="360"/>
      </w:pPr>
      <w:rPr>
        <w:rFonts w:ascii="Wingdings" w:hAnsi="Wingdings" w:hint="default"/>
      </w:rPr>
    </w:lvl>
  </w:abstractNum>
  <w:abstractNum w:abstractNumId="36" w15:restartNumberingAfterBreak="0">
    <w:nsid w:val="63E4CDBE"/>
    <w:multiLevelType w:val="hybridMultilevel"/>
    <w:tmpl w:val="2398FF60"/>
    <w:lvl w:ilvl="0" w:tplc="BFAE0D36">
      <w:start w:val="1"/>
      <w:numFmt w:val="decimal"/>
      <w:lvlText w:val="%1)"/>
      <w:lvlJc w:val="left"/>
      <w:pPr>
        <w:ind w:left="720" w:hanging="360"/>
      </w:pPr>
    </w:lvl>
    <w:lvl w:ilvl="1" w:tplc="2B78E51C">
      <w:start w:val="1"/>
      <w:numFmt w:val="lowerLetter"/>
      <w:lvlText w:val="%2."/>
      <w:lvlJc w:val="left"/>
      <w:pPr>
        <w:ind w:left="1440" w:hanging="360"/>
      </w:pPr>
    </w:lvl>
    <w:lvl w:ilvl="2" w:tplc="1B6EA072">
      <w:start w:val="1"/>
      <w:numFmt w:val="lowerRoman"/>
      <w:lvlText w:val="%3."/>
      <w:lvlJc w:val="right"/>
      <w:pPr>
        <w:ind w:left="2160" w:hanging="180"/>
      </w:pPr>
    </w:lvl>
    <w:lvl w:ilvl="3" w:tplc="C78E4C92">
      <w:start w:val="1"/>
      <w:numFmt w:val="decimal"/>
      <w:lvlText w:val="%4."/>
      <w:lvlJc w:val="left"/>
      <w:pPr>
        <w:ind w:left="2880" w:hanging="360"/>
      </w:pPr>
    </w:lvl>
    <w:lvl w:ilvl="4" w:tplc="F20ECC84">
      <w:start w:val="1"/>
      <w:numFmt w:val="lowerLetter"/>
      <w:lvlText w:val="%5."/>
      <w:lvlJc w:val="left"/>
      <w:pPr>
        <w:ind w:left="3600" w:hanging="360"/>
      </w:pPr>
    </w:lvl>
    <w:lvl w:ilvl="5" w:tplc="9F061CD4">
      <w:start w:val="1"/>
      <w:numFmt w:val="lowerRoman"/>
      <w:lvlText w:val="%6."/>
      <w:lvlJc w:val="right"/>
      <w:pPr>
        <w:ind w:left="4320" w:hanging="180"/>
      </w:pPr>
    </w:lvl>
    <w:lvl w:ilvl="6" w:tplc="3D36B7E6">
      <w:start w:val="1"/>
      <w:numFmt w:val="decimal"/>
      <w:lvlText w:val="%7."/>
      <w:lvlJc w:val="left"/>
      <w:pPr>
        <w:ind w:left="5040" w:hanging="360"/>
      </w:pPr>
    </w:lvl>
    <w:lvl w:ilvl="7" w:tplc="8AFC7F24">
      <w:start w:val="1"/>
      <w:numFmt w:val="lowerLetter"/>
      <w:lvlText w:val="%8."/>
      <w:lvlJc w:val="left"/>
      <w:pPr>
        <w:ind w:left="5760" w:hanging="360"/>
      </w:pPr>
    </w:lvl>
    <w:lvl w:ilvl="8" w:tplc="0AB66850">
      <w:start w:val="1"/>
      <w:numFmt w:val="lowerRoman"/>
      <w:lvlText w:val="%9."/>
      <w:lvlJc w:val="right"/>
      <w:pPr>
        <w:ind w:left="6480" w:hanging="180"/>
      </w:pPr>
    </w:lvl>
  </w:abstractNum>
  <w:abstractNum w:abstractNumId="37" w15:restartNumberingAfterBreak="0">
    <w:nsid w:val="743A454B"/>
    <w:multiLevelType w:val="hybridMultilevel"/>
    <w:tmpl w:val="0CC64DE6"/>
    <w:lvl w:ilvl="0" w:tplc="C430E490">
      <w:start w:val="1"/>
      <w:numFmt w:val="bullet"/>
      <w:lvlText w:val=""/>
      <w:lvlJc w:val="left"/>
      <w:pPr>
        <w:ind w:left="720" w:hanging="360"/>
      </w:pPr>
      <w:rPr>
        <w:rFonts w:ascii="Symbol" w:hAnsi="Symbol" w:hint="default"/>
      </w:rPr>
    </w:lvl>
    <w:lvl w:ilvl="1" w:tplc="2B04AD96">
      <w:start w:val="1"/>
      <w:numFmt w:val="bullet"/>
      <w:lvlText w:val="o"/>
      <w:lvlJc w:val="left"/>
      <w:pPr>
        <w:ind w:left="1440" w:hanging="360"/>
      </w:pPr>
      <w:rPr>
        <w:rFonts w:ascii="Courier New" w:hAnsi="Courier New" w:hint="default"/>
      </w:rPr>
    </w:lvl>
    <w:lvl w:ilvl="2" w:tplc="EFCA99F2">
      <w:start w:val="1"/>
      <w:numFmt w:val="bullet"/>
      <w:lvlText w:val=""/>
      <w:lvlJc w:val="left"/>
      <w:pPr>
        <w:ind w:left="2160" w:hanging="360"/>
      </w:pPr>
      <w:rPr>
        <w:rFonts w:ascii="Wingdings" w:hAnsi="Wingdings" w:hint="default"/>
      </w:rPr>
    </w:lvl>
    <w:lvl w:ilvl="3" w:tplc="4C0CCC98">
      <w:start w:val="1"/>
      <w:numFmt w:val="bullet"/>
      <w:lvlText w:val=""/>
      <w:lvlJc w:val="left"/>
      <w:pPr>
        <w:ind w:left="2880" w:hanging="360"/>
      </w:pPr>
      <w:rPr>
        <w:rFonts w:ascii="Symbol" w:hAnsi="Symbol" w:hint="default"/>
      </w:rPr>
    </w:lvl>
    <w:lvl w:ilvl="4" w:tplc="80DABA04">
      <w:start w:val="1"/>
      <w:numFmt w:val="bullet"/>
      <w:lvlText w:val="o"/>
      <w:lvlJc w:val="left"/>
      <w:pPr>
        <w:ind w:left="3600" w:hanging="360"/>
      </w:pPr>
      <w:rPr>
        <w:rFonts w:ascii="Courier New" w:hAnsi="Courier New" w:hint="default"/>
      </w:rPr>
    </w:lvl>
    <w:lvl w:ilvl="5" w:tplc="9954DAD8">
      <w:start w:val="1"/>
      <w:numFmt w:val="bullet"/>
      <w:lvlText w:val=""/>
      <w:lvlJc w:val="left"/>
      <w:pPr>
        <w:ind w:left="4320" w:hanging="360"/>
      </w:pPr>
      <w:rPr>
        <w:rFonts w:ascii="Wingdings" w:hAnsi="Wingdings" w:hint="default"/>
      </w:rPr>
    </w:lvl>
    <w:lvl w:ilvl="6" w:tplc="4D38C856">
      <w:start w:val="1"/>
      <w:numFmt w:val="bullet"/>
      <w:lvlText w:val=""/>
      <w:lvlJc w:val="left"/>
      <w:pPr>
        <w:ind w:left="5040" w:hanging="360"/>
      </w:pPr>
      <w:rPr>
        <w:rFonts w:ascii="Symbol" w:hAnsi="Symbol" w:hint="default"/>
      </w:rPr>
    </w:lvl>
    <w:lvl w:ilvl="7" w:tplc="2C4A59C4">
      <w:start w:val="1"/>
      <w:numFmt w:val="bullet"/>
      <w:lvlText w:val="o"/>
      <w:lvlJc w:val="left"/>
      <w:pPr>
        <w:ind w:left="5760" w:hanging="360"/>
      </w:pPr>
      <w:rPr>
        <w:rFonts w:ascii="Courier New" w:hAnsi="Courier New" w:hint="default"/>
      </w:rPr>
    </w:lvl>
    <w:lvl w:ilvl="8" w:tplc="20CEEA8C">
      <w:start w:val="1"/>
      <w:numFmt w:val="bullet"/>
      <w:lvlText w:val=""/>
      <w:lvlJc w:val="left"/>
      <w:pPr>
        <w:ind w:left="6480" w:hanging="360"/>
      </w:pPr>
      <w:rPr>
        <w:rFonts w:ascii="Wingdings" w:hAnsi="Wingdings" w:hint="default"/>
      </w:rPr>
    </w:lvl>
  </w:abstractNum>
  <w:abstractNum w:abstractNumId="38" w15:restartNumberingAfterBreak="0">
    <w:nsid w:val="752F8905"/>
    <w:multiLevelType w:val="hybridMultilevel"/>
    <w:tmpl w:val="883A78F4"/>
    <w:lvl w:ilvl="0" w:tplc="A51ED860">
      <w:start w:val="1"/>
      <w:numFmt w:val="bullet"/>
      <w:lvlText w:val=""/>
      <w:lvlJc w:val="left"/>
      <w:pPr>
        <w:ind w:left="720" w:hanging="360"/>
      </w:pPr>
      <w:rPr>
        <w:rFonts w:ascii="Symbol" w:hAnsi="Symbol" w:hint="default"/>
      </w:rPr>
    </w:lvl>
    <w:lvl w:ilvl="1" w:tplc="8ADC8222">
      <w:start w:val="1"/>
      <w:numFmt w:val="bullet"/>
      <w:lvlText w:val="o"/>
      <w:lvlJc w:val="left"/>
      <w:pPr>
        <w:ind w:left="1440" w:hanging="360"/>
      </w:pPr>
      <w:rPr>
        <w:rFonts w:ascii="Courier New" w:hAnsi="Courier New" w:hint="default"/>
      </w:rPr>
    </w:lvl>
    <w:lvl w:ilvl="2" w:tplc="CA4A0334">
      <w:start w:val="1"/>
      <w:numFmt w:val="bullet"/>
      <w:lvlText w:val=""/>
      <w:lvlJc w:val="left"/>
      <w:pPr>
        <w:ind w:left="2160" w:hanging="360"/>
      </w:pPr>
      <w:rPr>
        <w:rFonts w:ascii="Wingdings" w:hAnsi="Wingdings" w:hint="default"/>
      </w:rPr>
    </w:lvl>
    <w:lvl w:ilvl="3" w:tplc="5B8EE21A">
      <w:start w:val="1"/>
      <w:numFmt w:val="bullet"/>
      <w:lvlText w:val=""/>
      <w:lvlJc w:val="left"/>
      <w:pPr>
        <w:ind w:left="2880" w:hanging="360"/>
      </w:pPr>
      <w:rPr>
        <w:rFonts w:ascii="Symbol" w:hAnsi="Symbol" w:hint="default"/>
      </w:rPr>
    </w:lvl>
    <w:lvl w:ilvl="4" w:tplc="8E72492A">
      <w:start w:val="1"/>
      <w:numFmt w:val="bullet"/>
      <w:lvlText w:val="o"/>
      <w:lvlJc w:val="left"/>
      <w:pPr>
        <w:ind w:left="3600" w:hanging="360"/>
      </w:pPr>
      <w:rPr>
        <w:rFonts w:ascii="Courier New" w:hAnsi="Courier New" w:hint="default"/>
      </w:rPr>
    </w:lvl>
    <w:lvl w:ilvl="5" w:tplc="5C2212F0">
      <w:start w:val="1"/>
      <w:numFmt w:val="bullet"/>
      <w:lvlText w:val=""/>
      <w:lvlJc w:val="left"/>
      <w:pPr>
        <w:ind w:left="4320" w:hanging="360"/>
      </w:pPr>
      <w:rPr>
        <w:rFonts w:ascii="Wingdings" w:hAnsi="Wingdings" w:hint="default"/>
      </w:rPr>
    </w:lvl>
    <w:lvl w:ilvl="6" w:tplc="F440ED82">
      <w:start w:val="1"/>
      <w:numFmt w:val="bullet"/>
      <w:lvlText w:val=""/>
      <w:lvlJc w:val="left"/>
      <w:pPr>
        <w:ind w:left="5040" w:hanging="360"/>
      </w:pPr>
      <w:rPr>
        <w:rFonts w:ascii="Symbol" w:hAnsi="Symbol" w:hint="default"/>
      </w:rPr>
    </w:lvl>
    <w:lvl w:ilvl="7" w:tplc="3DAAEC1C">
      <w:start w:val="1"/>
      <w:numFmt w:val="bullet"/>
      <w:lvlText w:val="o"/>
      <w:lvlJc w:val="left"/>
      <w:pPr>
        <w:ind w:left="5760" w:hanging="360"/>
      </w:pPr>
      <w:rPr>
        <w:rFonts w:ascii="Courier New" w:hAnsi="Courier New" w:hint="default"/>
      </w:rPr>
    </w:lvl>
    <w:lvl w:ilvl="8" w:tplc="9C0AA058">
      <w:start w:val="1"/>
      <w:numFmt w:val="bullet"/>
      <w:lvlText w:val=""/>
      <w:lvlJc w:val="left"/>
      <w:pPr>
        <w:ind w:left="6480" w:hanging="360"/>
      </w:pPr>
      <w:rPr>
        <w:rFonts w:ascii="Wingdings" w:hAnsi="Wingdings" w:hint="default"/>
      </w:rPr>
    </w:lvl>
  </w:abstractNum>
  <w:abstractNum w:abstractNumId="39" w15:restartNumberingAfterBreak="0">
    <w:nsid w:val="765FD2D5"/>
    <w:multiLevelType w:val="hybridMultilevel"/>
    <w:tmpl w:val="34B0A302"/>
    <w:lvl w:ilvl="0" w:tplc="308A935C">
      <w:start w:val="1"/>
      <w:numFmt w:val="bullet"/>
      <w:lvlText w:val=""/>
      <w:lvlJc w:val="left"/>
      <w:pPr>
        <w:ind w:left="720" w:hanging="360"/>
      </w:pPr>
      <w:rPr>
        <w:rFonts w:ascii="Symbol" w:hAnsi="Symbol" w:hint="default"/>
      </w:rPr>
    </w:lvl>
    <w:lvl w:ilvl="1" w:tplc="CBB43EA0">
      <w:start w:val="1"/>
      <w:numFmt w:val="bullet"/>
      <w:lvlText w:val="o"/>
      <w:lvlJc w:val="left"/>
      <w:pPr>
        <w:ind w:left="1440" w:hanging="360"/>
      </w:pPr>
      <w:rPr>
        <w:rFonts w:ascii="Courier New" w:hAnsi="Courier New" w:hint="default"/>
      </w:rPr>
    </w:lvl>
    <w:lvl w:ilvl="2" w:tplc="F51E0F4E">
      <w:start w:val="1"/>
      <w:numFmt w:val="bullet"/>
      <w:lvlText w:val=""/>
      <w:lvlJc w:val="left"/>
      <w:pPr>
        <w:ind w:left="2160" w:hanging="360"/>
      </w:pPr>
      <w:rPr>
        <w:rFonts w:ascii="Wingdings" w:hAnsi="Wingdings" w:hint="default"/>
      </w:rPr>
    </w:lvl>
    <w:lvl w:ilvl="3" w:tplc="7D3AACA6">
      <w:start w:val="1"/>
      <w:numFmt w:val="bullet"/>
      <w:lvlText w:val=""/>
      <w:lvlJc w:val="left"/>
      <w:pPr>
        <w:ind w:left="2880" w:hanging="360"/>
      </w:pPr>
      <w:rPr>
        <w:rFonts w:ascii="Symbol" w:hAnsi="Symbol" w:hint="default"/>
      </w:rPr>
    </w:lvl>
    <w:lvl w:ilvl="4" w:tplc="05528DF8">
      <w:start w:val="1"/>
      <w:numFmt w:val="bullet"/>
      <w:lvlText w:val="o"/>
      <w:lvlJc w:val="left"/>
      <w:pPr>
        <w:ind w:left="3600" w:hanging="360"/>
      </w:pPr>
      <w:rPr>
        <w:rFonts w:ascii="Courier New" w:hAnsi="Courier New" w:hint="default"/>
      </w:rPr>
    </w:lvl>
    <w:lvl w:ilvl="5" w:tplc="EB907A3C">
      <w:start w:val="1"/>
      <w:numFmt w:val="bullet"/>
      <w:lvlText w:val=""/>
      <w:lvlJc w:val="left"/>
      <w:pPr>
        <w:ind w:left="4320" w:hanging="360"/>
      </w:pPr>
      <w:rPr>
        <w:rFonts w:ascii="Wingdings" w:hAnsi="Wingdings" w:hint="default"/>
      </w:rPr>
    </w:lvl>
    <w:lvl w:ilvl="6" w:tplc="D00014B4">
      <w:start w:val="1"/>
      <w:numFmt w:val="bullet"/>
      <w:lvlText w:val=""/>
      <w:lvlJc w:val="left"/>
      <w:pPr>
        <w:ind w:left="5040" w:hanging="360"/>
      </w:pPr>
      <w:rPr>
        <w:rFonts w:ascii="Symbol" w:hAnsi="Symbol" w:hint="default"/>
      </w:rPr>
    </w:lvl>
    <w:lvl w:ilvl="7" w:tplc="AF40DF48">
      <w:start w:val="1"/>
      <w:numFmt w:val="bullet"/>
      <w:lvlText w:val="o"/>
      <w:lvlJc w:val="left"/>
      <w:pPr>
        <w:ind w:left="5760" w:hanging="360"/>
      </w:pPr>
      <w:rPr>
        <w:rFonts w:ascii="Courier New" w:hAnsi="Courier New" w:hint="default"/>
      </w:rPr>
    </w:lvl>
    <w:lvl w:ilvl="8" w:tplc="6C4C3F80">
      <w:start w:val="1"/>
      <w:numFmt w:val="bullet"/>
      <w:lvlText w:val=""/>
      <w:lvlJc w:val="left"/>
      <w:pPr>
        <w:ind w:left="6480" w:hanging="360"/>
      </w:pPr>
      <w:rPr>
        <w:rFonts w:ascii="Wingdings" w:hAnsi="Wingdings" w:hint="default"/>
      </w:rPr>
    </w:lvl>
  </w:abstractNum>
  <w:abstractNum w:abstractNumId="40" w15:restartNumberingAfterBreak="0">
    <w:nsid w:val="78AB7421"/>
    <w:multiLevelType w:val="hybridMultilevel"/>
    <w:tmpl w:val="66AA1B4C"/>
    <w:lvl w:ilvl="0" w:tplc="8C4A5B80">
      <w:start w:val="1"/>
      <w:numFmt w:val="bullet"/>
      <w:lvlText w:val=""/>
      <w:lvlJc w:val="left"/>
      <w:pPr>
        <w:ind w:left="720" w:hanging="360"/>
      </w:pPr>
      <w:rPr>
        <w:rFonts w:ascii="Symbol" w:hAnsi="Symbol" w:hint="default"/>
      </w:rPr>
    </w:lvl>
    <w:lvl w:ilvl="1" w:tplc="A6E87C02">
      <w:start w:val="1"/>
      <w:numFmt w:val="bullet"/>
      <w:lvlText w:val="o"/>
      <w:lvlJc w:val="left"/>
      <w:pPr>
        <w:ind w:left="1440" w:hanging="360"/>
      </w:pPr>
      <w:rPr>
        <w:rFonts w:ascii="Courier New" w:hAnsi="Courier New" w:hint="default"/>
      </w:rPr>
    </w:lvl>
    <w:lvl w:ilvl="2" w:tplc="D8DE7E62">
      <w:start w:val="1"/>
      <w:numFmt w:val="bullet"/>
      <w:lvlText w:val=""/>
      <w:lvlJc w:val="left"/>
      <w:pPr>
        <w:ind w:left="2160" w:hanging="360"/>
      </w:pPr>
      <w:rPr>
        <w:rFonts w:ascii="Wingdings" w:hAnsi="Wingdings" w:hint="default"/>
      </w:rPr>
    </w:lvl>
    <w:lvl w:ilvl="3" w:tplc="FF40BE8C">
      <w:start w:val="1"/>
      <w:numFmt w:val="bullet"/>
      <w:lvlText w:val=""/>
      <w:lvlJc w:val="left"/>
      <w:pPr>
        <w:ind w:left="2880" w:hanging="360"/>
      </w:pPr>
      <w:rPr>
        <w:rFonts w:ascii="Symbol" w:hAnsi="Symbol" w:hint="default"/>
      </w:rPr>
    </w:lvl>
    <w:lvl w:ilvl="4" w:tplc="AE9E9124">
      <w:start w:val="1"/>
      <w:numFmt w:val="bullet"/>
      <w:lvlText w:val="o"/>
      <w:lvlJc w:val="left"/>
      <w:pPr>
        <w:ind w:left="3600" w:hanging="360"/>
      </w:pPr>
      <w:rPr>
        <w:rFonts w:ascii="Courier New" w:hAnsi="Courier New" w:hint="default"/>
      </w:rPr>
    </w:lvl>
    <w:lvl w:ilvl="5" w:tplc="747423C6">
      <w:start w:val="1"/>
      <w:numFmt w:val="bullet"/>
      <w:lvlText w:val=""/>
      <w:lvlJc w:val="left"/>
      <w:pPr>
        <w:ind w:left="4320" w:hanging="360"/>
      </w:pPr>
      <w:rPr>
        <w:rFonts w:ascii="Wingdings" w:hAnsi="Wingdings" w:hint="default"/>
      </w:rPr>
    </w:lvl>
    <w:lvl w:ilvl="6" w:tplc="D7CEB142">
      <w:start w:val="1"/>
      <w:numFmt w:val="bullet"/>
      <w:lvlText w:val=""/>
      <w:lvlJc w:val="left"/>
      <w:pPr>
        <w:ind w:left="5040" w:hanging="360"/>
      </w:pPr>
      <w:rPr>
        <w:rFonts w:ascii="Symbol" w:hAnsi="Symbol" w:hint="default"/>
      </w:rPr>
    </w:lvl>
    <w:lvl w:ilvl="7" w:tplc="A6DA7498">
      <w:start w:val="1"/>
      <w:numFmt w:val="bullet"/>
      <w:lvlText w:val="o"/>
      <w:lvlJc w:val="left"/>
      <w:pPr>
        <w:ind w:left="5760" w:hanging="360"/>
      </w:pPr>
      <w:rPr>
        <w:rFonts w:ascii="Courier New" w:hAnsi="Courier New" w:hint="default"/>
      </w:rPr>
    </w:lvl>
    <w:lvl w:ilvl="8" w:tplc="5B2E4542">
      <w:start w:val="1"/>
      <w:numFmt w:val="bullet"/>
      <w:lvlText w:val=""/>
      <w:lvlJc w:val="left"/>
      <w:pPr>
        <w:ind w:left="6480" w:hanging="360"/>
      </w:pPr>
      <w:rPr>
        <w:rFonts w:ascii="Wingdings" w:hAnsi="Wingdings" w:hint="default"/>
      </w:rPr>
    </w:lvl>
  </w:abstractNum>
  <w:abstractNum w:abstractNumId="41" w15:restartNumberingAfterBreak="0">
    <w:nsid w:val="7DD822AE"/>
    <w:multiLevelType w:val="hybridMultilevel"/>
    <w:tmpl w:val="37089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9102A7"/>
    <w:multiLevelType w:val="hybridMultilevel"/>
    <w:tmpl w:val="9B0CBD08"/>
    <w:lvl w:ilvl="0" w:tplc="972293FA">
      <w:start w:val="1"/>
      <w:numFmt w:val="decimal"/>
      <w:lvlText w:val="%1)"/>
      <w:lvlJc w:val="left"/>
      <w:pPr>
        <w:ind w:left="720" w:hanging="360"/>
      </w:pPr>
    </w:lvl>
    <w:lvl w:ilvl="1" w:tplc="5788773A">
      <w:start w:val="1"/>
      <w:numFmt w:val="lowerLetter"/>
      <w:lvlText w:val="%2."/>
      <w:lvlJc w:val="left"/>
      <w:pPr>
        <w:ind w:left="1440" w:hanging="360"/>
      </w:pPr>
    </w:lvl>
    <w:lvl w:ilvl="2" w:tplc="56382BDA">
      <w:start w:val="1"/>
      <w:numFmt w:val="lowerRoman"/>
      <w:lvlText w:val="%3."/>
      <w:lvlJc w:val="right"/>
      <w:pPr>
        <w:ind w:left="2160" w:hanging="180"/>
      </w:pPr>
    </w:lvl>
    <w:lvl w:ilvl="3" w:tplc="95D69AE2">
      <w:start w:val="1"/>
      <w:numFmt w:val="decimal"/>
      <w:lvlText w:val="%4."/>
      <w:lvlJc w:val="left"/>
      <w:pPr>
        <w:ind w:left="2880" w:hanging="360"/>
      </w:pPr>
    </w:lvl>
    <w:lvl w:ilvl="4" w:tplc="430A6C30">
      <w:start w:val="1"/>
      <w:numFmt w:val="lowerLetter"/>
      <w:lvlText w:val="%5."/>
      <w:lvlJc w:val="left"/>
      <w:pPr>
        <w:ind w:left="3600" w:hanging="360"/>
      </w:pPr>
    </w:lvl>
    <w:lvl w:ilvl="5" w:tplc="DE38CCFC">
      <w:start w:val="1"/>
      <w:numFmt w:val="lowerRoman"/>
      <w:lvlText w:val="%6."/>
      <w:lvlJc w:val="right"/>
      <w:pPr>
        <w:ind w:left="4320" w:hanging="180"/>
      </w:pPr>
    </w:lvl>
    <w:lvl w:ilvl="6" w:tplc="58D08D40">
      <w:start w:val="1"/>
      <w:numFmt w:val="decimal"/>
      <w:lvlText w:val="%7."/>
      <w:lvlJc w:val="left"/>
      <w:pPr>
        <w:ind w:left="5040" w:hanging="360"/>
      </w:pPr>
    </w:lvl>
    <w:lvl w:ilvl="7" w:tplc="587CF47A">
      <w:start w:val="1"/>
      <w:numFmt w:val="lowerLetter"/>
      <w:lvlText w:val="%8."/>
      <w:lvlJc w:val="left"/>
      <w:pPr>
        <w:ind w:left="5760" w:hanging="360"/>
      </w:pPr>
    </w:lvl>
    <w:lvl w:ilvl="8" w:tplc="B172D8A6">
      <w:start w:val="1"/>
      <w:numFmt w:val="lowerRoman"/>
      <w:lvlText w:val="%9."/>
      <w:lvlJc w:val="right"/>
      <w:pPr>
        <w:ind w:left="6480" w:hanging="180"/>
      </w:pPr>
    </w:lvl>
  </w:abstractNum>
  <w:abstractNum w:abstractNumId="43" w15:restartNumberingAfterBreak="0">
    <w:nsid w:val="7F216990"/>
    <w:multiLevelType w:val="multilevel"/>
    <w:tmpl w:val="0406001F"/>
    <w:styleLink w:val="111111"/>
    <w:lvl w:ilvl="0">
      <w:start w:val="1"/>
      <w:numFmt w:val="decimal"/>
      <w:lvlText w:val="%1."/>
      <w:lvlJc w:val="left"/>
      <w:pPr>
        <w:ind w:left="360" w:hanging="360"/>
      </w:pPr>
      <w:rPr>
        <w:rFonts w:ascii="AvenirNext LT Pro Regular" w:hAnsi="AvenirNext LT Pro Regular"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3575782">
    <w:abstractNumId w:val="16"/>
  </w:num>
  <w:num w:numId="2" w16cid:durableId="354816438">
    <w:abstractNumId w:val="5"/>
  </w:num>
  <w:num w:numId="3" w16cid:durableId="2131970943">
    <w:abstractNumId w:val="22"/>
  </w:num>
  <w:num w:numId="4" w16cid:durableId="1692340018">
    <w:abstractNumId w:val="42"/>
  </w:num>
  <w:num w:numId="5" w16cid:durableId="1078211196">
    <w:abstractNumId w:val="36"/>
  </w:num>
  <w:num w:numId="6" w16cid:durableId="1732001625">
    <w:abstractNumId w:val="19"/>
  </w:num>
  <w:num w:numId="7" w16cid:durableId="1120413546">
    <w:abstractNumId w:val="43"/>
  </w:num>
  <w:num w:numId="8" w16cid:durableId="191114983">
    <w:abstractNumId w:val="6"/>
  </w:num>
  <w:num w:numId="9" w16cid:durableId="1960916168">
    <w:abstractNumId w:val="3"/>
  </w:num>
  <w:num w:numId="10" w16cid:durableId="2087142076">
    <w:abstractNumId w:val="2"/>
  </w:num>
  <w:num w:numId="11" w16cid:durableId="1212231152">
    <w:abstractNumId w:val="1"/>
  </w:num>
  <w:num w:numId="12" w16cid:durableId="667052860">
    <w:abstractNumId w:val="0"/>
  </w:num>
  <w:num w:numId="13" w16cid:durableId="533272025">
    <w:abstractNumId w:val="8"/>
  </w:num>
  <w:num w:numId="14" w16cid:durableId="1455902874">
    <w:abstractNumId w:val="34"/>
  </w:num>
  <w:num w:numId="15" w16cid:durableId="1548756971">
    <w:abstractNumId w:val="12"/>
  </w:num>
  <w:num w:numId="16" w16cid:durableId="1208031318">
    <w:abstractNumId w:val="4"/>
  </w:num>
  <w:num w:numId="17" w16cid:durableId="396129691">
    <w:abstractNumId w:val="33"/>
  </w:num>
  <w:num w:numId="18" w16cid:durableId="293102456">
    <w:abstractNumId w:val="10"/>
  </w:num>
  <w:num w:numId="19" w16cid:durableId="470173005">
    <w:abstractNumId w:val="26"/>
  </w:num>
  <w:num w:numId="20" w16cid:durableId="425922010">
    <w:abstractNumId w:val="11"/>
  </w:num>
  <w:num w:numId="21" w16cid:durableId="564997447">
    <w:abstractNumId w:val="32"/>
  </w:num>
  <w:num w:numId="22" w16cid:durableId="826047149">
    <w:abstractNumId w:val="15"/>
  </w:num>
  <w:num w:numId="23" w16cid:durableId="415826183">
    <w:abstractNumId w:val="9"/>
  </w:num>
  <w:num w:numId="24" w16cid:durableId="1381902928">
    <w:abstractNumId w:val="18"/>
  </w:num>
  <w:num w:numId="25" w16cid:durableId="917373555">
    <w:abstractNumId w:val="7"/>
  </w:num>
  <w:num w:numId="26" w16cid:durableId="424232137">
    <w:abstractNumId w:val="13"/>
  </w:num>
  <w:num w:numId="27" w16cid:durableId="1120802674">
    <w:abstractNumId w:val="30"/>
  </w:num>
  <w:num w:numId="28" w16cid:durableId="1757358157">
    <w:abstractNumId w:val="21"/>
  </w:num>
  <w:num w:numId="29" w16cid:durableId="2051345038">
    <w:abstractNumId w:val="29"/>
  </w:num>
  <w:num w:numId="30" w16cid:durableId="332419702">
    <w:abstractNumId w:val="24"/>
  </w:num>
  <w:num w:numId="31" w16cid:durableId="1865749577">
    <w:abstractNumId w:val="39"/>
  </w:num>
  <w:num w:numId="32" w16cid:durableId="1367870337">
    <w:abstractNumId w:val="27"/>
  </w:num>
  <w:num w:numId="33" w16cid:durableId="328562808">
    <w:abstractNumId w:val="28"/>
  </w:num>
  <w:num w:numId="34" w16cid:durableId="2039770043">
    <w:abstractNumId w:val="20"/>
  </w:num>
  <w:num w:numId="35" w16cid:durableId="1591814053">
    <w:abstractNumId w:val="23"/>
  </w:num>
  <w:num w:numId="36" w16cid:durableId="1925260657">
    <w:abstractNumId w:val="35"/>
  </w:num>
  <w:num w:numId="37" w16cid:durableId="1542785886">
    <w:abstractNumId w:val="40"/>
  </w:num>
  <w:num w:numId="38" w16cid:durableId="1984433100">
    <w:abstractNumId w:val="31"/>
  </w:num>
  <w:num w:numId="39" w16cid:durableId="794761335">
    <w:abstractNumId w:val="25"/>
  </w:num>
  <w:num w:numId="40" w16cid:durableId="1447114503">
    <w:abstractNumId w:val="17"/>
  </w:num>
  <w:num w:numId="41" w16cid:durableId="871959871">
    <w:abstractNumId w:val="37"/>
  </w:num>
  <w:num w:numId="42" w16cid:durableId="61569032">
    <w:abstractNumId w:val="14"/>
  </w:num>
  <w:num w:numId="43" w16cid:durableId="637952005">
    <w:abstractNumId w:val="38"/>
  </w:num>
  <w:num w:numId="44" w16cid:durableId="702831648">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efaultTabStop w:val="131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5FC"/>
    <w:rsid w:val="00006781"/>
    <w:rsid w:val="00011273"/>
    <w:rsid w:val="00012446"/>
    <w:rsid w:val="0001289B"/>
    <w:rsid w:val="000130A0"/>
    <w:rsid w:val="000132A8"/>
    <w:rsid w:val="000154C3"/>
    <w:rsid w:val="00021E76"/>
    <w:rsid w:val="000246D7"/>
    <w:rsid w:val="00025AEA"/>
    <w:rsid w:val="00025C8A"/>
    <w:rsid w:val="00025DB8"/>
    <w:rsid w:val="00027D43"/>
    <w:rsid w:val="00027F6F"/>
    <w:rsid w:val="00030D8F"/>
    <w:rsid w:val="00031610"/>
    <w:rsid w:val="000322FB"/>
    <w:rsid w:val="00034F50"/>
    <w:rsid w:val="000353E1"/>
    <w:rsid w:val="00037513"/>
    <w:rsid w:val="000379BD"/>
    <w:rsid w:val="00037FF3"/>
    <w:rsid w:val="0004263F"/>
    <w:rsid w:val="00045693"/>
    <w:rsid w:val="000500C9"/>
    <w:rsid w:val="000536E5"/>
    <w:rsid w:val="00054884"/>
    <w:rsid w:val="00054A06"/>
    <w:rsid w:val="000564E8"/>
    <w:rsid w:val="00060E56"/>
    <w:rsid w:val="000614DF"/>
    <w:rsid w:val="00064EE5"/>
    <w:rsid w:val="00066F10"/>
    <w:rsid w:val="00070E7D"/>
    <w:rsid w:val="00073571"/>
    <w:rsid w:val="00073E7E"/>
    <w:rsid w:val="00075E31"/>
    <w:rsid w:val="00080429"/>
    <w:rsid w:val="0008205E"/>
    <w:rsid w:val="0008427E"/>
    <w:rsid w:val="000846AB"/>
    <w:rsid w:val="00091F12"/>
    <w:rsid w:val="00092D0C"/>
    <w:rsid w:val="00093D0F"/>
    <w:rsid w:val="0009473F"/>
    <w:rsid w:val="000948B5"/>
    <w:rsid w:val="00095EC0"/>
    <w:rsid w:val="000A0E43"/>
    <w:rsid w:val="000A31D0"/>
    <w:rsid w:val="000A3908"/>
    <w:rsid w:val="000A3B91"/>
    <w:rsid w:val="000A4AEC"/>
    <w:rsid w:val="000A6095"/>
    <w:rsid w:val="000B166E"/>
    <w:rsid w:val="000B1C95"/>
    <w:rsid w:val="000B1D79"/>
    <w:rsid w:val="000B2758"/>
    <w:rsid w:val="000B319B"/>
    <w:rsid w:val="000B4679"/>
    <w:rsid w:val="000B50AA"/>
    <w:rsid w:val="000B7B1D"/>
    <w:rsid w:val="000B7F72"/>
    <w:rsid w:val="000C11EF"/>
    <w:rsid w:val="000C25BE"/>
    <w:rsid w:val="000C26DA"/>
    <w:rsid w:val="000C3A38"/>
    <w:rsid w:val="000C4B85"/>
    <w:rsid w:val="000C6503"/>
    <w:rsid w:val="000C66F6"/>
    <w:rsid w:val="000C67F3"/>
    <w:rsid w:val="000C73D1"/>
    <w:rsid w:val="000D031D"/>
    <w:rsid w:val="000D08CF"/>
    <w:rsid w:val="000D16C0"/>
    <w:rsid w:val="000D323B"/>
    <w:rsid w:val="000D3602"/>
    <w:rsid w:val="000D58CE"/>
    <w:rsid w:val="000D6091"/>
    <w:rsid w:val="000D6A4B"/>
    <w:rsid w:val="000E0F96"/>
    <w:rsid w:val="000E1901"/>
    <w:rsid w:val="000E37D0"/>
    <w:rsid w:val="000E4A78"/>
    <w:rsid w:val="000E54C0"/>
    <w:rsid w:val="000E5947"/>
    <w:rsid w:val="000E6C17"/>
    <w:rsid w:val="000F0636"/>
    <w:rsid w:val="000F13BC"/>
    <w:rsid w:val="000F13DE"/>
    <w:rsid w:val="000F1F48"/>
    <w:rsid w:val="000F2E53"/>
    <w:rsid w:val="000F3243"/>
    <w:rsid w:val="000F35EA"/>
    <w:rsid w:val="000F53C9"/>
    <w:rsid w:val="000F588D"/>
    <w:rsid w:val="000F718C"/>
    <w:rsid w:val="00101A9A"/>
    <w:rsid w:val="00102B2F"/>
    <w:rsid w:val="0010325F"/>
    <w:rsid w:val="00103A6E"/>
    <w:rsid w:val="00104E74"/>
    <w:rsid w:val="00106473"/>
    <w:rsid w:val="00107F10"/>
    <w:rsid w:val="00112807"/>
    <w:rsid w:val="001149D5"/>
    <w:rsid w:val="0011590D"/>
    <w:rsid w:val="00116524"/>
    <w:rsid w:val="00116947"/>
    <w:rsid w:val="001176FB"/>
    <w:rsid w:val="00120086"/>
    <w:rsid w:val="00121AEB"/>
    <w:rsid w:val="00122112"/>
    <w:rsid w:val="00122A80"/>
    <w:rsid w:val="00123C63"/>
    <w:rsid w:val="0012481A"/>
    <w:rsid w:val="001256FF"/>
    <w:rsid w:val="00127ABC"/>
    <w:rsid w:val="00131807"/>
    <w:rsid w:val="00134FDB"/>
    <w:rsid w:val="00135F13"/>
    <w:rsid w:val="00136D21"/>
    <w:rsid w:val="0013731B"/>
    <w:rsid w:val="001375BC"/>
    <w:rsid w:val="00137769"/>
    <w:rsid w:val="00140717"/>
    <w:rsid w:val="00142235"/>
    <w:rsid w:val="00143B74"/>
    <w:rsid w:val="001457B3"/>
    <w:rsid w:val="0015317E"/>
    <w:rsid w:val="00156E58"/>
    <w:rsid w:val="00157364"/>
    <w:rsid w:val="00157F2F"/>
    <w:rsid w:val="0016078F"/>
    <w:rsid w:val="001609BF"/>
    <w:rsid w:val="00160CDD"/>
    <w:rsid w:val="00160EAB"/>
    <w:rsid w:val="00162706"/>
    <w:rsid w:val="001627BE"/>
    <w:rsid w:val="001629CF"/>
    <w:rsid w:val="00166EEE"/>
    <w:rsid w:val="00171436"/>
    <w:rsid w:val="0017274A"/>
    <w:rsid w:val="00173297"/>
    <w:rsid w:val="00175AE2"/>
    <w:rsid w:val="0017638D"/>
    <w:rsid w:val="00176C66"/>
    <w:rsid w:val="00176E42"/>
    <w:rsid w:val="001809C8"/>
    <w:rsid w:val="0018190C"/>
    <w:rsid w:val="00183074"/>
    <w:rsid w:val="001830B0"/>
    <w:rsid w:val="0018472F"/>
    <w:rsid w:val="001853CA"/>
    <w:rsid w:val="00186269"/>
    <w:rsid w:val="0018684F"/>
    <w:rsid w:val="00186AE9"/>
    <w:rsid w:val="00186E6F"/>
    <w:rsid w:val="0018719E"/>
    <w:rsid w:val="001879C3"/>
    <w:rsid w:val="00190396"/>
    <w:rsid w:val="00192162"/>
    <w:rsid w:val="001936C0"/>
    <w:rsid w:val="00193B51"/>
    <w:rsid w:val="00195393"/>
    <w:rsid w:val="00196835"/>
    <w:rsid w:val="001973C6"/>
    <w:rsid w:val="00197ADB"/>
    <w:rsid w:val="001A24BB"/>
    <w:rsid w:val="001A258F"/>
    <w:rsid w:val="001A3D4E"/>
    <w:rsid w:val="001A401B"/>
    <w:rsid w:val="001A576D"/>
    <w:rsid w:val="001A5841"/>
    <w:rsid w:val="001A6A6D"/>
    <w:rsid w:val="001B0496"/>
    <w:rsid w:val="001B1245"/>
    <w:rsid w:val="001B1A5F"/>
    <w:rsid w:val="001B3732"/>
    <w:rsid w:val="001B4AB5"/>
    <w:rsid w:val="001B520D"/>
    <w:rsid w:val="001B5DC2"/>
    <w:rsid w:val="001B6535"/>
    <w:rsid w:val="001B6745"/>
    <w:rsid w:val="001B67A0"/>
    <w:rsid w:val="001B68BA"/>
    <w:rsid w:val="001C06F7"/>
    <w:rsid w:val="001C0F7D"/>
    <w:rsid w:val="001C1127"/>
    <w:rsid w:val="001C1AEA"/>
    <w:rsid w:val="001C4C44"/>
    <w:rsid w:val="001D4293"/>
    <w:rsid w:val="001D44AB"/>
    <w:rsid w:val="001D6B34"/>
    <w:rsid w:val="001E0F15"/>
    <w:rsid w:val="001E17DA"/>
    <w:rsid w:val="001E1EED"/>
    <w:rsid w:val="001E240A"/>
    <w:rsid w:val="001E5110"/>
    <w:rsid w:val="001E571B"/>
    <w:rsid w:val="001E7631"/>
    <w:rsid w:val="001F1255"/>
    <w:rsid w:val="001F3F4E"/>
    <w:rsid w:val="001F48A7"/>
    <w:rsid w:val="001F61D2"/>
    <w:rsid w:val="00200C88"/>
    <w:rsid w:val="002012C4"/>
    <w:rsid w:val="002026A3"/>
    <w:rsid w:val="00204D4C"/>
    <w:rsid w:val="00205B51"/>
    <w:rsid w:val="002060FC"/>
    <w:rsid w:val="00207727"/>
    <w:rsid w:val="00207A57"/>
    <w:rsid w:val="002102D8"/>
    <w:rsid w:val="00210C1D"/>
    <w:rsid w:val="00212EA0"/>
    <w:rsid w:val="00216022"/>
    <w:rsid w:val="00216B3B"/>
    <w:rsid w:val="00221034"/>
    <w:rsid w:val="0022437D"/>
    <w:rsid w:val="00224ACC"/>
    <w:rsid w:val="0022560E"/>
    <w:rsid w:val="002315B2"/>
    <w:rsid w:val="0023251A"/>
    <w:rsid w:val="002341A9"/>
    <w:rsid w:val="00234859"/>
    <w:rsid w:val="00235109"/>
    <w:rsid w:val="002351C7"/>
    <w:rsid w:val="00236CA4"/>
    <w:rsid w:val="0023726D"/>
    <w:rsid w:val="00237501"/>
    <w:rsid w:val="002406A9"/>
    <w:rsid w:val="00241615"/>
    <w:rsid w:val="0024204B"/>
    <w:rsid w:val="00242953"/>
    <w:rsid w:val="002451EE"/>
    <w:rsid w:val="0024678F"/>
    <w:rsid w:val="00246FAC"/>
    <w:rsid w:val="00247FA9"/>
    <w:rsid w:val="00250A91"/>
    <w:rsid w:val="0025351C"/>
    <w:rsid w:val="00256FB6"/>
    <w:rsid w:val="00257BEF"/>
    <w:rsid w:val="00262B13"/>
    <w:rsid w:val="00262E41"/>
    <w:rsid w:val="00263356"/>
    <w:rsid w:val="002644DB"/>
    <w:rsid w:val="00264D7F"/>
    <w:rsid w:val="00265AE7"/>
    <w:rsid w:val="00266ABB"/>
    <w:rsid w:val="0026746A"/>
    <w:rsid w:val="0027014E"/>
    <w:rsid w:val="00270D00"/>
    <w:rsid w:val="00271A47"/>
    <w:rsid w:val="00271A6B"/>
    <w:rsid w:val="00272862"/>
    <w:rsid w:val="002731E3"/>
    <w:rsid w:val="00276FC7"/>
    <w:rsid w:val="00280B98"/>
    <w:rsid w:val="00282917"/>
    <w:rsid w:val="00284090"/>
    <w:rsid w:val="002844C9"/>
    <w:rsid w:val="002859F8"/>
    <w:rsid w:val="00287717"/>
    <w:rsid w:val="00290328"/>
    <w:rsid w:val="0029093C"/>
    <w:rsid w:val="00290D9E"/>
    <w:rsid w:val="00291117"/>
    <w:rsid w:val="002920BF"/>
    <w:rsid w:val="00292426"/>
    <w:rsid w:val="002933F3"/>
    <w:rsid w:val="00294E60"/>
    <w:rsid w:val="00296E10"/>
    <w:rsid w:val="0029703A"/>
    <w:rsid w:val="00297540"/>
    <w:rsid w:val="00297D1D"/>
    <w:rsid w:val="002A16E5"/>
    <w:rsid w:val="002A2F15"/>
    <w:rsid w:val="002A58F2"/>
    <w:rsid w:val="002A5AFA"/>
    <w:rsid w:val="002A6758"/>
    <w:rsid w:val="002A77CA"/>
    <w:rsid w:val="002B19A1"/>
    <w:rsid w:val="002B220B"/>
    <w:rsid w:val="002B2CA1"/>
    <w:rsid w:val="002B2F06"/>
    <w:rsid w:val="002B367C"/>
    <w:rsid w:val="002B3A28"/>
    <w:rsid w:val="002B56CF"/>
    <w:rsid w:val="002B5A89"/>
    <w:rsid w:val="002C64DE"/>
    <w:rsid w:val="002C68F1"/>
    <w:rsid w:val="002D214E"/>
    <w:rsid w:val="002D5154"/>
    <w:rsid w:val="002E2C4A"/>
    <w:rsid w:val="002E2DB2"/>
    <w:rsid w:val="002E3276"/>
    <w:rsid w:val="002E537C"/>
    <w:rsid w:val="002E67E4"/>
    <w:rsid w:val="002E6E20"/>
    <w:rsid w:val="002E6FC0"/>
    <w:rsid w:val="002E7402"/>
    <w:rsid w:val="002F0247"/>
    <w:rsid w:val="002F0FEA"/>
    <w:rsid w:val="002F1A2F"/>
    <w:rsid w:val="002F359A"/>
    <w:rsid w:val="002F3D3C"/>
    <w:rsid w:val="002F4144"/>
    <w:rsid w:val="002F5F3C"/>
    <w:rsid w:val="002F66E6"/>
    <w:rsid w:val="002F71B4"/>
    <w:rsid w:val="002F7F96"/>
    <w:rsid w:val="00300AC9"/>
    <w:rsid w:val="0030441E"/>
    <w:rsid w:val="00305815"/>
    <w:rsid w:val="00305914"/>
    <w:rsid w:val="00305FEB"/>
    <w:rsid w:val="0030617F"/>
    <w:rsid w:val="00306ACE"/>
    <w:rsid w:val="0030732B"/>
    <w:rsid w:val="00307EA8"/>
    <w:rsid w:val="003122BB"/>
    <w:rsid w:val="0031235D"/>
    <w:rsid w:val="003123E7"/>
    <w:rsid w:val="0031303C"/>
    <w:rsid w:val="003130DE"/>
    <w:rsid w:val="0031376F"/>
    <w:rsid w:val="00313845"/>
    <w:rsid w:val="00316368"/>
    <w:rsid w:val="003225F8"/>
    <w:rsid w:val="003234B5"/>
    <w:rsid w:val="0032354C"/>
    <w:rsid w:val="003239E7"/>
    <w:rsid w:val="00323FA3"/>
    <w:rsid w:val="00324F85"/>
    <w:rsid w:val="00325024"/>
    <w:rsid w:val="00325941"/>
    <w:rsid w:val="00326C50"/>
    <w:rsid w:val="00326CBC"/>
    <w:rsid w:val="003273B7"/>
    <w:rsid w:val="00327917"/>
    <w:rsid w:val="00327F46"/>
    <w:rsid w:val="0033217F"/>
    <w:rsid w:val="003344F7"/>
    <w:rsid w:val="003407C4"/>
    <w:rsid w:val="0034149B"/>
    <w:rsid w:val="00341FEB"/>
    <w:rsid w:val="00343837"/>
    <w:rsid w:val="00343FA9"/>
    <w:rsid w:val="003442FA"/>
    <w:rsid w:val="00344502"/>
    <w:rsid w:val="003514BA"/>
    <w:rsid w:val="0035350C"/>
    <w:rsid w:val="00354D07"/>
    <w:rsid w:val="00361693"/>
    <w:rsid w:val="00364DFC"/>
    <w:rsid w:val="00365369"/>
    <w:rsid w:val="00365D1E"/>
    <w:rsid w:val="003665EC"/>
    <w:rsid w:val="00371539"/>
    <w:rsid w:val="00371720"/>
    <w:rsid w:val="0037189B"/>
    <w:rsid w:val="0037271B"/>
    <w:rsid w:val="0037385E"/>
    <w:rsid w:val="00373C34"/>
    <w:rsid w:val="00374428"/>
    <w:rsid w:val="00374778"/>
    <w:rsid w:val="00376638"/>
    <w:rsid w:val="003779EE"/>
    <w:rsid w:val="00377ED1"/>
    <w:rsid w:val="00380163"/>
    <w:rsid w:val="00380A00"/>
    <w:rsid w:val="00381336"/>
    <w:rsid w:val="00383794"/>
    <w:rsid w:val="00385AF6"/>
    <w:rsid w:val="003909B9"/>
    <w:rsid w:val="00391BD2"/>
    <w:rsid w:val="00392DA2"/>
    <w:rsid w:val="0039322A"/>
    <w:rsid w:val="00396F2F"/>
    <w:rsid w:val="003A21EA"/>
    <w:rsid w:val="003A28E9"/>
    <w:rsid w:val="003A2F2E"/>
    <w:rsid w:val="003A463D"/>
    <w:rsid w:val="003A4BE8"/>
    <w:rsid w:val="003A4F15"/>
    <w:rsid w:val="003A7F6F"/>
    <w:rsid w:val="003B1B73"/>
    <w:rsid w:val="003B20E1"/>
    <w:rsid w:val="003B24FC"/>
    <w:rsid w:val="003B29D9"/>
    <w:rsid w:val="003B3541"/>
    <w:rsid w:val="003B704D"/>
    <w:rsid w:val="003B7BA9"/>
    <w:rsid w:val="003C6AF4"/>
    <w:rsid w:val="003C78F2"/>
    <w:rsid w:val="003D0126"/>
    <w:rsid w:val="003D0B70"/>
    <w:rsid w:val="003D0BD2"/>
    <w:rsid w:val="003D1052"/>
    <w:rsid w:val="003D2A9E"/>
    <w:rsid w:val="003D2D7A"/>
    <w:rsid w:val="003D30E6"/>
    <w:rsid w:val="003D5304"/>
    <w:rsid w:val="003D66FB"/>
    <w:rsid w:val="003D75A3"/>
    <w:rsid w:val="003D7F3A"/>
    <w:rsid w:val="003E03D1"/>
    <w:rsid w:val="003E3C80"/>
    <w:rsid w:val="003E42CE"/>
    <w:rsid w:val="003E4696"/>
    <w:rsid w:val="003E5B82"/>
    <w:rsid w:val="003E6B34"/>
    <w:rsid w:val="003E6FCB"/>
    <w:rsid w:val="003E7CD2"/>
    <w:rsid w:val="003F112F"/>
    <w:rsid w:val="003F1327"/>
    <w:rsid w:val="003F14C6"/>
    <w:rsid w:val="003F166A"/>
    <w:rsid w:val="003F1E7C"/>
    <w:rsid w:val="003F351F"/>
    <w:rsid w:val="003F411E"/>
    <w:rsid w:val="003F54F7"/>
    <w:rsid w:val="003F5BE9"/>
    <w:rsid w:val="00400AE9"/>
    <w:rsid w:val="00400D10"/>
    <w:rsid w:val="00400DE6"/>
    <w:rsid w:val="00402212"/>
    <w:rsid w:val="00402898"/>
    <w:rsid w:val="00404820"/>
    <w:rsid w:val="004051FC"/>
    <w:rsid w:val="0040554D"/>
    <w:rsid w:val="004056B2"/>
    <w:rsid w:val="004058D8"/>
    <w:rsid w:val="00407A2C"/>
    <w:rsid w:val="00407CB8"/>
    <w:rsid w:val="00407CFB"/>
    <w:rsid w:val="00411332"/>
    <w:rsid w:val="0041134D"/>
    <w:rsid w:val="00412112"/>
    <w:rsid w:val="00412479"/>
    <w:rsid w:val="00413D47"/>
    <w:rsid w:val="00413E7A"/>
    <w:rsid w:val="00414F29"/>
    <w:rsid w:val="00415A7E"/>
    <w:rsid w:val="00416699"/>
    <w:rsid w:val="00416BF8"/>
    <w:rsid w:val="00420364"/>
    <w:rsid w:val="004206D5"/>
    <w:rsid w:val="00420CD0"/>
    <w:rsid w:val="00424BB9"/>
    <w:rsid w:val="004255D0"/>
    <w:rsid w:val="00426199"/>
    <w:rsid w:val="0042679D"/>
    <w:rsid w:val="0042771B"/>
    <w:rsid w:val="00431052"/>
    <w:rsid w:val="00431F0A"/>
    <w:rsid w:val="00435BA8"/>
    <w:rsid w:val="004361C8"/>
    <w:rsid w:val="004366EA"/>
    <w:rsid w:val="00437708"/>
    <w:rsid w:val="0043773C"/>
    <w:rsid w:val="0044021E"/>
    <w:rsid w:val="0044119A"/>
    <w:rsid w:val="00441A99"/>
    <w:rsid w:val="004430E7"/>
    <w:rsid w:val="004439FE"/>
    <w:rsid w:val="00446714"/>
    <w:rsid w:val="00446D4A"/>
    <w:rsid w:val="00451BDF"/>
    <w:rsid w:val="00452FCD"/>
    <w:rsid w:val="00453E66"/>
    <w:rsid w:val="0045485E"/>
    <w:rsid w:val="0045763C"/>
    <w:rsid w:val="00457B51"/>
    <w:rsid w:val="004628E4"/>
    <w:rsid w:val="00462D94"/>
    <w:rsid w:val="0046342E"/>
    <w:rsid w:val="004634F8"/>
    <w:rsid w:val="0046407F"/>
    <w:rsid w:val="0046439A"/>
    <w:rsid w:val="00465512"/>
    <w:rsid w:val="00466571"/>
    <w:rsid w:val="00467002"/>
    <w:rsid w:val="0046721D"/>
    <w:rsid w:val="00467B37"/>
    <w:rsid w:val="004700E3"/>
    <w:rsid w:val="00475698"/>
    <w:rsid w:val="004777E8"/>
    <w:rsid w:val="004816B1"/>
    <w:rsid w:val="00481751"/>
    <w:rsid w:val="004830FF"/>
    <w:rsid w:val="004833AB"/>
    <w:rsid w:val="004839A5"/>
    <w:rsid w:val="00483C63"/>
    <w:rsid w:val="004862BC"/>
    <w:rsid w:val="00486571"/>
    <w:rsid w:val="0048669E"/>
    <w:rsid w:val="00491B55"/>
    <w:rsid w:val="004929FA"/>
    <w:rsid w:val="004940D8"/>
    <w:rsid w:val="004960CE"/>
    <w:rsid w:val="004961DE"/>
    <w:rsid w:val="004A04BA"/>
    <w:rsid w:val="004A1396"/>
    <w:rsid w:val="004A3D3D"/>
    <w:rsid w:val="004A567F"/>
    <w:rsid w:val="004A5F81"/>
    <w:rsid w:val="004A6150"/>
    <w:rsid w:val="004A6BFB"/>
    <w:rsid w:val="004A7992"/>
    <w:rsid w:val="004B0857"/>
    <w:rsid w:val="004B1376"/>
    <w:rsid w:val="004B1B9E"/>
    <w:rsid w:val="004B1F48"/>
    <w:rsid w:val="004B4576"/>
    <w:rsid w:val="004B46E4"/>
    <w:rsid w:val="004C1713"/>
    <w:rsid w:val="004C1A57"/>
    <w:rsid w:val="004C69E7"/>
    <w:rsid w:val="004D034B"/>
    <w:rsid w:val="004D0E2D"/>
    <w:rsid w:val="004D1F5F"/>
    <w:rsid w:val="004D3220"/>
    <w:rsid w:val="004D3583"/>
    <w:rsid w:val="004D4730"/>
    <w:rsid w:val="004D5CBA"/>
    <w:rsid w:val="004D5F8B"/>
    <w:rsid w:val="004D63C5"/>
    <w:rsid w:val="004D6DB6"/>
    <w:rsid w:val="004D76BF"/>
    <w:rsid w:val="004D79C5"/>
    <w:rsid w:val="004D79D7"/>
    <w:rsid w:val="004E0356"/>
    <w:rsid w:val="004E11EA"/>
    <w:rsid w:val="004E1740"/>
    <w:rsid w:val="004E2228"/>
    <w:rsid w:val="004E2ED9"/>
    <w:rsid w:val="004E52D8"/>
    <w:rsid w:val="004E7A40"/>
    <w:rsid w:val="004F1589"/>
    <w:rsid w:val="004F2C6B"/>
    <w:rsid w:val="004F3BCF"/>
    <w:rsid w:val="004F3E13"/>
    <w:rsid w:val="004F513E"/>
    <w:rsid w:val="004F6600"/>
    <w:rsid w:val="00500725"/>
    <w:rsid w:val="0050233F"/>
    <w:rsid w:val="00503BD7"/>
    <w:rsid w:val="0050477D"/>
    <w:rsid w:val="005054B7"/>
    <w:rsid w:val="00510316"/>
    <w:rsid w:val="005118BC"/>
    <w:rsid w:val="00511998"/>
    <w:rsid w:val="00513405"/>
    <w:rsid w:val="00513505"/>
    <w:rsid w:val="00513951"/>
    <w:rsid w:val="005140AA"/>
    <w:rsid w:val="005149E9"/>
    <w:rsid w:val="00516071"/>
    <w:rsid w:val="005165E2"/>
    <w:rsid w:val="00520E78"/>
    <w:rsid w:val="00521024"/>
    <w:rsid w:val="00522316"/>
    <w:rsid w:val="0052289F"/>
    <w:rsid w:val="005228E2"/>
    <w:rsid w:val="00523FB1"/>
    <w:rsid w:val="00524190"/>
    <w:rsid w:val="005244E6"/>
    <w:rsid w:val="005246DC"/>
    <w:rsid w:val="00525B66"/>
    <w:rsid w:val="00527911"/>
    <w:rsid w:val="005324BE"/>
    <w:rsid w:val="005343E2"/>
    <w:rsid w:val="005354AE"/>
    <w:rsid w:val="0053606B"/>
    <w:rsid w:val="005373BF"/>
    <w:rsid w:val="005425BA"/>
    <w:rsid w:val="00544C42"/>
    <w:rsid w:val="005453A7"/>
    <w:rsid w:val="005457DD"/>
    <w:rsid w:val="00545F13"/>
    <w:rsid w:val="00547572"/>
    <w:rsid w:val="00547F77"/>
    <w:rsid w:val="0055016F"/>
    <w:rsid w:val="005519E1"/>
    <w:rsid w:val="00552C19"/>
    <w:rsid w:val="00552FA9"/>
    <w:rsid w:val="00553AD3"/>
    <w:rsid w:val="0055434F"/>
    <w:rsid w:val="00554770"/>
    <w:rsid w:val="00561F2F"/>
    <w:rsid w:val="00562DD0"/>
    <w:rsid w:val="005661C8"/>
    <w:rsid w:val="005674D6"/>
    <w:rsid w:val="005675EE"/>
    <w:rsid w:val="00570B96"/>
    <w:rsid w:val="0057185C"/>
    <w:rsid w:val="00571A37"/>
    <w:rsid w:val="00574E28"/>
    <w:rsid w:val="00576B87"/>
    <w:rsid w:val="00580761"/>
    <w:rsid w:val="0058076D"/>
    <w:rsid w:val="00581981"/>
    <w:rsid w:val="0058213A"/>
    <w:rsid w:val="00582A1C"/>
    <w:rsid w:val="00585333"/>
    <w:rsid w:val="00591644"/>
    <w:rsid w:val="00591780"/>
    <w:rsid w:val="00592956"/>
    <w:rsid w:val="00592E29"/>
    <w:rsid w:val="005946FE"/>
    <w:rsid w:val="005969DD"/>
    <w:rsid w:val="00596C73"/>
    <w:rsid w:val="00597B1E"/>
    <w:rsid w:val="005A01E5"/>
    <w:rsid w:val="005A5690"/>
    <w:rsid w:val="005A6123"/>
    <w:rsid w:val="005A7934"/>
    <w:rsid w:val="005B0BFE"/>
    <w:rsid w:val="005B1F55"/>
    <w:rsid w:val="005B33CE"/>
    <w:rsid w:val="005B420C"/>
    <w:rsid w:val="005B4F58"/>
    <w:rsid w:val="005B55C1"/>
    <w:rsid w:val="005B62AB"/>
    <w:rsid w:val="005B65F5"/>
    <w:rsid w:val="005C0557"/>
    <w:rsid w:val="005C4634"/>
    <w:rsid w:val="005C5135"/>
    <w:rsid w:val="005C58EE"/>
    <w:rsid w:val="005C609F"/>
    <w:rsid w:val="005C691D"/>
    <w:rsid w:val="005D1157"/>
    <w:rsid w:val="005D27DD"/>
    <w:rsid w:val="005D2D53"/>
    <w:rsid w:val="005D3F75"/>
    <w:rsid w:val="005D5441"/>
    <w:rsid w:val="005D600C"/>
    <w:rsid w:val="005E0313"/>
    <w:rsid w:val="005E11D0"/>
    <w:rsid w:val="005E2598"/>
    <w:rsid w:val="005E2AF8"/>
    <w:rsid w:val="005E359D"/>
    <w:rsid w:val="005E3B36"/>
    <w:rsid w:val="005E4BE9"/>
    <w:rsid w:val="005E5522"/>
    <w:rsid w:val="005E7917"/>
    <w:rsid w:val="005E7952"/>
    <w:rsid w:val="005F179A"/>
    <w:rsid w:val="005F19CF"/>
    <w:rsid w:val="005F19E5"/>
    <w:rsid w:val="005F1AB7"/>
    <w:rsid w:val="005F2512"/>
    <w:rsid w:val="005F445E"/>
    <w:rsid w:val="005F509D"/>
    <w:rsid w:val="005F5C40"/>
    <w:rsid w:val="005F7466"/>
    <w:rsid w:val="0060028A"/>
    <w:rsid w:val="0060195D"/>
    <w:rsid w:val="00602A3D"/>
    <w:rsid w:val="00603088"/>
    <w:rsid w:val="00604767"/>
    <w:rsid w:val="00606212"/>
    <w:rsid w:val="006064C8"/>
    <w:rsid w:val="006123F2"/>
    <w:rsid w:val="0061340D"/>
    <w:rsid w:val="00613677"/>
    <w:rsid w:val="0061443B"/>
    <w:rsid w:val="00615129"/>
    <w:rsid w:val="00615628"/>
    <w:rsid w:val="00616985"/>
    <w:rsid w:val="00616FA3"/>
    <w:rsid w:val="00621B7E"/>
    <w:rsid w:val="006222B8"/>
    <w:rsid w:val="00624E45"/>
    <w:rsid w:val="00626018"/>
    <w:rsid w:val="00633D46"/>
    <w:rsid w:val="00633DC1"/>
    <w:rsid w:val="00634EB9"/>
    <w:rsid w:val="00636546"/>
    <w:rsid w:val="00636710"/>
    <w:rsid w:val="006435C4"/>
    <w:rsid w:val="0064433D"/>
    <w:rsid w:val="006446B0"/>
    <w:rsid w:val="00646036"/>
    <w:rsid w:val="00647D35"/>
    <w:rsid w:val="00651F91"/>
    <w:rsid w:val="00654D8B"/>
    <w:rsid w:val="00654FAB"/>
    <w:rsid w:val="00655CC4"/>
    <w:rsid w:val="00656975"/>
    <w:rsid w:val="00657366"/>
    <w:rsid w:val="00657FFE"/>
    <w:rsid w:val="00661471"/>
    <w:rsid w:val="00661689"/>
    <w:rsid w:val="006619CC"/>
    <w:rsid w:val="006622AD"/>
    <w:rsid w:val="00663307"/>
    <w:rsid w:val="00663353"/>
    <w:rsid w:val="00663A2C"/>
    <w:rsid w:val="006640CD"/>
    <w:rsid w:val="0066453F"/>
    <w:rsid w:val="00664AC3"/>
    <w:rsid w:val="00665267"/>
    <w:rsid w:val="0066760D"/>
    <w:rsid w:val="0066780A"/>
    <w:rsid w:val="0067260A"/>
    <w:rsid w:val="00672866"/>
    <w:rsid w:val="00673301"/>
    <w:rsid w:val="00675369"/>
    <w:rsid w:val="00676A8F"/>
    <w:rsid w:val="00677322"/>
    <w:rsid w:val="006813D2"/>
    <w:rsid w:val="00681FCF"/>
    <w:rsid w:val="006828D0"/>
    <w:rsid w:val="006844C0"/>
    <w:rsid w:val="006857C8"/>
    <w:rsid w:val="00685D76"/>
    <w:rsid w:val="00686BBF"/>
    <w:rsid w:val="00690117"/>
    <w:rsid w:val="0069022B"/>
    <w:rsid w:val="00691ACB"/>
    <w:rsid w:val="0069242E"/>
    <w:rsid w:val="006929EB"/>
    <w:rsid w:val="006943CA"/>
    <w:rsid w:val="00695141"/>
    <w:rsid w:val="00695257"/>
    <w:rsid w:val="00696C42"/>
    <w:rsid w:val="00696F64"/>
    <w:rsid w:val="00697198"/>
    <w:rsid w:val="006978DC"/>
    <w:rsid w:val="00697C2B"/>
    <w:rsid w:val="006A08BE"/>
    <w:rsid w:val="006A1211"/>
    <w:rsid w:val="006A2901"/>
    <w:rsid w:val="006A38CD"/>
    <w:rsid w:val="006A4333"/>
    <w:rsid w:val="006A4651"/>
    <w:rsid w:val="006A637D"/>
    <w:rsid w:val="006B341F"/>
    <w:rsid w:val="006B40F7"/>
    <w:rsid w:val="006B41BE"/>
    <w:rsid w:val="006B4347"/>
    <w:rsid w:val="006B5502"/>
    <w:rsid w:val="006B5F7F"/>
    <w:rsid w:val="006B65DA"/>
    <w:rsid w:val="006B7572"/>
    <w:rsid w:val="006C1C20"/>
    <w:rsid w:val="006C20CD"/>
    <w:rsid w:val="006C297A"/>
    <w:rsid w:val="006C4775"/>
    <w:rsid w:val="006C7BCB"/>
    <w:rsid w:val="006D0CA6"/>
    <w:rsid w:val="006D11B3"/>
    <w:rsid w:val="006D1FFF"/>
    <w:rsid w:val="006D5F78"/>
    <w:rsid w:val="006D6336"/>
    <w:rsid w:val="006D76B9"/>
    <w:rsid w:val="006E3957"/>
    <w:rsid w:val="006E4B35"/>
    <w:rsid w:val="006E7221"/>
    <w:rsid w:val="006F00EB"/>
    <w:rsid w:val="006F0B93"/>
    <w:rsid w:val="006F1519"/>
    <w:rsid w:val="006F1E09"/>
    <w:rsid w:val="006F22D6"/>
    <w:rsid w:val="006F306F"/>
    <w:rsid w:val="006F6891"/>
    <w:rsid w:val="00700A63"/>
    <w:rsid w:val="00702209"/>
    <w:rsid w:val="00710EC6"/>
    <w:rsid w:val="0071112A"/>
    <w:rsid w:val="00713539"/>
    <w:rsid w:val="00715C4A"/>
    <w:rsid w:val="00720583"/>
    <w:rsid w:val="00720C6B"/>
    <w:rsid w:val="00720F53"/>
    <w:rsid w:val="007217AF"/>
    <w:rsid w:val="0072212E"/>
    <w:rsid w:val="00724213"/>
    <w:rsid w:val="007306C7"/>
    <w:rsid w:val="00730C45"/>
    <w:rsid w:val="00730F0B"/>
    <w:rsid w:val="00731517"/>
    <w:rsid w:val="00732C7E"/>
    <w:rsid w:val="0073649C"/>
    <w:rsid w:val="007367DC"/>
    <w:rsid w:val="0074042E"/>
    <w:rsid w:val="00741CFF"/>
    <w:rsid w:val="00741D01"/>
    <w:rsid w:val="007428A5"/>
    <w:rsid w:val="0074481E"/>
    <w:rsid w:val="007456DB"/>
    <w:rsid w:val="00746B5C"/>
    <w:rsid w:val="00746FD5"/>
    <w:rsid w:val="00747347"/>
    <w:rsid w:val="007500A7"/>
    <w:rsid w:val="00750B59"/>
    <w:rsid w:val="00751FF1"/>
    <w:rsid w:val="00752512"/>
    <w:rsid w:val="007534A5"/>
    <w:rsid w:val="0075449C"/>
    <w:rsid w:val="00754833"/>
    <w:rsid w:val="007557D1"/>
    <w:rsid w:val="00756AD2"/>
    <w:rsid w:val="00757937"/>
    <w:rsid w:val="00761B1E"/>
    <w:rsid w:val="00763A12"/>
    <w:rsid w:val="00763B14"/>
    <w:rsid w:val="00764B6E"/>
    <w:rsid w:val="00765B91"/>
    <w:rsid w:val="00766231"/>
    <w:rsid w:val="00767E58"/>
    <w:rsid w:val="00770DA9"/>
    <w:rsid w:val="00771651"/>
    <w:rsid w:val="007739D1"/>
    <w:rsid w:val="00774DF0"/>
    <w:rsid w:val="00774E26"/>
    <w:rsid w:val="00775438"/>
    <w:rsid w:val="00776A22"/>
    <w:rsid w:val="00777424"/>
    <w:rsid w:val="007805FA"/>
    <w:rsid w:val="00781169"/>
    <w:rsid w:val="00781B23"/>
    <w:rsid w:val="0078231E"/>
    <w:rsid w:val="007827B8"/>
    <w:rsid w:val="00786274"/>
    <w:rsid w:val="00793188"/>
    <w:rsid w:val="0079373B"/>
    <w:rsid w:val="00795121"/>
    <w:rsid w:val="00795EB6"/>
    <w:rsid w:val="00796584"/>
    <w:rsid w:val="00796801"/>
    <w:rsid w:val="007A0109"/>
    <w:rsid w:val="007A03B5"/>
    <w:rsid w:val="007A0FF0"/>
    <w:rsid w:val="007A26A9"/>
    <w:rsid w:val="007A27B2"/>
    <w:rsid w:val="007A34F7"/>
    <w:rsid w:val="007A465E"/>
    <w:rsid w:val="007A4AD7"/>
    <w:rsid w:val="007A5E7F"/>
    <w:rsid w:val="007A79F2"/>
    <w:rsid w:val="007B37D6"/>
    <w:rsid w:val="007B4410"/>
    <w:rsid w:val="007B450D"/>
    <w:rsid w:val="007B4C3A"/>
    <w:rsid w:val="007B7495"/>
    <w:rsid w:val="007B7A74"/>
    <w:rsid w:val="007C08A0"/>
    <w:rsid w:val="007C0FBA"/>
    <w:rsid w:val="007C126F"/>
    <w:rsid w:val="007C1C4E"/>
    <w:rsid w:val="007C2A96"/>
    <w:rsid w:val="007C3A5B"/>
    <w:rsid w:val="007C4897"/>
    <w:rsid w:val="007C4AA5"/>
    <w:rsid w:val="007C5031"/>
    <w:rsid w:val="007C5931"/>
    <w:rsid w:val="007C62DB"/>
    <w:rsid w:val="007C682E"/>
    <w:rsid w:val="007C6A40"/>
    <w:rsid w:val="007D1293"/>
    <w:rsid w:val="007D2938"/>
    <w:rsid w:val="007D2F6B"/>
    <w:rsid w:val="007D331F"/>
    <w:rsid w:val="007D3CB7"/>
    <w:rsid w:val="007E2871"/>
    <w:rsid w:val="007E32FF"/>
    <w:rsid w:val="007E6168"/>
    <w:rsid w:val="007E725C"/>
    <w:rsid w:val="007E78DE"/>
    <w:rsid w:val="007F0CFF"/>
    <w:rsid w:val="007F3236"/>
    <w:rsid w:val="007F50F3"/>
    <w:rsid w:val="007F6433"/>
    <w:rsid w:val="007F7281"/>
    <w:rsid w:val="007F7B53"/>
    <w:rsid w:val="007F7B60"/>
    <w:rsid w:val="007F7EBE"/>
    <w:rsid w:val="00800674"/>
    <w:rsid w:val="0080187D"/>
    <w:rsid w:val="0080474B"/>
    <w:rsid w:val="00806DD5"/>
    <w:rsid w:val="00807406"/>
    <w:rsid w:val="008114AA"/>
    <w:rsid w:val="0081169B"/>
    <w:rsid w:val="008116DC"/>
    <w:rsid w:val="00812513"/>
    <w:rsid w:val="0081424F"/>
    <w:rsid w:val="008154CC"/>
    <w:rsid w:val="00815C70"/>
    <w:rsid w:val="008167DA"/>
    <w:rsid w:val="00817E6C"/>
    <w:rsid w:val="00820CCB"/>
    <w:rsid w:val="00821D42"/>
    <w:rsid w:val="00822B51"/>
    <w:rsid w:val="008253BE"/>
    <w:rsid w:val="00827FB1"/>
    <w:rsid w:val="00831152"/>
    <w:rsid w:val="00831660"/>
    <w:rsid w:val="00832581"/>
    <w:rsid w:val="00832B50"/>
    <w:rsid w:val="00832BA9"/>
    <w:rsid w:val="00834A7A"/>
    <w:rsid w:val="00834B87"/>
    <w:rsid w:val="0083775D"/>
    <w:rsid w:val="00837955"/>
    <w:rsid w:val="00837F9D"/>
    <w:rsid w:val="008412C6"/>
    <w:rsid w:val="008449AC"/>
    <w:rsid w:val="00845238"/>
    <w:rsid w:val="0084556D"/>
    <w:rsid w:val="00845C8D"/>
    <w:rsid w:val="00846607"/>
    <w:rsid w:val="00846C94"/>
    <w:rsid w:val="00847018"/>
    <w:rsid w:val="00847772"/>
    <w:rsid w:val="00847C19"/>
    <w:rsid w:val="00847E24"/>
    <w:rsid w:val="00847FED"/>
    <w:rsid w:val="0085031C"/>
    <w:rsid w:val="00852975"/>
    <w:rsid w:val="00852E63"/>
    <w:rsid w:val="00853A84"/>
    <w:rsid w:val="00853B6D"/>
    <w:rsid w:val="00855163"/>
    <w:rsid w:val="008558DF"/>
    <w:rsid w:val="00856030"/>
    <w:rsid w:val="00860290"/>
    <w:rsid w:val="00861B95"/>
    <w:rsid w:val="00861C1B"/>
    <w:rsid w:val="00861EC7"/>
    <w:rsid w:val="00862224"/>
    <w:rsid w:val="00862689"/>
    <w:rsid w:val="00862737"/>
    <w:rsid w:val="0086666B"/>
    <w:rsid w:val="00866BE6"/>
    <w:rsid w:val="00867C73"/>
    <w:rsid w:val="00873EC3"/>
    <w:rsid w:val="00874BEB"/>
    <w:rsid w:val="008757B2"/>
    <w:rsid w:val="00876E1D"/>
    <w:rsid w:val="008773B7"/>
    <w:rsid w:val="00884179"/>
    <w:rsid w:val="00885B99"/>
    <w:rsid w:val="00886341"/>
    <w:rsid w:val="00887C1B"/>
    <w:rsid w:val="008900C4"/>
    <w:rsid w:val="00890EF8"/>
    <w:rsid w:val="00892B1A"/>
    <w:rsid w:val="00893358"/>
    <w:rsid w:val="00893EA0"/>
    <w:rsid w:val="008941C1"/>
    <w:rsid w:val="00895FE4"/>
    <w:rsid w:val="0089741F"/>
    <w:rsid w:val="008A0E7D"/>
    <w:rsid w:val="008A1167"/>
    <w:rsid w:val="008A2D2A"/>
    <w:rsid w:val="008A454D"/>
    <w:rsid w:val="008A4999"/>
    <w:rsid w:val="008A6676"/>
    <w:rsid w:val="008B0A5B"/>
    <w:rsid w:val="008B0D2E"/>
    <w:rsid w:val="008B18E9"/>
    <w:rsid w:val="008B7409"/>
    <w:rsid w:val="008C06EE"/>
    <w:rsid w:val="008C19F7"/>
    <w:rsid w:val="008C30FC"/>
    <w:rsid w:val="008C3783"/>
    <w:rsid w:val="008C4B31"/>
    <w:rsid w:val="008C638A"/>
    <w:rsid w:val="008D2151"/>
    <w:rsid w:val="008D220F"/>
    <w:rsid w:val="008D2E4A"/>
    <w:rsid w:val="008D419C"/>
    <w:rsid w:val="008D4425"/>
    <w:rsid w:val="008D51A9"/>
    <w:rsid w:val="008D53FD"/>
    <w:rsid w:val="008D6193"/>
    <w:rsid w:val="008D6858"/>
    <w:rsid w:val="008D6FA3"/>
    <w:rsid w:val="008D7677"/>
    <w:rsid w:val="008E45DF"/>
    <w:rsid w:val="008E4F1C"/>
    <w:rsid w:val="008E634B"/>
    <w:rsid w:val="008E7293"/>
    <w:rsid w:val="008F07CB"/>
    <w:rsid w:val="008F17DA"/>
    <w:rsid w:val="008F1E55"/>
    <w:rsid w:val="008F24EE"/>
    <w:rsid w:val="008F36A2"/>
    <w:rsid w:val="008F4280"/>
    <w:rsid w:val="008F4AB4"/>
    <w:rsid w:val="008F4FA7"/>
    <w:rsid w:val="008F791F"/>
    <w:rsid w:val="008F7B29"/>
    <w:rsid w:val="00900A8E"/>
    <w:rsid w:val="0090115E"/>
    <w:rsid w:val="00901D14"/>
    <w:rsid w:val="00906F21"/>
    <w:rsid w:val="00910340"/>
    <w:rsid w:val="009106F5"/>
    <w:rsid w:val="00910A88"/>
    <w:rsid w:val="00911713"/>
    <w:rsid w:val="00911D22"/>
    <w:rsid w:val="00911DE3"/>
    <w:rsid w:val="00911F12"/>
    <w:rsid w:val="0091253E"/>
    <w:rsid w:val="00913514"/>
    <w:rsid w:val="00914B73"/>
    <w:rsid w:val="00915273"/>
    <w:rsid w:val="009170E2"/>
    <w:rsid w:val="009206FF"/>
    <w:rsid w:val="00923980"/>
    <w:rsid w:val="00923FD5"/>
    <w:rsid w:val="00924218"/>
    <w:rsid w:val="00924AF1"/>
    <w:rsid w:val="00926B91"/>
    <w:rsid w:val="00932C4D"/>
    <w:rsid w:val="00933151"/>
    <w:rsid w:val="00935A6D"/>
    <w:rsid w:val="00935C8C"/>
    <w:rsid w:val="009361BD"/>
    <w:rsid w:val="00936947"/>
    <w:rsid w:val="0094156C"/>
    <w:rsid w:val="00941A9D"/>
    <w:rsid w:val="00943041"/>
    <w:rsid w:val="0094332E"/>
    <w:rsid w:val="0094443C"/>
    <w:rsid w:val="00944A5C"/>
    <w:rsid w:val="00945F67"/>
    <w:rsid w:val="009463DD"/>
    <w:rsid w:val="00946431"/>
    <w:rsid w:val="00946679"/>
    <w:rsid w:val="00947602"/>
    <w:rsid w:val="00950649"/>
    <w:rsid w:val="00950920"/>
    <w:rsid w:val="00950B43"/>
    <w:rsid w:val="0095534C"/>
    <w:rsid w:val="00956A0C"/>
    <w:rsid w:val="00961861"/>
    <w:rsid w:val="00962AE9"/>
    <w:rsid w:val="00963174"/>
    <w:rsid w:val="0096531D"/>
    <w:rsid w:val="00966A76"/>
    <w:rsid w:val="00971AFA"/>
    <w:rsid w:val="00971D84"/>
    <w:rsid w:val="00973778"/>
    <w:rsid w:val="00973D46"/>
    <w:rsid w:val="0098036D"/>
    <w:rsid w:val="00980D89"/>
    <w:rsid w:val="009814F0"/>
    <w:rsid w:val="00981F6C"/>
    <w:rsid w:val="009830A1"/>
    <w:rsid w:val="0098668F"/>
    <w:rsid w:val="00990D99"/>
    <w:rsid w:val="00993D43"/>
    <w:rsid w:val="00994B29"/>
    <w:rsid w:val="00997748"/>
    <w:rsid w:val="009A104C"/>
    <w:rsid w:val="009A2AC3"/>
    <w:rsid w:val="009A2E3C"/>
    <w:rsid w:val="009A37BB"/>
    <w:rsid w:val="009A48BB"/>
    <w:rsid w:val="009A4C84"/>
    <w:rsid w:val="009A5675"/>
    <w:rsid w:val="009A7394"/>
    <w:rsid w:val="009B042C"/>
    <w:rsid w:val="009B1E72"/>
    <w:rsid w:val="009B30ED"/>
    <w:rsid w:val="009B3BF2"/>
    <w:rsid w:val="009B400C"/>
    <w:rsid w:val="009B4246"/>
    <w:rsid w:val="009B4AA3"/>
    <w:rsid w:val="009B67EA"/>
    <w:rsid w:val="009B69D9"/>
    <w:rsid w:val="009C1C23"/>
    <w:rsid w:val="009C2901"/>
    <w:rsid w:val="009C52B8"/>
    <w:rsid w:val="009C77E7"/>
    <w:rsid w:val="009C7809"/>
    <w:rsid w:val="009C7E2D"/>
    <w:rsid w:val="009D0041"/>
    <w:rsid w:val="009D00F8"/>
    <w:rsid w:val="009D18DA"/>
    <w:rsid w:val="009D2155"/>
    <w:rsid w:val="009D21C3"/>
    <w:rsid w:val="009D223C"/>
    <w:rsid w:val="009D6514"/>
    <w:rsid w:val="009D6DCD"/>
    <w:rsid w:val="009D78D0"/>
    <w:rsid w:val="009D799A"/>
    <w:rsid w:val="009E0883"/>
    <w:rsid w:val="009E0EC2"/>
    <w:rsid w:val="009E1058"/>
    <w:rsid w:val="009E7475"/>
    <w:rsid w:val="009E79C4"/>
    <w:rsid w:val="009F282E"/>
    <w:rsid w:val="009F4142"/>
    <w:rsid w:val="009F481F"/>
    <w:rsid w:val="009F6EE4"/>
    <w:rsid w:val="00A0153F"/>
    <w:rsid w:val="00A04EEB"/>
    <w:rsid w:val="00A057C5"/>
    <w:rsid w:val="00A07AC9"/>
    <w:rsid w:val="00A10DC3"/>
    <w:rsid w:val="00A11365"/>
    <w:rsid w:val="00A1154E"/>
    <w:rsid w:val="00A11D22"/>
    <w:rsid w:val="00A1226A"/>
    <w:rsid w:val="00A13165"/>
    <w:rsid w:val="00A14A2D"/>
    <w:rsid w:val="00A15C39"/>
    <w:rsid w:val="00A15E89"/>
    <w:rsid w:val="00A176ED"/>
    <w:rsid w:val="00A17736"/>
    <w:rsid w:val="00A17BBB"/>
    <w:rsid w:val="00A201B4"/>
    <w:rsid w:val="00A20F21"/>
    <w:rsid w:val="00A22609"/>
    <w:rsid w:val="00A22A6F"/>
    <w:rsid w:val="00A23F38"/>
    <w:rsid w:val="00A257BB"/>
    <w:rsid w:val="00A25F9A"/>
    <w:rsid w:val="00A3295F"/>
    <w:rsid w:val="00A32E6C"/>
    <w:rsid w:val="00A3483F"/>
    <w:rsid w:val="00A34D52"/>
    <w:rsid w:val="00A365DD"/>
    <w:rsid w:val="00A4034D"/>
    <w:rsid w:val="00A41179"/>
    <w:rsid w:val="00A42B82"/>
    <w:rsid w:val="00A42FDA"/>
    <w:rsid w:val="00A44141"/>
    <w:rsid w:val="00A44986"/>
    <w:rsid w:val="00A457D1"/>
    <w:rsid w:val="00A500C6"/>
    <w:rsid w:val="00A51796"/>
    <w:rsid w:val="00A52A9C"/>
    <w:rsid w:val="00A53256"/>
    <w:rsid w:val="00A539AA"/>
    <w:rsid w:val="00A54BBA"/>
    <w:rsid w:val="00A5757A"/>
    <w:rsid w:val="00A605A8"/>
    <w:rsid w:val="00A64817"/>
    <w:rsid w:val="00A664D9"/>
    <w:rsid w:val="00A668C3"/>
    <w:rsid w:val="00A718C5"/>
    <w:rsid w:val="00A74149"/>
    <w:rsid w:val="00A74F8B"/>
    <w:rsid w:val="00A77ED0"/>
    <w:rsid w:val="00A809C3"/>
    <w:rsid w:val="00A82FCE"/>
    <w:rsid w:val="00A83AE9"/>
    <w:rsid w:val="00A85091"/>
    <w:rsid w:val="00A860D9"/>
    <w:rsid w:val="00A86242"/>
    <w:rsid w:val="00A86A99"/>
    <w:rsid w:val="00A86B73"/>
    <w:rsid w:val="00A903CC"/>
    <w:rsid w:val="00A93373"/>
    <w:rsid w:val="00A934BC"/>
    <w:rsid w:val="00A934EE"/>
    <w:rsid w:val="00A94D8E"/>
    <w:rsid w:val="00A956BF"/>
    <w:rsid w:val="00A956C5"/>
    <w:rsid w:val="00AA0674"/>
    <w:rsid w:val="00AA1148"/>
    <w:rsid w:val="00AA49FF"/>
    <w:rsid w:val="00AA7BF4"/>
    <w:rsid w:val="00AB09FF"/>
    <w:rsid w:val="00AB3C95"/>
    <w:rsid w:val="00AB4FAB"/>
    <w:rsid w:val="00AB69D4"/>
    <w:rsid w:val="00AB6EE5"/>
    <w:rsid w:val="00AC0F90"/>
    <w:rsid w:val="00AC2788"/>
    <w:rsid w:val="00AC4874"/>
    <w:rsid w:val="00AC766C"/>
    <w:rsid w:val="00AD1396"/>
    <w:rsid w:val="00AD2337"/>
    <w:rsid w:val="00AD73D6"/>
    <w:rsid w:val="00AE35FC"/>
    <w:rsid w:val="00AE4149"/>
    <w:rsid w:val="00AE415D"/>
    <w:rsid w:val="00AE4E99"/>
    <w:rsid w:val="00AE62E2"/>
    <w:rsid w:val="00AF10A1"/>
    <w:rsid w:val="00AF168A"/>
    <w:rsid w:val="00AF3761"/>
    <w:rsid w:val="00AF4022"/>
    <w:rsid w:val="00AF4136"/>
    <w:rsid w:val="00AF41AA"/>
    <w:rsid w:val="00AF41B5"/>
    <w:rsid w:val="00AF4D50"/>
    <w:rsid w:val="00AF52A5"/>
    <w:rsid w:val="00AF6334"/>
    <w:rsid w:val="00AF7B9A"/>
    <w:rsid w:val="00B01CA1"/>
    <w:rsid w:val="00B03D7D"/>
    <w:rsid w:val="00B0469A"/>
    <w:rsid w:val="00B04B64"/>
    <w:rsid w:val="00B05CE4"/>
    <w:rsid w:val="00B06B0A"/>
    <w:rsid w:val="00B06F57"/>
    <w:rsid w:val="00B1041E"/>
    <w:rsid w:val="00B1323F"/>
    <w:rsid w:val="00B2073F"/>
    <w:rsid w:val="00B20A7D"/>
    <w:rsid w:val="00B20F93"/>
    <w:rsid w:val="00B22548"/>
    <w:rsid w:val="00B2580F"/>
    <w:rsid w:val="00B26C51"/>
    <w:rsid w:val="00B27717"/>
    <w:rsid w:val="00B278F4"/>
    <w:rsid w:val="00B32C6E"/>
    <w:rsid w:val="00B34170"/>
    <w:rsid w:val="00B34B70"/>
    <w:rsid w:val="00B355AC"/>
    <w:rsid w:val="00B35ACE"/>
    <w:rsid w:val="00B35BD6"/>
    <w:rsid w:val="00B37A70"/>
    <w:rsid w:val="00B37DEF"/>
    <w:rsid w:val="00B401E2"/>
    <w:rsid w:val="00B4107B"/>
    <w:rsid w:val="00B41B16"/>
    <w:rsid w:val="00B41FC0"/>
    <w:rsid w:val="00B426BC"/>
    <w:rsid w:val="00B426E2"/>
    <w:rsid w:val="00B4487B"/>
    <w:rsid w:val="00B44C67"/>
    <w:rsid w:val="00B45434"/>
    <w:rsid w:val="00B45CAB"/>
    <w:rsid w:val="00B45D26"/>
    <w:rsid w:val="00B462DC"/>
    <w:rsid w:val="00B46625"/>
    <w:rsid w:val="00B47904"/>
    <w:rsid w:val="00B500D3"/>
    <w:rsid w:val="00B51B21"/>
    <w:rsid w:val="00B534E7"/>
    <w:rsid w:val="00B55AA9"/>
    <w:rsid w:val="00B563E7"/>
    <w:rsid w:val="00B572B8"/>
    <w:rsid w:val="00B57678"/>
    <w:rsid w:val="00B57744"/>
    <w:rsid w:val="00B603D8"/>
    <w:rsid w:val="00B6124A"/>
    <w:rsid w:val="00B63AA8"/>
    <w:rsid w:val="00B65BD6"/>
    <w:rsid w:val="00B664C6"/>
    <w:rsid w:val="00B6736C"/>
    <w:rsid w:val="00B673C3"/>
    <w:rsid w:val="00B67BB0"/>
    <w:rsid w:val="00B70006"/>
    <w:rsid w:val="00B726E7"/>
    <w:rsid w:val="00B74740"/>
    <w:rsid w:val="00B75749"/>
    <w:rsid w:val="00B76DBE"/>
    <w:rsid w:val="00B775D6"/>
    <w:rsid w:val="00B7780B"/>
    <w:rsid w:val="00B77E43"/>
    <w:rsid w:val="00B8084B"/>
    <w:rsid w:val="00B8264C"/>
    <w:rsid w:val="00B827C0"/>
    <w:rsid w:val="00B845BF"/>
    <w:rsid w:val="00B8497F"/>
    <w:rsid w:val="00B84CCC"/>
    <w:rsid w:val="00B85249"/>
    <w:rsid w:val="00B86091"/>
    <w:rsid w:val="00B875F3"/>
    <w:rsid w:val="00B879DC"/>
    <w:rsid w:val="00B87DB4"/>
    <w:rsid w:val="00B90705"/>
    <w:rsid w:val="00B91EEA"/>
    <w:rsid w:val="00B9204D"/>
    <w:rsid w:val="00B928D5"/>
    <w:rsid w:val="00B92938"/>
    <w:rsid w:val="00B93702"/>
    <w:rsid w:val="00B93779"/>
    <w:rsid w:val="00B94A58"/>
    <w:rsid w:val="00B94B70"/>
    <w:rsid w:val="00B94BE2"/>
    <w:rsid w:val="00B9538C"/>
    <w:rsid w:val="00B958A4"/>
    <w:rsid w:val="00B95F8C"/>
    <w:rsid w:val="00B96051"/>
    <w:rsid w:val="00B96627"/>
    <w:rsid w:val="00BA47BC"/>
    <w:rsid w:val="00BA4B47"/>
    <w:rsid w:val="00BA4E30"/>
    <w:rsid w:val="00BA73B2"/>
    <w:rsid w:val="00BA7B0E"/>
    <w:rsid w:val="00BA7D09"/>
    <w:rsid w:val="00BB0487"/>
    <w:rsid w:val="00BB108B"/>
    <w:rsid w:val="00BB1924"/>
    <w:rsid w:val="00BC0A50"/>
    <w:rsid w:val="00BC1B14"/>
    <w:rsid w:val="00BC25EE"/>
    <w:rsid w:val="00BC366B"/>
    <w:rsid w:val="00BC3E0A"/>
    <w:rsid w:val="00BC3F60"/>
    <w:rsid w:val="00BC5950"/>
    <w:rsid w:val="00BC687B"/>
    <w:rsid w:val="00BC7E67"/>
    <w:rsid w:val="00BD1B76"/>
    <w:rsid w:val="00BD3F92"/>
    <w:rsid w:val="00BD415F"/>
    <w:rsid w:val="00BD44EA"/>
    <w:rsid w:val="00BD7C0B"/>
    <w:rsid w:val="00BE1A16"/>
    <w:rsid w:val="00BE35C7"/>
    <w:rsid w:val="00BE3B91"/>
    <w:rsid w:val="00BE45FB"/>
    <w:rsid w:val="00BE7E57"/>
    <w:rsid w:val="00BF0C2E"/>
    <w:rsid w:val="00BF16E2"/>
    <w:rsid w:val="00BF2675"/>
    <w:rsid w:val="00BF32CF"/>
    <w:rsid w:val="00BF3622"/>
    <w:rsid w:val="00BF36B2"/>
    <w:rsid w:val="00BF3B48"/>
    <w:rsid w:val="00BF49D2"/>
    <w:rsid w:val="00BFE7F6"/>
    <w:rsid w:val="00C019F9"/>
    <w:rsid w:val="00C0225E"/>
    <w:rsid w:val="00C04EDE"/>
    <w:rsid w:val="00C06BDB"/>
    <w:rsid w:val="00C07736"/>
    <w:rsid w:val="00C078BB"/>
    <w:rsid w:val="00C11D17"/>
    <w:rsid w:val="00C12216"/>
    <w:rsid w:val="00C129A1"/>
    <w:rsid w:val="00C143FC"/>
    <w:rsid w:val="00C14AA8"/>
    <w:rsid w:val="00C1570B"/>
    <w:rsid w:val="00C15E8D"/>
    <w:rsid w:val="00C162C0"/>
    <w:rsid w:val="00C16C3A"/>
    <w:rsid w:val="00C178CF"/>
    <w:rsid w:val="00C17A1E"/>
    <w:rsid w:val="00C17EF6"/>
    <w:rsid w:val="00C2057C"/>
    <w:rsid w:val="00C21CD2"/>
    <w:rsid w:val="00C23816"/>
    <w:rsid w:val="00C25235"/>
    <w:rsid w:val="00C2583A"/>
    <w:rsid w:val="00C26C62"/>
    <w:rsid w:val="00C27108"/>
    <w:rsid w:val="00C27E46"/>
    <w:rsid w:val="00C30146"/>
    <w:rsid w:val="00C3078E"/>
    <w:rsid w:val="00C30D17"/>
    <w:rsid w:val="00C31123"/>
    <w:rsid w:val="00C324A8"/>
    <w:rsid w:val="00C37C40"/>
    <w:rsid w:val="00C40085"/>
    <w:rsid w:val="00C41445"/>
    <w:rsid w:val="00C42702"/>
    <w:rsid w:val="00C42946"/>
    <w:rsid w:val="00C43123"/>
    <w:rsid w:val="00C43C22"/>
    <w:rsid w:val="00C4487A"/>
    <w:rsid w:val="00C4553B"/>
    <w:rsid w:val="00C5096C"/>
    <w:rsid w:val="00C512BC"/>
    <w:rsid w:val="00C519D5"/>
    <w:rsid w:val="00C524DF"/>
    <w:rsid w:val="00C529B6"/>
    <w:rsid w:val="00C53BA8"/>
    <w:rsid w:val="00C5707C"/>
    <w:rsid w:val="00C57C94"/>
    <w:rsid w:val="00C643DC"/>
    <w:rsid w:val="00C660AD"/>
    <w:rsid w:val="00C67920"/>
    <w:rsid w:val="00C70842"/>
    <w:rsid w:val="00C70A7D"/>
    <w:rsid w:val="00C7226E"/>
    <w:rsid w:val="00C726C9"/>
    <w:rsid w:val="00C73181"/>
    <w:rsid w:val="00C7418F"/>
    <w:rsid w:val="00C7469E"/>
    <w:rsid w:val="00C75F80"/>
    <w:rsid w:val="00C76085"/>
    <w:rsid w:val="00C76F9D"/>
    <w:rsid w:val="00C80755"/>
    <w:rsid w:val="00C8103F"/>
    <w:rsid w:val="00C81165"/>
    <w:rsid w:val="00C81281"/>
    <w:rsid w:val="00C81ACD"/>
    <w:rsid w:val="00C81CD0"/>
    <w:rsid w:val="00C828D8"/>
    <w:rsid w:val="00C832FE"/>
    <w:rsid w:val="00C83B6F"/>
    <w:rsid w:val="00C848DE"/>
    <w:rsid w:val="00C85B35"/>
    <w:rsid w:val="00C8610B"/>
    <w:rsid w:val="00C8672B"/>
    <w:rsid w:val="00C87AFD"/>
    <w:rsid w:val="00C91776"/>
    <w:rsid w:val="00C91844"/>
    <w:rsid w:val="00C91EA4"/>
    <w:rsid w:val="00C92930"/>
    <w:rsid w:val="00C9333F"/>
    <w:rsid w:val="00C94932"/>
    <w:rsid w:val="00C97687"/>
    <w:rsid w:val="00CA10C8"/>
    <w:rsid w:val="00CA19E6"/>
    <w:rsid w:val="00CA2CFB"/>
    <w:rsid w:val="00CA3090"/>
    <w:rsid w:val="00CA550B"/>
    <w:rsid w:val="00CB07DD"/>
    <w:rsid w:val="00CB0E96"/>
    <w:rsid w:val="00CB12A8"/>
    <w:rsid w:val="00CB250C"/>
    <w:rsid w:val="00CB2C56"/>
    <w:rsid w:val="00CB3137"/>
    <w:rsid w:val="00CB3B68"/>
    <w:rsid w:val="00CB5E95"/>
    <w:rsid w:val="00CB66B1"/>
    <w:rsid w:val="00CB6FA6"/>
    <w:rsid w:val="00CB783B"/>
    <w:rsid w:val="00CC0120"/>
    <w:rsid w:val="00CC0576"/>
    <w:rsid w:val="00CC2A08"/>
    <w:rsid w:val="00CC5B76"/>
    <w:rsid w:val="00CC5E50"/>
    <w:rsid w:val="00CC5E90"/>
    <w:rsid w:val="00CC6FA6"/>
    <w:rsid w:val="00CC73BD"/>
    <w:rsid w:val="00CC7A37"/>
    <w:rsid w:val="00CD0789"/>
    <w:rsid w:val="00CD2C22"/>
    <w:rsid w:val="00CD3F55"/>
    <w:rsid w:val="00CD6434"/>
    <w:rsid w:val="00CD71A1"/>
    <w:rsid w:val="00CD729E"/>
    <w:rsid w:val="00CE0523"/>
    <w:rsid w:val="00CE43C0"/>
    <w:rsid w:val="00CE4AF8"/>
    <w:rsid w:val="00CE5273"/>
    <w:rsid w:val="00CE56D3"/>
    <w:rsid w:val="00CF0C26"/>
    <w:rsid w:val="00CF155D"/>
    <w:rsid w:val="00CF3FB9"/>
    <w:rsid w:val="00CF47D6"/>
    <w:rsid w:val="00CF5214"/>
    <w:rsid w:val="00CF63AF"/>
    <w:rsid w:val="00CF6DE4"/>
    <w:rsid w:val="00CF70B1"/>
    <w:rsid w:val="00D02A26"/>
    <w:rsid w:val="00D045DF"/>
    <w:rsid w:val="00D07083"/>
    <w:rsid w:val="00D07F44"/>
    <w:rsid w:val="00D1332D"/>
    <w:rsid w:val="00D136B7"/>
    <w:rsid w:val="00D15026"/>
    <w:rsid w:val="00D168B8"/>
    <w:rsid w:val="00D17FC7"/>
    <w:rsid w:val="00D20B15"/>
    <w:rsid w:val="00D223D5"/>
    <w:rsid w:val="00D23CA1"/>
    <w:rsid w:val="00D24593"/>
    <w:rsid w:val="00D25880"/>
    <w:rsid w:val="00D27578"/>
    <w:rsid w:val="00D27F5D"/>
    <w:rsid w:val="00D313F3"/>
    <w:rsid w:val="00D35149"/>
    <w:rsid w:val="00D361BC"/>
    <w:rsid w:val="00D3718D"/>
    <w:rsid w:val="00D406BD"/>
    <w:rsid w:val="00D41A10"/>
    <w:rsid w:val="00D41DDC"/>
    <w:rsid w:val="00D43313"/>
    <w:rsid w:val="00D43C24"/>
    <w:rsid w:val="00D44367"/>
    <w:rsid w:val="00D450CC"/>
    <w:rsid w:val="00D45106"/>
    <w:rsid w:val="00D45465"/>
    <w:rsid w:val="00D46329"/>
    <w:rsid w:val="00D467A1"/>
    <w:rsid w:val="00D47BFE"/>
    <w:rsid w:val="00D47D2C"/>
    <w:rsid w:val="00D518AC"/>
    <w:rsid w:val="00D52B29"/>
    <w:rsid w:val="00D541D4"/>
    <w:rsid w:val="00D630AA"/>
    <w:rsid w:val="00D66C33"/>
    <w:rsid w:val="00D66EBB"/>
    <w:rsid w:val="00D7064A"/>
    <w:rsid w:val="00D71A2A"/>
    <w:rsid w:val="00D71A68"/>
    <w:rsid w:val="00D74980"/>
    <w:rsid w:val="00D75663"/>
    <w:rsid w:val="00D77130"/>
    <w:rsid w:val="00D81734"/>
    <w:rsid w:val="00D8453F"/>
    <w:rsid w:val="00D8493F"/>
    <w:rsid w:val="00D90117"/>
    <w:rsid w:val="00D90538"/>
    <w:rsid w:val="00D946F8"/>
    <w:rsid w:val="00D95A6F"/>
    <w:rsid w:val="00D96053"/>
    <w:rsid w:val="00DA13B6"/>
    <w:rsid w:val="00DA3550"/>
    <w:rsid w:val="00DA4317"/>
    <w:rsid w:val="00DA514E"/>
    <w:rsid w:val="00DA711D"/>
    <w:rsid w:val="00DB0520"/>
    <w:rsid w:val="00DB057D"/>
    <w:rsid w:val="00DB359F"/>
    <w:rsid w:val="00DB55B3"/>
    <w:rsid w:val="00DB5F31"/>
    <w:rsid w:val="00DB6AB7"/>
    <w:rsid w:val="00DB78E3"/>
    <w:rsid w:val="00DB7FF8"/>
    <w:rsid w:val="00DC196B"/>
    <w:rsid w:val="00DC2DB9"/>
    <w:rsid w:val="00DC5147"/>
    <w:rsid w:val="00DC7871"/>
    <w:rsid w:val="00DD0B42"/>
    <w:rsid w:val="00DD15CA"/>
    <w:rsid w:val="00DD1B5A"/>
    <w:rsid w:val="00DD21DC"/>
    <w:rsid w:val="00DD36C0"/>
    <w:rsid w:val="00DD40CC"/>
    <w:rsid w:val="00DD4633"/>
    <w:rsid w:val="00DD4CB0"/>
    <w:rsid w:val="00DD4DCF"/>
    <w:rsid w:val="00DE0246"/>
    <w:rsid w:val="00DE1E6E"/>
    <w:rsid w:val="00DE21B4"/>
    <w:rsid w:val="00DE5AA0"/>
    <w:rsid w:val="00DE6648"/>
    <w:rsid w:val="00DE6A46"/>
    <w:rsid w:val="00DF0ACA"/>
    <w:rsid w:val="00DF0FC1"/>
    <w:rsid w:val="00DF0FDE"/>
    <w:rsid w:val="00DF2835"/>
    <w:rsid w:val="00DF50B5"/>
    <w:rsid w:val="00DF630E"/>
    <w:rsid w:val="00DF6F25"/>
    <w:rsid w:val="00DF770B"/>
    <w:rsid w:val="00E00D86"/>
    <w:rsid w:val="00E01967"/>
    <w:rsid w:val="00E02FA0"/>
    <w:rsid w:val="00E04A0B"/>
    <w:rsid w:val="00E0636B"/>
    <w:rsid w:val="00E06C5B"/>
    <w:rsid w:val="00E07148"/>
    <w:rsid w:val="00E100AC"/>
    <w:rsid w:val="00E1037D"/>
    <w:rsid w:val="00E10831"/>
    <w:rsid w:val="00E10EB1"/>
    <w:rsid w:val="00E11533"/>
    <w:rsid w:val="00E11782"/>
    <w:rsid w:val="00E11B4B"/>
    <w:rsid w:val="00E139DB"/>
    <w:rsid w:val="00E14CD2"/>
    <w:rsid w:val="00E14E56"/>
    <w:rsid w:val="00E15282"/>
    <w:rsid w:val="00E162EA"/>
    <w:rsid w:val="00E1786E"/>
    <w:rsid w:val="00E17CCF"/>
    <w:rsid w:val="00E21393"/>
    <w:rsid w:val="00E215A5"/>
    <w:rsid w:val="00E2225E"/>
    <w:rsid w:val="00E224DB"/>
    <w:rsid w:val="00E22D81"/>
    <w:rsid w:val="00E22F53"/>
    <w:rsid w:val="00E23A12"/>
    <w:rsid w:val="00E3059E"/>
    <w:rsid w:val="00E3074D"/>
    <w:rsid w:val="00E35C84"/>
    <w:rsid w:val="00E37519"/>
    <w:rsid w:val="00E37868"/>
    <w:rsid w:val="00E40501"/>
    <w:rsid w:val="00E40E08"/>
    <w:rsid w:val="00E41EDE"/>
    <w:rsid w:val="00E42472"/>
    <w:rsid w:val="00E44A7D"/>
    <w:rsid w:val="00E45635"/>
    <w:rsid w:val="00E46199"/>
    <w:rsid w:val="00E47670"/>
    <w:rsid w:val="00E50543"/>
    <w:rsid w:val="00E53E2A"/>
    <w:rsid w:val="00E54707"/>
    <w:rsid w:val="00E56363"/>
    <w:rsid w:val="00E5646A"/>
    <w:rsid w:val="00E56BE0"/>
    <w:rsid w:val="00E570E1"/>
    <w:rsid w:val="00E57A4C"/>
    <w:rsid w:val="00E57AF6"/>
    <w:rsid w:val="00E60668"/>
    <w:rsid w:val="00E606D3"/>
    <w:rsid w:val="00E61E76"/>
    <w:rsid w:val="00E62BC8"/>
    <w:rsid w:val="00E66033"/>
    <w:rsid w:val="00E67A55"/>
    <w:rsid w:val="00E70B3A"/>
    <w:rsid w:val="00E71753"/>
    <w:rsid w:val="00E76613"/>
    <w:rsid w:val="00E76F45"/>
    <w:rsid w:val="00E77952"/>
    <w:rsid w:val="00E8025D"/>
    <w:rsid w:val="00E814B8"/>
    <w:rsid w:val="00E824AC"/>
    <w:rsid w:val="00E825E9"/>
    <w:rsid w:val="00E84D06"/>
    <w:rsid w:val="00E85484"/>
    <w:rsid w:val="00E900FA"/>
    <w:rsid w:val="00E90C0C"/>
    <w:rsid w:val="00E90E85"/>
    <w:rsid w:val="00E92474"/>
    <w:rsid w:val="00E92F37"/>
    <w:rsid w:val="00E93469"/>
    <w:rsid w:val="00E94989"/>
    <w:rsid w:val="00E9507F"/>
    <w:rsid w:val="00E961E8"/>
    <w:rsid w:val="00EA0217"/>
    <w:rsid w:val="00EA0772"/>
    <w:rsid w:val="00EA0FB6"/>
    <w:rsid w:val="00EA2E82"/>
    <w:rsid w:val="00EA3F65"/>
    <w:rsid w:val="00EA5415"/>
    <w:rsid w:val="00EA574D"/>
    <w:rsid w:val="00EA6EA0"/>
    <w:rsid w:val="00EA73E7"/>
    <w:rsid w:val="00EB1A3B"/>
    <w:rsid w:val="00EB279A"/>
    <w:rsid w:val="00EB289A"/>
    <w:rsid w:val="00EB3839"/>
    <w:rsid w:val="00EB3A79"/>
    <w:rsid w:val="00EB7718"/>
    <w:rsid w:val="00EC0484"/>
    <w:rsid w:val="00EC0748"/>
    <w:rsid w:val="00EC27EE"/>
    <w:rsid w:val="00EC35C4"/>
    <w:rsid w:val="00EC68E8"/>
    <w:rsid w:val="00EC6C6E"/>
    <w:rsid w:val="00EC6C7E"/>
    <w:rsid w:val="00EC7F3A"/>
    <w:rsid w:val="00ED19CA"/>
    <w:rsid w:val="00ED1E42"/>
    <w:rsid w:val="00ED45A5"/>
    <w:rsid w:val="00ED61F4"/>
    <w:rsid w:val="00EE0632"/>
    <w:rsid w:val="00EE1D70"/>
    <w:rsid w:val="00EE25D3"/>
    <w:rsid w:val="00EE2604"/>
    <w:rsid w:val="00EE3BBA"/>
    <w:rsid w:val="00EE4B64"/>
    <w:rsid w:val="00EE4F62"/>
    <w:rsid w:val="00EE54E9"/>
    <w:rsid w:val="00EE6478"/>
    <w:rsid w:val="00EE7607"/>
    <w:rsid w:val="00EF2165"/>
    <w:rsid w:val="00EF3784"/>
    <w:rsid w:val="00EF54D1"/>
    <w:rsid w:val="00F001E1"/>
    <w:rsid w:val="00F00642"/>
    <w:rsid w:val="00F0095F"/>
    <w:rsid w:val="00F00967"/>
    <w:rsid w:val="00F016CF"/>
    <w:rsid w:val="00F03615"/>
    <w:rsid w:val="00F049E5"/>
    <w:rsid w:val="00F073A6"/>
    <w:rsid w:val="00F074B1"/>
    <w:rsid w:val="00F079A5"/>
    <w:rsid w:val="00F100A6"/>
    <w:rsid w:val="00F135AE"/>
    <w:rsid w:val="00F13F23"/>
    <w:rsid w:val="00F15B29"/>
    <w:rsid w:val="00F1628C"/>
    <w:rsid w:val="00F16D57"/>
    <w:rsid w:val="00F1714E"/>
    <w:rsid w:val="00F211B4"/>
    <w:rsid w:val="00F21777"/>
    <w:rsid w:val="00F22174"/>
    <w:rsid w:val="00F2348F"/>
    <w:rsid w:val="00F254CC"/>
    <w:rsid w:val="00F261A1"/>
    <w:rsid w:val="00F26346"/>
    <w:rsid w:val="00F30F38"/>
    <w:rsid w:val="00F31369"/>
    <w:rsid w:val="00F314CE"/>
    <w:rsid w:val="00F31ECF"/>
    <w:rsid w:val="00F3414E"/>
    <w:rsid w:val="00F35C91"/>
    <w:rsid w:val="00F36137"/>
    <w:rsid w:val="00F369A9"/>
    <w:rsid w:val="00F37AD6"/>
    <w:rsid w:val="00F40DBC"/>
    <w:rsid w:val="00F41189"/>
    <w:rsid w:val="00F46EF0"/>
    <w:rsid w:val="00F471EB"/>
    <w:rsid w:val="00F5077C"/>
    <w:rsid w:val="00F51D2B"/>
    <w:rsid w:val="00F540D5"/>
    <w:rsid w:val="00F54992"/>
    <w:rsid w:val="00F54BA7"/>
    <w:rsid w:val="00F60845"/>
    <w:rsid w:val="00F6779D"/>
    <w:rsid w:val="00F67F53"/>
    <w:rsid w:val="00F70315"/>
    <w:rsid w:val="00F70ECE"/>
    <w:rsid w:val="00F73A97"/>
    <w:rsid w:val="00F765D4"/>
    <w:rsid w:val="00F7692E"/>
    <w:rsid w:val="00F7732E"/>
    <w:rsid w:val="00F775CC"/>
    <w:rsid w:val="00F80F12"/>
    <w:rsid w:val="00F8111A"/>
    <w:rsid w:val="00F826C3"/>
    <w:rsid w:val="00F82BF9"/>
    <w:rsid w:val="00F846A7"/>
    <w:rsid w:val="00F84FC7"/>
    <w:rsid w:val="00F854BA"/>
    <w:rsid w:val="00F85EF3"/>
    <w:rsid w:val="00F85F13"/>
    <w:rsid w:val="00F87D4E"/>
    <w:rsid w:val="00F91816"/>
    <w:rsid w:val="00F926C5"/>
    <w:rsid w:val="00F94131"/>
    <w:rsid w:val="00F94FE3"/>
    <w:rsid w:val="00F96B35"/>
    <w:rsid w:val="00F97CF9"/>
    <w:rsid w:val="00FA0DD2"/>
    <w:rsid w:val="00FA440A"/>
    <w:rsid w:val="00FA4BBD"/>
    <w:rsid w:val="00FA5ED3"/>
    <w:rsid w:val="00FA6B2D"/>
    <w:rsid w:val="00FA75CC"/>
    <w:rsid w:val="00FB1355"/>
    <w:rsid w:val="00FB3026"/>
    <w:rsid w:val="00FB3542"/>
    <w:rsid w:val="00FB4FAE"/>
    <w:rsid w:val="00FB6BDB"/>
    <w:rsid w:val="00FC1B82"/>
    <w:rsid w:val="00FC3B19"/>
    <w:rsid w:val="00FC4205"/>
    <w:rsid w:val="00FC42F6"/>
    <w:rsid w:val="00FC5508"/>
    <w:rsid w:val="00FC6373"/>
    <w:rsid w:val="00FC6F3C"/>
    <w:rsid w:val="00FD02F0"/>
    <w:rsid w:val="00FD0CBE"/>
    <w:rsid w:val="00FD2A90"/>
    <w:rsid w:val="00FD3148"/>
    <w:rsid w:val="00FD4E2A"/>
    <w:rsid w:val="00FE2A3A"/>
    <w:rsid w:val="00FE2FC3"/>
    <w:rsid w:val="00FE3B8A"/>
    <w:rsid w:val="00FE3E9B"/>
    <w:rsid w:val="00FE6455"/>
    <w:rsid w:val="00FE69F4"/>
    <w:rsid w:val="00FE77DD"/>
    <w:rsid w:val="00FF193D"/>
    <w:rsid w:val="00FF19D7"/>
    <w:rsid w:val="00FF2AF2"/>
    <w:rsid w:val="00FF4626"/>
    <w:rsid w:val="00FF54BC"/>
    <w:rsid w:val="00FF667C"/>
    <w:rsid w:val="00FF72C2"/>
    <w:rsid w:val="0133EE1C"/>
    <w:rsid w:val="01417F1E"/>
    <w:rsid w:val="0145A940"/>
    <w:rsid w:val="0149E6EB"/>
    <w:rsid w:val="0197D600"/>
    <w:rsid w:val="01EE1C78"/>
    <w:rsid w:val="023F2FA8"/>
    <w:rsid w:val="033CF5A2"/>
    <w:rsid w:val="03599F6E"/>
    <w:rsid w:val="03E9D6EB"/>
    <w:rsid w:val="03EE3AD6"/>
    <w:rsid w:val="0411448E"/>
    <w:rsid w:val="04524C17"/>
    <w:rsid w:val="04B21117"/>
    <w:rsid w:val="04E45AAF"/>
    <w:rsid w:val="051D6626"/>
    <w:rsid w:val="05439D34"/>
    <w:rsid w:val="05BBF10A"/>
    <w:rsid w:val="05E7D532"/>
    <w:rsid w:val="0646F886"/>
    <w:rsid w:val="06557051"/>
    <w:rsid w:val="068738E2"/>
    <w:rsid w:val="06F3F7EA"/>
    <w:rsid w:val="071DD7C3"/>
    <w:rsid w:val="0767773B"/>
    <w:rsid w:val="07837A1D"/>
    <w:rsid w:val="07ED49D5"/>
    <w:rsid w:val="0835BB46"/>
    <w:rsid w:val="0841F87B"/>
    <w:rsid w:val="0882FB0B"/>
    <w:rsid w:val="089A7938"/>
    <w:rsid w:val="08CEDD55"/>
    <w:rsid w:val="09075B6F"/>
    <w:rsid w:val="091F61E5"/>
    <w:rsid w:val="0926F83F"/>
    <w:rsid w:val="0953D701"/>
    <w:rsid w:val="0973B280"/>
    <w:rsid w:val="097FEC60"/>
    <w:rsid w:val="0B045CE6"/>
    <w:rsid w:val="0B05B3A5"/>
    <w:rsid w:val="0B0AC14E"/>
    <w:rsid w:val="0B1C850C"/>
    <w:rsid w:val="0B600EFA"/>
    <w:rsid w:val="0BD0A0F6"/>
    <w:rsid w:val="0CB7C855"/>
    <w:rsid w:val="0D55AD35"/>
    <w:rsid w:val="0D93991F"/>
    <w:rsid w:val="0DB7AE6D"/>
    <w:rsid w:val="0DCEDFBF"/>
    <w:rsid w:val="0DD40284"/>
    <w:rsid w:val="0DE472E1"/>
    <w:rsid w:val="0E0FDF6E"/>
    <w:rsid w:val="0E2BE76B"/>
    <w:rsid w:val="0E3C28F8"/>
    <w:rsid w:val="0E690350"/>
    <w:rsid w:val="0E7AF782"/>
    <w:rsid w:val="0F057917"/>
    <w:rsid w:val="0F4F06F4"/>
    <w:rsid w:val="0F8EA336"/>
    <w:rsid w:val="0FC52109"/>
    <w:rsid w:val="0FF41191"/>
    <w:rsid w:val="100A53A0"/>
    <w:rsid w:val="10207F47"/>
    <w:rsid w:val="107C1D95"/>
    <w:rsid w:val="10C45F94"/>
    <w:rsid w:val="10FD7533"/>
    <w:rsid w:val="117CA34F"/>
    <w:rsid w:val="11AD64CD"/>
    <w:rsid w:val="11F46AF0"/>
    <w:rsid w:val="120A6663"/>
    <w:rsid w:val="1213A49C"/>
    <w:rsid w:val="1238F54B"/>
    <w:rsid w:val="126A949B"/>
    <w:rsid w:val="127A93D6"/>
    <w:rsid w:val="12A8A94F"/>
    <w:rsid w:val="12D490C6"/>
    <w:rsid w:val="13056345"/>
    <w:rsid w:val="134A0FCD"/>
    <w:rsid w:val="140FA777"/>
    <w:rsid w:val="15362854"/>
    <w:rsid w:val="15D14F3A"/>
    <w:rsid w:val="160B53DB"/>
    <w:rsid w:val="162445D2"/>
    <w:rsid w:val="169A461F"/>
    <w:rsid w:val="16B661CB"/>
    <w:rsid w:val="16D0EA69"/>
    <w:rsid w:val="1731A7B5"/>
    <w:rsid w:val="176FF3F8"/>
    <w:rsid w:val="17DB251D"/>
    <w:rsid w:val="18827D4E"/>
    <w:rsid w:val="1894B64C"/>
    <w:rsid w:val="18C8210E"/>
    <w:rsid w:val="18C9458F"/>
    <w:rsid w:val="18CD5321"/>
    <w:rsid w:val="18D9B9CB"/>
    <w:rsid w:val="1A0D1EB8"/>
    <w:rsid w:val="1AE81E02"/>
    <w:rsid w:val="1AF0DF51"/>
    <w:rsid w:val="1BAC9EE4"/>
    <w:rsid w:val="1BF5998F"/>
    <w:rsid w:val="1C1C7200"/>
    <w:rsid w:val="1C37D7AB"/>
    <w:rsid w:val="1CB9F79B"/>
    <w:rsid w:val="1CBF0C8E"/>
    <w:rsid w:val="1D6215B0"/>
    <w:rsid w:val="1D903C8D"/>
    <w:rsid w:val="1DE090E6"/>
    <w:rsid w:val="1E92A2CD"/>
    <w:rsid w:val="1F38D456"/>
    <w:rsid w:val="1F44CD60"/>
    <w:rsid w:val="1F5159E8"/>
    <w:rsid w:val="203218AA"/>
    <w:rsid w:val="2096A254"/>
    <w:rsid w:val="20ABC0CB"/>
    <w:rsid w:val="2162AAF3"/>
    <w:rsid w:val="223A527B"/>
    <w:rsid w:val="224A1E2E"/>
    <w:rsid w:val="22854061"/>
    <w:rsid w:val="22F2CB13"/>
    <w:rsid w:val="231097EF"/>
    <w:rsid w:val="238424FE"/>
    <w:rsid w:val="23B5D20C"/>
    <w:rsid w:val="245CB2A1"/>
    <w:rsid w:val="24C37D06"/>
    <w:rsid w:val="2519260F"/>
    <w:rsid w:val="25DD9972"/>
    <w:rsid w:val="266346DA"/>
    <w:rsid w:val="268AB554"/>
    <w:rsid w:val="26B93A84"/>
    <w:rsid w:val="274363E8"/>
    <w:rsid w:val="27E65AC9"/>
    <w:rsid w:val="289977C6"/>
    <w:rsid w:val="29695DA8"/>
    <w:rsid w:val="298B7EDD"/>
    <w:rsid w:val="29A96808"/>
    <w:rsid w:val="29C06CA9"/>
    <w:rsid w:val="29E7CA3B"/>
    <w:rsid w:val="29F8781E"/>
    <w:rsid w:val="2A01978C"/>
    <w:rsid w:val="2A15674E"/>
    <w:rsid w:val="2A64E95F"/>
    <w:rsid w:val="2AA63421"/>
    <w:rsid w:val="2ABA1D62"/>
    <w:rsid w:val="2ADF4321"/>
    <w:rsid w:val="2AF18D94"/>
    <w:rsid w:val="2B17E7B3"/>
    <w:rsid w:val="2B7D77A7"/>
    <w:rsid w:val="2BB2C8C6"/>
    <w:rsid w:val="2C2675AC"/>
    <w:rsid w:val="2CC6534D"/>
    <w:rsid w:val="2CD4A51B"/>
    <w:rsid w:val="2E581314"/>
    <w:rsid w:val="2E9CEAD0"/>
    <w:rsid w:val="2EFB057C"/>
    <w:rsid w:val="2F13FEEE"/>
    <w:rsid w:val="303282B5"/>
    <w:rsid w:val="3108866D"/>
    <w:rsid w:val="31BD6CBB"/>
    <w:rsid w:val="31D1BE8D"/>
    <w:rsid w:val="328E36E8"/>
    <w:rsid w:val="32C78995"/>
    <w:rsid w:val="334F2B6F"/>
    <w:rsid w:val="33CD4463"/>
    <w:rsid w:val="33E2F241"/>
    <w:rsid w:val="33EB1D66"/>
    <w:rsid w:val="34408F37"/>
    <w:rsid w:val="3445C5A7"/>
    <w:rsid w:val="34484D33"/>
    <w:rsid w:val="345FA54F"/>
    <w:rsid w:val="34D3E236"/>
    <w:rsid w:val="353F53B2"/>
    <w:rsid w:val="3552C116"/>
    <w:rsid w:val="35C9A2AD"/>
    <w:rsid w:val="365991D5"/>
    <w:rsid w:val="36928B4B"/>
    <w:rsid w:val="372592BF"/>
    <w:rsid w:val="3734E5E5"/>
    <w:rsid w:val="373AA4E4"/>
    <w:rsid w:val="378D7BAA"/>
    <w:rsid w:val="37B6C35F"/>
    <w:rsid w:val="382186EF"/>
    <w:rsid w:val="387779AD"/>
    <w:rsid w:val="38EAEA9C"/>
    <w:rsid w:val="392604D9"/>
    <w:rsid w:val="393C94BA"/>
    <w:rsid w:val="3946E67F"/>
    <w:rsid w:val="394A0965"/>
    <w:rsid w:val="3967D5A9"/>
    <w:rsid w:val="397491DC"/>
    <w:rsid w:val="39ADA014"/>
    <w:rsid w:val="39DEAC7F"/>
    <w:rsid w:val="39F3D26F"/>
    <w:rsid w:val="3AAD1FD0"/>
    <w:rsid w:val="3AC322E2"/>
    <w:rsid w:val="3AD3B30F"/>
    <w:rsid w:val="3B0A8DCD"/>
    <w:rsid w:val="3B217C52"/>
    <w:rsid w:val="3C2CA9ED"/>
    <w:rsid w:val="3C5AFA1B"/>
    <w:rsid w:val="3C64B67B"/>
    <w:rsid w:val="3CC4AD37"/>
    <w:rsid w:val="3CD1C2C9"/>
    <w:rsid w:val="3CD98736"/>
    <w:rsid w:val="3D0C039B"/>
    <w:rsid w:val="3D261CE7"/>
    <w:rsid w:val="3D3F9F3E"/>
    <w:rsid w:val="3D8ED23E"/>
    <w:rsid w:val="3D9839F1"/>
    <w:rsid w:val="3DD8FF35"/>
    <w:rsid w:val="3E5FDFFC"/>
    <w:rsid w:val="3E66D8FA"/>
    <w:rsid w:val="3E713785"/>
    <w:rsid w:val="3E8069E2"/>
    <w:rsid w:val="3E99415C"/>
    <w:rsid w:val="3F0D36F3"/>
    <w:rsid w:val="3F6AF528"/>
    <w:rsid w:val="3F8E28EA"/>
    <w:rsid w:val="40E060B5"/>
    <w:rsid w:val="41D33488"/>
    <w:rsid w:val="41D6BA3B"/>
    <w:rsid w:val="42140950"/>
    <w:rsid w:val="4250491E"/>
    <w:rsid w:val="4350B9B4"/>
    <w:rsid w:val="4356469D"/>
    <w:rsid w:val="43D5FF53"/>
    <w:rsid w:val="446EFEB2"/>
    <w:rsid w:val="44A98826"/>
    <w:rsid w:val="453A5FF8"/>
    <w:rsid w:val="4540F179"/>
    <w:rsid w:val="457073BA"/>
    <w:rsid w:val="4574990A"/>
    <w:rsid w:val="45993612"/>
    <w:rsid w:val="4635B93F"/>
    <w:rsid w:val="46632355"/>
    <w:rsid w:val="471B25AA"/>
    <w:rsid w:val="47B5760B"/>
    <w:rsid w:val="48351DB1"/>
    <w:rsid w:val="486A866D"/>
    <w:rsid w:val="49A20097"/>
    <w:rsid w:val="4ABA86E3"/>
    <w:rsid w:val="4AD7EDD8"/>
    <w:rsid w:val="4B7C36ED"/>
    <w:rsid w:val="4BAFFE30"/>
    <w:rsid w:val="4C3A6F01"/>
    <w:rsid w:val="4C4EA7BC"/>
    <w:rsid w:val="4CB21EC0"/>
    <w:rsid w:val="4CF1AD7F"/>
    <w:rsid w:val="4D30BAA1"/>
    <w:rsid w:val="4E55C807"/>
    <w:rsid w:val="4E717E20"/>
    <w:rsid w:val="4EAEFA66"/>
    <w:rsid w:val="4EB6313E"/>
    <w:rsid w:val="4FBE2936"/>
    <w:rsid w:val="4FD9B2B0"/>
    <w:rsid w:val="50612CC9"/>
    <w:rsid w:val="514DEFDC"/>
    <w:rsid w:val="516487CC"/>
    <w:rsid w:val="51847F1D"/>
    <w:rsid w:val="51FD82CF"/>
    <w:rsid w:val="5201F575"/>
    <w:rsid w:val="521A88A9"/>
    <w:rsid w:val="52AC7226"/>
    <w:rsid w:val="52B404F0"/>
    <w:rsid w:val="52E8AD92"/>
    <w:rsid w:val="52EF1A88"/>
    <w:rsid w:val="5308381B"/>
    <w:rsid w:val="530B2DF0"/>
    <w:rsid w:val="535E4F16"/>
    <w:rsid w:val="5391FCD1"/>
    <w:rsid w:val="539BB0A6"/>
    <w:rsid w:val="548352C8"/>
    <w:rsid w:val="54EAF76D"/>
    <w:rsid w:val="55372246"/>
    <w:rsid w:val="55920F52"/>
    <w:rsid w:val="5728DA2C"/>
    <w:rsid w:val="57A12671"/>
    <w:rsid w:val="58110D4A"/>
    <w:rsid w:val="5830644C"/>
    <w:rsid w:val="58352716"/>
    <w:rsid w:val="58A60FC3"/>
    <w:rsid w:val="5A28020E"/>
    <w:rsid w:val="5A6C98DE"/>
    <w:rsid w:val="5A6DE8F1"/>
    <w:rsid w:val="5A90C422"/>
    <w:rsid w:val="5BD67AB7"/>
    <w:rsid w:val="5C76B87F"/>
    <w:rsid w:val="5CFC1F60"/>
    <w:rsid w:val="5E96BA49"/>
    <w:rsid w:val="5EA3BA94"/>
    <w:rsid w:val="5F54E798"/>
    <w:rsid w:val="5FB6A294"/>
    <w:rsid w:val="601FD822"/>
    <w:rsid w:val="6048071B"/>
    <w:rsid w:val="612FC3D2"/>
    <w:rsid w:val="617B93D4"/>
    <w:rsid w:val="61E27511"/>
    <w:rsid w:val="625FFE6B"/>
    <w:rsid w:val="62742D08"/>
    <w:rsid w:val="639A166A"/>
    <w:rsid w:val="63B6FFB9"/>
    <w:rsid w:val="6405F2FE"/>
    <w:rsid w:val="64B789AC"/>
    <w:rsid w:val="6576CE96"/>
    <w:rsid w:val="657A328A"/>
    <w:rsid w:val="657E3322"/>
    <w:rsid w:val="657F128E"/>
    <w:rsid w:val="662419F4"/>
    <w:rsid w:val="66D90510"/>
    <w:rsid w:val="66E6E290"/>
    <w:rsid w:val="6772E450"/>
    <w:rsid w:val="67A75E6D"/>
    <w:rsid w:val="67BA5C56"/>
    <w:rsid w:val="67E16FBB"/>
    <w:rsid w:val="6881830E"/>
    <w:rsid w:val="68A7948B"/>
    <w:rsid w:val="68B4F730"/>
    <w:rsid w:val="6907D2E8"/>
    <w:rsid w:val="6A088A4B"/>
    <w:rsid w:val="6A0B6D01"/>
    <w:rsid w:val="6A2FD25C"/>
    <w:rsid w:val="6A8ABAEE"/>
    <w:rsid w:val="6ACA1786"/>
    <w:rsid w:val="6AEDEFEA"/>
    <w:rsid w:val="6B5CEFF6"/>
    <w:rsid w:val="6B6859BB"/>
    <w:rsid w:val="6C01169A"/>
    <w:rsid w:val="6C151D8A"/>
    <w:rsid w:val="6C269E3E"/>
    <w:rsid w:val="6C2B70CB"/>
    <w:rsid w:val="6D0A0969"/>
    <w:rsid w:val="6D0B0D80"/>
    <w:rsid w:val="6D731D0C"/>
    <w:rsid w:val="6E1723ED"/>
    <w:rsid w:val="6EB40348"/>
    <w:rsid w:val="6EBCA27F"/>
    <w:rsid w:val="6EDDF559"/>
    <w:rsid w:val="6EF8BB3F"/>
    <w:rsid w:val="6FBEA937"/>
    <w:rsid w:val="700D09C1"/>
    <w:rsid w:val="70168043"/>
    <w:rsid w:val="70464047"/>
    <w:rsid w:val="70ABC714"/>
    <w:rsid w:val="716C803E"/>
    <w:rsid w:val="7177461C"/>
    <w:rsid w:val="71932B62"/>
    <w:rsid w:val="7207CC5D"/>
    <w:rsid w:val="72212FF9"/>
    <w:rsid w:val="724DDEF1"/>
    <w:rsid w:val="725A2A86"/>
    <w:rsid w:val="7333D3FD"/>
    <w:rsid w:val="734E63D4"/>
    <w:rsid w:val="7368168C"/>
    <w:rsid w:val="739D3D16"/>
    <w:rsid w:val="73A5BCA0"/>
    <w:rsid w:val="73AB82D9"/>
    <w:rsid w:val="7487C0F1"/>
    <w:rsid w:val="75215493"/>
    <w:rsid w:val="75710759"/>
    <w:rsid w:val="7605FF81"/>
    <w:rsid w:val="76BC29CF"/>
    <w:rsid w:val="77454CF4"/>
    <w:rsid w:val="779C0D6E"/>
    <w:rsid w:val="77A6AB7B"/>
    <w:rsid w:val="780C0246"/>
    <w:rsid w:val="78192EDC"/>
    <w:rsid w:val="781AE4E1"/>
    <w:rsid w:val="78C06243"/>
    <w:rsid w:val="78C6DF79"/>
    <w:rsid w:val="78E63AAA"/>
    <w:rsid w:val="794D9C34"/>
    <w:rsid w:val="79842C4B"/>
    <w:rsid w:val="7998AA7F"/>
    <w:rsid w:val="79C3987A"/>
    <w:rsid w:val="7A074D8F"/>
    <w:rsid w:val="7AF28A49"/>
    <w:rsid w:val="7B50473C"/>
    <w:rsid w:val="7B7A9980"/>
    <w:rsid w:val="7BAF1471"/>
    <w:rsid w:val="7BBBE6EF"/>
    <w:rsid w:val="7BCB39AF"/>
    <w:rsid w:val="7C01BF4B"/>
    <w:rsid w:val="7CCE3D7F"/>
    <w:rsid w:val="7CE6654B"/>
    <w:rsid w:val="7D95DB54"/>
    <w:rsid w:val="7DBEDBE7"/>
    <w:rsid w:val="7E6F830E"/>
    <w:rsid w:val="7E8C512C"/>
    <w:rsid w:val="7EC4AD4A"/>
    <w:rsid w:val="7ECC061B"/>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8EB8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Next LT Pro Regular" w:eastAsiaTheme="minorHAnsi" w:hAnsi="AvenirNext LT Pro Regular" w:cstheme="minorBidi"/>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qFormat="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46036"/>
    <w:pPr>
      <w:spacing w:line="240" w:lineRule="auto"/>
    </w:pPr>
    <w:rPr>
      <w:rFonts w:asciiTheme="minorHAnsi" w:eastAsia="Trebuchet MS" w:hAnsiTheme="minorHAnsi" w:cs="Trebuchet MS"/>
      <w:color w:val="000000"/>
      <w:lang w:val="en-US"/>
    </w:rPr>
  </w:style>
  <w:style w:type="paragraph" w:styleId="Heading1">
    <w:name w:val="heading 1"/>
    <w:basedOn w:val="Normal"/>
    <w:next w:val="Normal"/>
    <w:link w:val="Heading1Char"/>
    <w:uiPriority w:val="1"/>
    <w:qFormat/>
    <w:rsid w:val="005B33CE"/>
    <w:pPr>
      <w:keepNext/>
      <w:keepLines/>
      <w:suppressAutoHyphens/>
      <w:spacing w:after="220" w:line="440" w:lineRule="atLeast"/>
      <w:outlineLvl w:val="0"/>
    </w:pPr>
    <w:rPr>
      <w:rFonts w:eastAsiaTheme="majorEastAsia" w:cs="Arial"/>
      <w:sz w:val="40"/>
      <w:szCs w:val="32"/>
    </w:rPr>
  </w:style>
  <w:style w:type="paragraph" w:styleId="Heading2">
    <w:name w:val="heading 2"/>
    <w:basedOn w:val="Normal"/>
    <w:next w:val="Normal"/>
    <w:link w:val="Heading2Char"/>
    <w:uiPriority w:val="1"/>
    <w:qFormat/>
    <w:rsid w:val="00EB3839"/>
    <w:pPr>
      <w:keepNext/>
      <w:keepLines/>
      <w:suppressAutoHyphens/>
      <w:spacing w:after="180" w:line="360" w:lineRule="atLeast"/>
      <w:outlineLvl w:val="1"/>
    </w:pPr>
    <w:rPr>
      <w:rFonts w:eastAsiaTheme="majorEastAsia" w:cs="Arial"/>
      <w:b/>
      <w:sz w:val="28"/>
      <w:szCs w:val="26"/>
    </w:rPr>
  </w:style>
  <w:style w:type="paragraph" w:styleId="Heading3">
    <w:name w:val="heading 3"/>
    <w:basedOn w:val="Normal"/>
    <w:next w:val="Normal"/>
    <w:link w:val="Heading3Char"/>
    <w:uiPriority w:val="1"/>
    <w:qFormat/>
    <w:rsid w:val="007D3CB7"/>
    <w:pPr>
      <w:keepNext/>
      <w:keepLines/>
      <w:suppressAutoHyphens/>
      <w:spacing w:after="140"/>
      <w:outlineLvl w:val="2"/>
    </w:pPr>
    <w:rPr>
      <w:rFonts w:ascii="Avenir Next LT Pro" w:eastAsiaTheme="majorEastAsia" w:hAnsi="Avenir Next LT Pro" w:cs="Arial"/>
      <w:bCs/>
      <w:sz w:val="32"/>
      <w:szCs w:val="32"/>
    </w:rPr>
  </w:style>
  <w:style w:type="paragraph" w:styleId="Heading4">
    <w:name w:val="heading 4"/>
    <w:basedOn w:val="Normal"/>
    <w:next w:val="Normal"/>
    <w:link w:val="Heading4Char"/>
    <w:uiPriority w:val="1"/>
    <w:semiHidden/>
    <w:rsid w:val="00847772"/>
    <w:pPr>
      <w:keepNext/>
      <w:keepLines/>
      <w:suppressAutoHyphens/>
      <w:outlineLvl w:val="3"/>
    </w:pPr>
    <w:rPr>
      <w:rFonts w:eastAsiaTheme="majorEastAsia" w:cs="Arial"/>
      <w:b/>
      <w:iCs/>
    </w:rPr>
  </w:style>
  <w:style w:type="paragraph" w:styleId="Heading5">
    <w:name w:val="heading 5"/>
    <w:basedOn w:val="Normal"/>
    <w:next w:val="Normal"/>
    <w:link w:val="Heading5Char"/>
    <w:uiPriority w:val="1"/>
    <w:semiHidden/>
    <w:rsid w:val="00847772"/>
    <w:pPr>
      <w:keepNext/>
      <w:keepLines/>
      <w:suppressAutoHyphens/>
      <w:outlineLvl w:val="4"/>
    </w:pPr>
    <w:rPr>
      <w:rFonts w:eastAsiaTheme="majorEastAsia" w:cs="Arial"/>
      <w:b/>
    </w:rPr>
  </w:style>
  <w:style w:type="paragraph" w:styleId="Heading6">
    <w:name w:val="heading 6"/>
    <w:basedOn w:val="Normal"/>
    <w:next w:val="Normal"/>
    <w:link w:val="Heading6Char"/>
    <w:uiPriority w:val="1"/>
    <w:semiHidden/>
    <w:rsid w:val="00847772"/>
    <w:pPr>
      <w:keepNext/>
      <w:keepLines/>
      <w:suppressAutoHyphens/>
      <w:outlineLvl w:val="5"/>
    </w:pPr>
    <w:rPr>
      <w:rFonts w:eastAsiaTheme="majorEastAsia" w:cs="Arial"/>
      <w:b/>
    </w:rPr>
  </w:style>
  <w:style w:type="paragraph" w:styleId="Heading7">
    <w:name w:val="heading 7"/>
    <w:basedOn w:val="Normal"/>
    <w:next w:val="Normal"/>
    <w:link w:val="Heading7Char"/>
    <w:uiPriority w:val="1"/>
    <w:semiHidden/>
    <w:rsid w:val="00847772"/>
    <w:pPr>
      <w:keepNext/>
      <w:keepLines/>
      <w:suppressAutoHyphens/>
      <w:outlineLvl w:val="6"/>
    </w:pPr>
    <w:rPr>
      <w:rFonts w:eastAsiaTheme="majorEastAsia" w:cs="Arial"/>
      <w:b/>
      <w:iCs/>
    </w:rPr>
  </w:style>
  <w:style w:type="paragraph" w:styleId="Heading8">
    <w:name w:val="heading 8"/>
    <w:basedOn w:val="Normal"/>
    <w:next w:val="Normal"/>
    <w:link w:val="Heading8Char"/>
    <w:uiPriority w:val="1"/>
    <w:semiHidden/>
    <w:rsid w:val="00847772"/>
    <w:pPr>
      <w:keepNext/>
      <w:keepLines/>
      <w:suppressAutoHyphens/>
      <w:outlineLvl w:val="7"/>
    </w:pPr>
    <w:rPr>
      <w:rFonts w:eastAsiaTheme="majorEastAsia" w:cs="Arial"/>
      <w:b/>
      <w:szCs w:val="21"/>
    </w:rPr>
  </w:style>
  <w:style w:type="paragraph" w:styleId="Heading9">
    <w:name w:val="heading 9"/>
    <w:basedOn w:val="Normal"/>
    <w:next w:val="Normal"/>
    <w:link w:val="Heading9Char"/>
    <w:uiPriority w:val="1"/>
    <w:semiHidden/>
    <w:rsid w:val="00847772"/>
    <w:pPr>
      <w:keepNext/>
      <w:keepLines/>
      <w:suppressAutoHyphens/>
      <w:outlineLvl w:val="8"/>
    </w:pPr>
    <w:rPr>
      <w:rFonts w:eastAsiaTheme="majorEastAsia" w:cs="Arial"/>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911DE3"/>
    <w:pPr>
      <w:numPr>
        <w:numId w:val="7"/>
      </w:numPr>
    </w:pPr>
  </w:style>
  <w:style w:type="numbering" w:styleId="1ai">
    <w:name w:val="Outline List 1"/>
    <w:basedOn w:val="NoList"/>
    <w:uiPriority w:val="99"/>
    <w:semiHidden/>
    <w:rsid w:val="00911DE3"/>
    <w:pPr>
      <w:numPr>
        <w:numId w:val="8"/>
      </w:numPr>
    </w:pPr>
  </w:style>
  <w:style w:type="paragraph" w:styleId="BalloonText">
    <w:name w:val="Balloon Text"/>
    <w:basedOn w:val="Normal"/>
    <w:link w:val="BalloonTextChar"/>
    <w:uiPriority w:val="99"/>
    <w:semiHidden/>
    <w:rsid w:val="00911DE3"/>
    <w:rPr>
      <w:rFonts w:cs="Arial"/>
    </w:rPr>
  </w:style>
  <w:style w:type="character" w:customStyle="1" w:styleId="BalloonTextChar">
    <w:name w:val="Balloon Text Char"/>
    <w:basedOn w:val="DefaultParagraphFont"/>
    <w:link w:val="BalloonText"/>
    <w:uiPriority w:val="99"/>
    <w:semiHidden/>
    <w:rsid w:val="00911DE3"/>
    <w:rPr>
      <w:rFonts w:asciiTheme="minorHAnsi" w:eastAsia="Trebuchet MS" w:hAnsiTheme="minorHAnsi" w:cs="Arial"/>
      <w:color w:val="000000"/>
      <w:lang w:val="en-US"/>
    </w:rPr>
  </w:style>
  <w:style w:type="paragraph" w:styleId="Bibliography">
    <w:name w:val="Bibliography"/>
    <w:basedOn w:val="Normal"/>
    <w:next w:val="Normal"/>
    <w:uiPriority w:val="99"/>
    <w:semiHidden/>
    <w:rsid w:val="00911DE3"/>
  </w:style>
  <w:style w:type="paragraph" w:styleId="BlockText">
    <w:name w:val="Block Text"/>
    <w:basedOn w:val="Normal"/>
    <w:uiPriority w:val="99"/>
    <w:semiHidden/>
    <w:rsid w:val="00911DE3"/>
    <w:pPr>
      <w:pBdr>
        <w:top w:val="single" w:sz="2" w:space="10" w:color="005CB9" w:themeColor="accent1"/>
        <w:left w:val="single" w:sz="2" w:space="10" w:color="005CB9" w:themeColor="accent1"/>
        <w:bottom w:val="single" w:sz="2" w:space="10" w:color="005CB9" w:themeColor="accent1"/>
        <w:right w:val="single" w:sz="2" w:space="10" w:color="005CB9" w:themeColor="accent1"/>
      </w:pBdr>
      <w:ind w:left="1152" w:right="1152"/>
    </w:pPr>
    <w:rPr>
      <w:rFonts w:eastAsiaTheme="minorEastAsia" w:cs="Arial"/>
      <w:i/>
      <w:iCs/>
      <w:color w:val="005CB9" w:themeColor="accent1"/>
    </w:rPr>
  </w:style>
  <w:style w:type="paragraph" w:styleId="BodyText">
    <w:name w:val="Body Text"/>
    <w:basedOn w:val="Normal"/>
    <w:link w:val="BodyTextChar"/>
    <w:uiPriority w:val="99"/>
    <w:semiHidden/>
    <w:rsid w:val="00911DE3"/>
    <w:pPr>
      <w:spacing w:after="120"/>
    </w:pPr>
  </w:style>
  <w:style w:type="character" w:customStyle="1" w:styleId="BodyTextChar">
    <w:name w:val="Body Text Char"/>
    <w:basedOn w:val="DefaultParagraphFont"/>
    <w:link w:val="BodyText"/>
    <w:uiPriority w:val="99"/>
    <w:semiHidden/>
    <w:rsid w:val="00911DE3"/>
  </w:style>
  <w:style w:type="paragraph" w:styleId="BodyText2">
    <w:name w:val="Body Text 2"/>
    <w:basedOn w:val="Normal"/>
    <w:link w:val="BodyText2Char"/>
    <w:uiPriority w:val="99"/>
    <w:semiHidden/>
    <w:rsid w:val="00911DE3"/>
    <w:pPr>
      <w:spacing w:after="120" w:line="480" w:lineRule="auto"/>
    </w:pPr>
  </w:style>
  <w:style w:type="character" w:customStyle="1" w:styleId="BodyText2Char">
    <w:name w:val="Body Text 2 Char"/>
    <w:basedOn w:val="DefaultParagraphFont"/>
    <w:link w:val="BodyText2"/>
    <w:uiPriority w:val="99"/>
    <w:semiHidden/>
    <w:rsid w:val="00911DE3"/>
  </w:style>
  <w:style w:type="paragraph" w:styleId="BodyText3">
    <w:name w:val="Body Text 3"/>
    <w:basedOn w:val="Normal"/>
    <w:link w:val="BodyText3Char"/>
    <w:uiPriority w:val="99"/>
    <w:semiHidden/>
    <w:rsid w:val="00911DE3"/>
    <w:pPr>
      <w:spacing w:after="120"/>
    </w:pPr>
    <w:rPr>
      <w:sz w:val="16"/>
      <w:szCs w:val="16"/>
    </w:rPr>
  </w:style>
  <w:style w:type="character" w:customStyle="1" w:styleId="BodyText3Char">
    <w:name w:val="Body Text 3 Char"/>
    <w:basedOn w:val="DefaultParagraphFont"/>
    <w:link w:val="BodyText3"/>
    <w:uiPriority w:val="99"/>
    <w:semiHidden/>
    <w:rsid w:val="00911DE3"/>
    <w:rPr>
      <w:sz w:val="16"/>
      <w:szCs w:val="16"/>
    </w:rPr>
  </w:style>
  <w:style w:type="paragraph" w:styleId="BodyTextFirstIndent">
    <w:name w:val="Body Text First Indent"/>
    <w:basedOn w:val="BodyText"/>
    <w:link w:val="BodyTextFirstIndentChar"/>
    <w:uiPriority w:val="99"/>
    <w:semiHidden/>
    <w:rsid w:val="00911DE3"/>
    <w:pPr>
      <w:spacing w:after="0"/>
      <w:ind w:firstLine="360"/>
    </w:pPr>
  </w:style>
  <w:style w:type="character" w:customStyle="1" w:styleId="BodyTextFirstIndentChar">
    <w:name w:val="Body Text First Indent Char"/>
    <w:basedOn w:val="BodyTextChar"/>
    <w:link w:val="BodyTextFirstIndent"/>
    <w:uiPriority w:val="99"/>
    <w:semiHidden/>
    <w:rsid w:val="00911DE3"/>
  </w:style>
  <w:style w:type="paragraph" w:styleId="BodyTextIndent">
    <w:name w:val="Body Text Indent"/>
    <w:basedOn w:val="Normal"/>
    <w:link w:val="BodyTextIndentChar"/>
    <w:uiPriority w:val="99"/>
    <w:semiHidden/>
    <w:rsid w:val="00911DE3"/>
    <w:pPr>
      <w:spacing w:after="120"/>
      <w:ind w:left="283"/>
    </w:pPr>
  </w:style>
  <w:style w:type="character" w:customStyle="1" w:styleId="BodyTextIndentChar">
    <w:name w:val="Body Text Indent Char"/>
    <w:basedOn w:val="DefaultParagraphFont"/>
    <w:link w:val="BodyTextIndent"/>
    <w:uiPriority w:val="99"/>
    <w:semiHidden/>
    <w:rsid w:val="00911DE3"/>
  </w:style>
  <w:style w:type="paragraph" w:styleId="BodyTextFirstIndent2">
    <w:name w:val="Body Text First Indent 2"/>
    <w:basedOn w:val="BodyTextIndent"/>
    <w:link w:val="BodyTextFirstIndent2Char"/>
    <w:uiPriority w:val="99"/>
    <w:semiHidden/>
    <w:rsid w:val="00911DE3"/>
    <w:pPr>
      <w:spacing w:after="0"/>
      <w:ind w:left="360" w:firstLine="360"/>
    </w:pPr>
  </w:style>
  <w:style w:type="character" w:customStyle="1" w:styleId="BodyTextFirstIndent2Char">
    <w:name w:val="Body Text First Indent 2 Char"/>
    <w:basedOn w:val="BodyTextIndentChar"/>
    <w:link w:val="BodyTextFirstIndent2"/>
    <w:uiPriority w:val="99"/>
    <w:semiHidden/>
    <w:rsid w:val="00911DE3"/>
  </w:style>
  <w:style w:type="paragraph" w:styleId="BodyTextIndent2">
    <w:name w:val="Body Text Indent 2"/>
    <w:basedOn w:val="Normal"/>
    <w:link w:val="BodyTextIndent2Char"/>
    <w:uiPriority w:val="99"/>
    <w:semiHidden/>
    <w:rsid w:val="00911DE3"/>
    <w:pPr>
      <w:spacing w:after="120" w:line="480" w:lineRule="auto"/>
      <w:ind w:left="283"/>
    </w:pPr>
  </w:style>
  <w:style w:type="character" w:customStyle="1" w:styleId="BodyTextIndent2Char">
    <w:name w:val="Body Text Indent 2 Char"/>
    <w:basedOn w:val="DefaultParagraphFont"/>
    <w:link w:val="BodyTextIndent2"/>
    <w:uiPriority w:val="99"/>
    <w:semiHidden/>
    <w:rsid w:val="00911DE3"/>
  </w:style>
  <w:style w:type="paragraph" w:styleId="BodyTextIndent3">
    <w:name w:val="Body Text Indent 3"/>
    <w:basedOn w:val="Normal"/>
    <w:link w:val="BodyTextIndent3Char"/>
    <w:uiPriority w:val="99"/>
    <w:semiHidden/>
    <w:rsid w:val="00911D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11DE3"/>
    <w:rPr>
      <w:sz w:val="16"/>
      <w:szCs w:val="16"/>
    </w:rPr>
  </w:style>
  <w:style w:type="character" w:styleId="BookTitle">
    <w:name w:val="Book Title"/>
    <w:basedOn w:val="DefaultParagraphFont"/>
    <w:uiPriority w:val="99"/>
    <w:semiHidden/>
    <w:qFormat/>
    <w:rsid w:val="00911DE3"/>
    <w:rPr>
      <w:b/>
      <w:bCs/>
      <w:i/>
      <w:iCs/>
      <w:spacing w:val="5"/>
    </w:rPr>
  </w:style>
  <w:style w:type="paragraph" w:styleId="Caption">
    <w:name w:val="caption"/>
    <w:basedOn w:val="Normal"/>
    <w:next w:val="Normal"/>
    <w:uiPriority w:val="3"/>
    <w:rsid w:val="00847018"/>
    <w:pPr>
      <w:spacing w:line="200" w:lineRule="atLeast"/>
    </w:pPr>
    <w:rPr>
      <w:iCs/>
      <w:caps/>
      <w:sz w:val="16"/>
    </w:rPr>
  </w:style>
  <w:style w:type="paragraph" w:styleId="Closing">
    <w:name w:val="Closing"/>
    <w:basedOn w:val="Normal"/>
    <w:link w:val="ClosingChar"/>
    <w:uiPriority w:val="99"/>
    <w:semiHidden/>
    <w:rsid w:val="00911DE3"/>
    <w:pPr>
      <w:ind w:left="4252"/>
    </w:pPr>
  </w:style>
  <w:style w:type="character" w:customStyle="1" w:styleId="ClosingChar">
    <w:name w:val="Closing Char"/>
    <w:basedOn w:val="DefaultParagraphFont"/>
    <w:link w:val="Closing"/>
    <w:uiPriority w:val="99"/>
    <w:semiHidden/>
    <w:rsid w:val="00911DE3"/>
    <w:rPr>
      <w:rFonts w:asciiTheme="minorHAnsi" w:eastAsia="Trebuchet MS" w:hAnsiTheme="minorHAnsi" w:cs="Trebuchet MS"/>
      <w:color w:val="000000"/>
      <w:lang w:val="en-US"/>
    </w:rPr>
  </w:style>
  <w:style w:type="table" w:styleId="ColorfulGrid">
    <w:name w:val="Colorful Grid"/>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EDEFF" w:themeFill="accent1" w:themeFillTint="33"/>
    </w:tcPr>
    <w:tblStylePr w:type="firstRow">
      <w:rPr>
        <w:b/>
        <w:bCs/>
      </w:rPr>
      <w:tblPr/>
      <w:tcPr>
        <w:shd w:val="clear" w:color="auto" w:fill="7DBDFF" w:themeFill="accent1" w:themeFillTint="66"/>
      </w:tcPr>
    </w:tblStylePr>
    <w:tblStylePr w:type="lastRow">
      <w:rPr>
        <w:b/>
        <w:bCs/>
        <w:color w:val="000000" w:themeColor="text1"/>
      </w:rPr>
      <w:tblPr/>
      <w:tcPr>
        <w:shd w:val="clear" w:color="auto" w:fill="7DBDFF" w:themeFill="accent1" w:themeFillTint="66"/>
      </w:tcPr>
    </w:tblStylePr>
    <w:tblStylePr w:type="firstCol">
      <w:rPr>
        <w:color w:val="FFFFFF" w:themeColor="background1"/>
      </w:rPr>
      <w:tblPr/>
      <w:tcPr>
        <w:shd w:val="clear" w:color="auto" w:fill="00448A" w:themeFill="accent1" w:themeFillShade="BF"/>
      </w:tcPr>
    </w:tblStylePr>
    <w:tblStylePr w:type="lastCol">
      <w:rPr>
        <w:color w:val="FFFFFF" w:themeColor="background1"/>
      </w:rPr>
      <w:tblPr/>
      <w:tcPr>
        <w:shd w:val="clear" w:color="auto" w:fill="00448A" w:themeFill="accent1" w:themeFillShade="BF"/>
      </w:tcPr>
    </w:tblStylePr>
    <w:tblStylePr w:type="band1Vert">
      <w:tblPr/>
      <w:tcPr>
        <w:shd w:val="clear" w:color="auto" w:fill="5DADFF" w:themeFill="accent1" w:themeFillTint="7F"/>
      </w:tcPr>
    </w:tblStylePr>
    <w:tblStylePr w:type="band1Horz">
      <w:tblPr/>
      <w:tcPr>
        <w:shd w:val="clear" w:color="auto" w:fill="5DADFF" w:themeFill="accent1" w:themeFillTint="7F"/>
      </w:tcPr>
    </w:tblStylePr>
  </w:style>
  <w:style w:type="table" w:styleId="ColorfulGrid-Accent2">
    <w:name w:val="Colorful Grid Accent 2"/>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1F1F1" w:themeFill="accent2" w:themeFillTint="33"/>
    </w:tcPr>
    <w:tblStylePr w:type="firstRow">
      <w:rPr>
        <w:b/>
        <w:bCs/>
      </w:rPr>
      <w:tblPr/>
      <w:tcPr>
        <w:shd w:val="clear" w:color="auto" w:fill="E3E3E3" w:themeFill="accent2" w:themeFillTint="66"/>
      </w:tcPr>
    </w:tblStylePr>
    <w:tblStylePr w:type="lastRow">
      <w:rPr>
        <w:b/>
        <w:bCs/>
        <w:color w:val="000000" w:themeColor="text1"/>
      </w:rPr>
      <w:tblPr/>
      <w:tcPr>
        <w:shd w:val="clear" w:color="auto" w:fill="E3E3E3" w:themeFill="accent2" w:themeFillTint="66"/>
      </w:tcPr>
    </w:tblStylePr>
    <w:tblStylePr w:type="firstCol">
      <w:rPr>
        <w:color w:val="FFFFFF" w:themeColor="background1"/>
      </w:rPr>
      <w:tblPr/>
      <w:tcPr>
        <w:shd w:val="clear" w:color="auto" w:fill="8C8C8C" w:themeFill="accent2" w:themeFillShade="BF"/>
      </w:tcPr>
    </w:tblStylePr>
    <w:tblStylePr w:type="lastCol">
      <w:rPr>
        <w:color w:val="FFFFFF" w:themeColor="background1"/>
      </w:rPr>
      <w:tblPr/>
      <w:tcPr>
        <w:shd w:val="clear" w:color="auto" w:fill="8C8C8C" w:themeFill="accent2" w:themeFillShade="BF"/>
      </w:tcPr>
    </w:tblStylePr>
    <w:tblStylePr w:type="band1Vert">
      <w:tblPr/>
      <w:tcPr>
        <w:shd w:val="clear" w:color="auto" w:fill="DDDDDD" w:themeFill="accent2" w:themeFillTint="7F"/>
      </w:tcPr>
    </w:tblStylePr>
    <w:tblStylePr w:type="band1Horz">
      <w:tblPr/>
      <w:tcPr>
        <w:shd w:val="clear" w:color="auto" w:fill="DDDDDD" w:themeFill="accent2" w:themeFillTint="7F"/>
      </w:tcPr>
    </w:tblStylePr>
  </w:style>
  <w:style w:type="table" w:styleId="ColorfulGrid-Accent3">
    <w:name w:val="Colorful Grid Accent 3"/>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EEF8" w:themeFill="accent3" w:themeFillTint="33"/>
    </w:tcPr>
    <w:tblStylePr w:type="firstRow">
      <w:rPr>
        <w:b/>
        <w:bCs/>
      </w:rPr>
      <w:tblPr/>
      <w:tcPr>
        <w:shd w:val="clear" w:color="auto" w:fill="CBDEF1" w:themeFill="accent3" w:themeFillTint="66"/>
      </w:tcPr>
    </w:tblStylePr>
    <w:tblStylePr w:type="lastRow">
      <w:rPr>
        <w:b/>
        <w:bCs/>
        <w:color w:val="000000" w:themeColor="text1"/>
      </w:rPr>
      <w:tblPr/>
      <w:tcPr>
        <w:shd w:val="clear" w:color="auto" w:fill="CBDEF1" w:themeFill="accent3" w:themeFillTint="66"/>
      </w:tcPr>
    </w:tblStylePr>
    <w:tblStylePr w:type="firstCol">
      <w:rPr>
        <w:color w:val="FFFFFF" w:themeColor="background1"/>
      </w:rPr>
      <w:tblPr/>
      <w:tcPr>
        <w:shd w:val="clear" w:color="auto" w:fill="3A80C9" w:themeFill="accent3" w:themeFillShade="BF"/>
      </w:tcPr>
    </w:tblStylePr>
    <w:tblStylePr w:type="lastCol">
      <w:rPr>
        <w:color w:val="FFFFFF" w:themeColor="background1"/>
      </w:rPr>
      <w:tblPr/>
      <w:tcPr>
        <w:shd w:val="clear" w:color="auto" w:fill="3A80C9" w:themeFill="accent3" w:themeFillShade="BF"/>
      </w:tcPr>
    </w:tblStylePr>
    <w:tblStylePr w:type="band1Vert">
      <w:tblPr/>
      <w:tcPr>
        <w:shd w:val="clear" w:color="auto" w:fill="BFD6ED" w:themeFill="accent3" w:themeFillTint="7F"/>
      </w:tcPr>
    </w:tblStylePr>
    <w:tblStylePr w:type="band1Horz">
      <w:tblPr/>
      <w:tcPr>
        <w:shd w:val="clear" w:color="auto" w:fill="BFD6ED" w:themeFill="accent3" w:themeFillTint="7F"/>
      </w:tcPr>
    </w:tblStylePr>
  </w:style>
  <w:style w:type="table" w:styleId="ColorfulGrid-Accent4">
    <w:name w:val="Colorful Grid Accent 4"/>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E3E4" w:themeFill="accent4" w:themeFillTint="33"/>
    </w:tcPr>
    <w:tblStylePr w:type="firstRow">
      <w:rPr>
        <w:b/>
        <w:bCs/>
      </w:rPr>
      <w:tblPr/>
      <w:tcPr>
        <w:shd w:val="clear" w:color="auto" w:fill="C8C8CA" w:themeFill="accent4" w:themeFillTint="66"/>
      </w:tcPr>
    </w:tblStylePr>
    <w:tblStylePr w:type="lastRow">
      <w:rPr>
        <w:b/>
        <w:bCs/>
        <w:color w:val="000000" w:themeColor="text1"/>
      </w:rPr>
      <w:tblPr/>
      <w:tcPr>
        <w:shd w:val="clear" w:color="auto" w:fill="C8C8CA" w:themeFill="accent4" w:themeFillTint="66"/>
      </w:tcPr>
    </w:tblStylePr>
    <w:tblStylePr w:type="firstCol">
      <w:rPr>
        <w:color w:val="FFFFFF" w:themeColor="background1"/>
      </w:rPr>
      <w:tblPr/>
      <w:tcPr>
        <w:shd w:val="clear" w:color="auto" w:fill="58595B" w:themeFill="accent4" w:themeFillShade="BF"/>
      </w:tcPr>
    </w:tblStylePr>
    <w:tblStylePr w:type="lastCol">
      <w:rPr>
        <w:color w:val="FFFFFF" w:themeColor="background1"/>
      </w:rPr>
      <w:tblPr/>
      <w:tcPr>
        <w:shd w:val="clear" w:color="auto" w:fill="58595B" w:themeFill="accent4" w:themeFillShade="BF"/>
      </w:tcPr>
    </w:tblStylePr>
    <w:tblStylePr w:type="band1Vert">
      <w:tblPr/>
      <w:tcPr>
        <w:shd w:val="clear" w:color="auto" w:fill="BABBBD" w:themeFill="accent4" w:themeFillTint="7F"/>
      </w:tcPr>
    </w:tblStylePr>
    <w:tblStylePr w:type="band1Horz">
      <w:tblPr/>
      <w:tcPr>
        <w:shd w:val="clear" w:color="auto" w:fill="BABBBD" w:themeFill="accent4" w:themeFillTint="7F"/>
      </w:tcPr>
    </w:tblStylePr>
  </w:style>
  <w:style w:type="table" w:styleId="ColorfulGrid-Accent5">
    <w:name w:val="Colorful Grid Accent 5"/>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2CFDF" w:themeFill="accent5" w:themeFillTint="33"/>
    </w:tcPr>
    <w:tblStylePr w:type="firstRow">
      <w:rPr>
        <w:b/>
        <w:bCs/>
      </w:rPr>
      <w:tblPr/>
      <w:tcPr>
        <w:shd w:val="clear" w:color="auto" w:fill="859FC0" w:themeFill="accent5" w:themeFillTint="66"/>
      </w:tcPr>
    </w:tblStylePr>
    <w:tblStylePr w:type="lastRow">
      <w:rPr>
        <w:b/>
        <w:bCs/>
        <w:color w:val="000000" w:themeColor="text1"/>
      </w:rPr>
      <w:tblPr/>
      <w:tcPr>
        <w:shd w:val="clear" w:color="auto" w:fill="859FC0" w:themeFill="accent5" w:themeFillTint="66"/>
      </w:tcPr>
    </w:tblStylePr>
    <w:tblStylePr w:type="firstCol">
      <w:rPr>
        <w:color w:val="FFFFFF" w:themeColor="background1"/>
      </w:rPr>
      <w:tblPr/>
      <w:tcPr>
        <w:shd w:val="clear" w:color="auto" w:fill="0C1118" w:themeFill="accent5" w:themeFillShade="BF"/>
      </w:tcPr>
    </w:tblStylePr>
    <w:tblStylePr w:type="lastCol">
      <w:rPr>
        <w:color w:val="FFFFFF" w:themeColor="background1"/>
      </w:rPr>
      <w:tblPr/>
      <w:tcPr>
        <w:shd w:val="clear" w:color="auto" w:fill="0C1118" w:themeFill="accent5" w:themeFillShade="BF"/>
      </w:tcPr>
    </w:tblStylePr>
    <w:tblStylePr w:type="band1Vert">
      <w:tblPr/>
      <w:tcPr>
        <w:shd w:val="clear" w:color="auto" w:fill="6787B1" w:themeFill="accent5" w:themeFillTint="7F"/>
      </w:tcPr>
    </w:tblStylePr>
    <w:tblStylePr w:type="band1Horz">
      <w:tblPr/>
      <w:tcPr>
        <w:shd w:val="clear" w:color="auto" w:fill="6787B1" w:themeFill="accent5" w:themeFillTint="7F"/>
      </w:tcPr>
    </w:tblStylePr>
  </w:style>
  <w:style w:type="table" w:styleId="ColorfulGrid-Accent6">
    <w:name w:val="Colorful Grid Accent 6"/>
    <w:basedOn w:val="TableNormal"/>
    <w:uiPriority w:val="99"/>
    <w:semiHidden/>
    <w:unhideWhenUsed/>
    <w:rsid w:val="00911DE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1F6FB" w:themeFill="accent6" w:themeFillTint="33"/>
    </w:tcPr>
    <w:tblStylePr w:type="firstRow">
      <w:rPr>
        <w:b/>
        <w:bCs/>
      </w:rPr>
      <w:tblPr/>
      <w:tcPr>
        <w:shd w:val="clear" w:color="auto" w:fill="E5EEF7" w:themeFill="accent6" w:themeFillTint="66"/>
      </w:tcPr>
    </w:tblStylePr>
    <w:tblStylePr w:type="lastRow">
      <w:rPr>
        <w:b/>
        <w:bCs/>
        <w:color w:val="000000" w:themeColor="text1"/>
      </w:rPr>
      <w:tblPr/>
      <w:tcPr>
        <w:shd w:val="clear" w:color="auto" w:fill="E5EEF7" w:themeFill="accent6" w:themeFillTint="66"/>
      </w:tcPr>
    </w:tblStylePr>
    <w:tblStylePr w:type="firstCol">
      <w:rPr>
        <w:color w:val="FFFFFF" w:themeColor="background1"/>
      </w:rPr>
      <w:tblPr/>
      <w:tcPr>
        <w:shd w:val="clear" w:color="auto" w:fill="6A9FD5" w:themeFill="accent6" w:themeFillShade="BF"/>
      </w:tcPr>
    </w:tblStylePr>
    <w:tblStylePr w:type="lastCol">
      <w:rPr>
        <w:color w:val="FFFFFF" w:themeColor="background1"/>
      </w:rPr>
      <w:tblPr/>
      <w:tcPr>
        <w:shd w:val="clear" w:color="auto" w:fill="6A9FD5" w:themeFill="accent6" w:themeFillShade="BF"/>
      </w:tcPr>
    </w:tblStylePr>
    <w:tblStylePr w:type="band1Vert">
      <w:tblPr/>
      <w:tcPr>
        <w:shd w:val="clear" w:color="auto" w:fill="DFEAF6" w:themeFill="accent6" w:themeFillTint="7F"/>
      </w:tcPr>
    </w:tblStylePr>
    <w:tblStylePr w:type="band1Horz">
      <w:tblPr/>
      <w:tcPr>
        <w:shd w:val="clear" w:color="auto" w:fill="DFEAF6" w:themeFill="accent6" w:themeFillTint="7F"/>
      </w:tcPr>
    </w:tblStylePr>
  </w:style>
  <w:style w:type="table" w:styleId="ColorfulList">
    <w:name w:val="Colorful List"/>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59595" w:themeFill="accent2" w:themeFillShade="CC"/>
      </w:tcPr>
    </w:tblStylePr>
    <w:tblStylePr w:type="lastRow">
      <w:rPr>
        <w:b/>
        <w:bCs/>
        <w:color w:val="95959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DFEEFF" w:themeFill="accent1" w:themeFillTint="19"/>
    </w:tcPr>
    <w:tblStylePr w:type="firstRow">
      <w:rPr>
        <w:b/>
        <w:bCs/>
        <w:color w:val="FFFFFF" w:themeColor="background1"/>
      </w:rPr>
      <w:tblPr/>
      <w:tcPr>
        <w:tcBorders>
          <w:bottom w:val="single" w:sz="12" w:space="0" w:color="FFFFFF" w:themeColor="background1"/>
        </w:tcBorders>
        <w:shd w:val="clear" w:color="auto" w:fill="959595" w:themeFill="accent2" w:themeFillShade="CC"/>
      </w:tcPr>
    </w:tblStylePr>
    <w:tblStylePr w:type="lastRow">
      <w:rPr>
        <w:b/>
        <w:bCs/>
        <w:color w:val="95959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D6FF" w:themeFill="accent1" w:themeFillTint="3F"/>
      </w:tcPr>
    </w:tblStylePr>
    <w:tblStylePr w:type="band1Horz">
      <w:tblPr/>
      <w:tcPr>
        <w:shd w:val="clear" w:color="auto" w:fill="BEDEFF" w:themeFill="accent1" w:themeFillTint="33"/>
      </w:tcPr>
    </w:tblStylePr>
  </w:style>
  <w:style w:type="table" w:styleId="ColorfulList-Accent2">
    <w:name w:val="Colorful List Accent 2"/>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F8F8F8" w:themeFill="accent2" w:themeFillTint="19"/>
    </w:tcPr>
    <w:tblStylePr w:type="firstRow">
      <w:rPr>
        <w:b/>
        <w:bCs/>
        <w:color w:val="FFFFFF" w:themeColor="background1"/>
      </w:rPr>
      <w:tblPr/>
      <w:tcPr>
        <w:tcBorders>
          <w:bottom w:val="single" w:sz="12" w:space="0" w:color="FFFFFF" w:themeColor="background1"/>
        </w:tcBorders>
        <w:shd w:val="clear" w:color="auto" w:fill="959595" w:themeFill="accent2" w:themeFillShade="CC"/>
      </w:tcPr>
    </w:tblStylePr>
    <w:tblStylePr w:type="lastRow">
      <w:rPr>
        <w:b/>
        <w:bCs/>
        <w:color w:val="95959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EEE" w:themeFill="accent2" w:themeFillTint="3F"/>
      </w:tcPr>
    </w:tblStylePr>
    <w:tblStylePr w:type="band1Horz">
      <w:tblPr/>
      <w:tcPr>
        <w:shd w:val="clear" w:color="auto" w:fill="F1F1F1" w:themeFill="accent2" w:themeFillTint="33"/>
      </w:tcPr>
    </w:tblStylePr>
  </w:style>
  <w:style w:type="table" w:styleId="ColorfulList-Accent3">
    <w:name w:val="Colorful List Accent 3"/>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F2F6FB" w:themeFill="accent3" w:themeFillTint="19"/>
    </w:tcPr>
    <w:tblStylePr w:type="firstRow">
      <w:rPr>
        <w:b/>
        <w:bCs/>
        <w:color w:val="FFFFFF" w:themeColor="background1"/>
      </w:rPr>
      <w:tblPr/>
      <w:tcPr>
        <w:tcBorders>
          <w:bottom w:val="single" w:sz="12" w:space="0" w:color="FFFFFF" w:themeColor="background1"/>
        </w:tcBorders>
        <w:shd w:val="clear" w:color="auto" w:fill="5E5F62" w:themeFill="accent4" w:themeFillShade="CC"/>
      </w:tcPr>
    </w:tblStylePr>
    <w:tblStylePr w:type="lastRow">
      <w:rPr>
        <w:b/>
        <w:bCs/>
        <w:color w:val="5E5F6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AF6" w:themeFill="accent3" w:themeFillTint="3F"/>
      </w:tcPr>
    </w:tblStylePr>
    <w:tblStylePr w:type="band1Horz">
      <w:tblPr/>
      <w:tcPr>
        <w:shd w:val="clear" w:color="auto" w:fill="E5EEF8" w:themeFill="accent3" w:themeFillTint="33"/>
      </w:tcPr>
    </w:tblStylePr>
  </w:style>
  <w:style w:type="table" w:styleId="ColorfulList-Accent4">
    <w:name w:val="Colorful List Accent 4"/>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F1F1F2" w:themeFill="accent4" w:themeFillTint="19"/>
    </w:tcPr>
    <w:tblStylePr w:type="firstRow">
      <w:rPr>
        <w:b/>
        <w:bCs/>
        <w:color w:val="FFFFFF" w:themeColor="background1"/>
      </w:rPr>
      <w:tblPr/>
      <w:tcPr>
        <w:tcBorders>
          <w:bottom w:val="single" w:sz="12" w:space="0" w:color="FFFFFF" w:themeColor="background1"/>
        </w:tcBorders>
        <w:shd w:val="clear" w:color="auto" w:fill="4889CD" w:themeFill="accent3" w:themeFillShade="CC"/>
      </w:tcPr>
    </w:tblStylePr>
    <w:tblStylePr w:type="lastRow">
      <w:rPr>
        <w:b/>
        <w:bCs/>
        <w:color w:val="488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DDE" w:themeFill="accent4" w:themeFillTint="3F"/>
      </w:tcPr>
    </w:tblStylePr>
    <w:tblStylePr w:type="band1Horz">
      <w:tblPr/>
      <w:tcPr>
        <w:shd w:val="clear" w:color="auto" w:fill="E3E3E4" w:themeFill="accent4" w:themeFillTint="33"/>
      </w:tcPr>
    </w:tblStylePr>
  </w:style>
  <w:style w:type="table" w:styleId="ColorfulList-Accent5">
    <w:name w:val="Colorful List Accent 5"/>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E1E7EF" w:themeFill="accent5" w:themeFillTint="19"/>
    </w:tcPr>
    <w:tblStylePr w:type="firstRow">
      <w:rPr>
        <w:b/>
        <w:bCs/>
        <w:color w:val="FFFFFF" w:themeColor="background1"/>
      </w:rPr>
      <w:tblPr/>
      <w:tcPr>
        <w:tcBorders>
          <w:bottom w:val="single" w:sz="12" w:space="0" w:color="FFFFFF" w:themeColor="background1"/>
        </w:tcBorders>
        <w:shd w:val="clear" w:color="auto" w:fill="7CAADA" w:themeFill="accent6" w:themeFillShade="CC"/>
      </w:tcPr>
    </w:tblStylePr>
    <w:tblStylePr w:type="lastRow">
      <w:rPr>
        <w:b/>
        <w:bCs/>
        <w:color w:val="7CAAD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C3D8" w:themeFill="accent5" w:themeFillTint="3F"/>
      </w:tcPr>
    </w:tblStylePr>
    <w:tblStylePr w:type="band1Horz">
      <w:tblPr/>
      <w:tcPr>
        <w:shd w:val="clear" w:color="auto" w:fill="C2CFDF" w:themeFill="accent5" w:themeFillTint="33"/>
      </w:tcPr>
    </w:tblStylePr>
  </w:style>
  <w:style w:type="table" w:styleId="ColorfulList-Accent6">
    <w:name w:val="Colorful List Accent 6"/>
    <w:basedOn w:val="TableNormal"/>
    <w:uiPriority w:val="99"/>
    <w:semiHidden/>
    <w:unhideWhenUsed/>
    <w:rsid w:val="00911DE3"/>
    <w:pPr>
      <w:spacing w:line="240" w:lineRule="auto"/>
    </w:pPr>
    <w:rPr>
      <w:color w:val="000000" w:themeColor="text1"/>
    </w:rPr>
    <w:tblPr>
      <w:tblStyleRowBandSize w:val="1"/>
      <w:tblStyleColBandSize w:val="1"/>
    </w:tblPr>
    <w:tcPr>
      <w:shd w:val="clear" w:color="auto" w:fill="F8FAFD" w:themeFill="accent6" w:themeFillTint="19"/>
    </w:tcPr>
    <w:tblStylePr w:type="firstRow">
      <w:rPr>
        <w:b/>
        <w:bCs/>
        <w:color w:val="FFFFFF" w:themeColor="background1"/>
      </w:rPr>
      <w:tblPr/>
      <w:tcPr>
        <w:tcBorders>
          <w:bottom w:val="single" w:sz="12" w:space="0" w:color="FFFFFF" w:themeColor="background1"/>
        </w:tcBorders>
        <w:shd w:val="clear" w:color="auto" w:fill="0D131A" w:themeFill="accent5" w:themeFillShade="CC"/>
      </w:tcPr>
    </w:tblStylePr>
    <w:tblStylePr w:type="lastRow">
      <w:rPr>
        <w:b/>
        <w:bCs/>
        <w:color w:val="0D131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4FA" w:themeFill="accent6" w:themeFillTint="3F"/>
      </w:tcPr>
    </w:tblStylePr>
    <w:tblStylePr w:type="band1Horz">
      <w:tblPr/>
      <w:tcPr>
        <w:shd w:val="clear" w:color="auto" w:fill="F1F6FB" w:themeFill="accent6" w:themeFillTint="33"/>
      </w:tcPr>
    </w:tblStylePr>
  </w:style>
  <w:style w:type="table" w:styleId="ColorfulShading">
    <w:name w:val="Colorful Shading"/>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BBBBB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BBB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BBBBBB" w:themeColor="accent2"/>
        <w:left w:val="single" w:sz="4" w:space="0" w:color="005CB9" w:themeColor="accent1"/>
        <w:bottom w:val="single" w:sz="4" w:space="0" w:color="005CB9" w:themeColor="accent1"/>
        <w:right w:val="single" w:sz="4" w:space="0" w:color="005CB9" w:themeColor="accent1"/>
        <w:insideH w:val="single" w:sz="4" w:space="0" w:color="FFFFFF" w:themeColor="background1"/>
        <w:insideV w:val="single" w:sz="4" w:space="0" w:color="FFFFFF" w:themeColor="background1"/>
      </w:tblBorders>
    </w:tblPr>
    <w:tcPr>
      <w:shd w:val="clear" w:color="auto" w:fill="DFEEFF" w:themeFill="accent1" w:themeFillTint="19"/>
    </w:tcPr>
    <w:tblStylePr w:type="firstRow">
      <w:rPr>
        <w:b/>
        <w:bCs/>
      </w:rPr>
      <w:tblPr/>
      <w:tcPr>
        <w:tcBorders>
          <w:top w:val="nil"/>
          <w:left w:val="nil"/>
          <w:bottom w:val="single" w:sz="24" w:space="0" w:color="BBBB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6F" w:themeFill="accent1" w:themeFillShade="99"/>
      </w:tcPr>
    </w:tblStylePr>
    <w:tblStylePr w:type="firstCol">
      <w:rPr>
        <w:color w:val="FFFFFF" w:themeColor="background1"/>
      </w:rPr>
      <w:tblPr/>
      <w:tcPr>
        <w:tcBorders>
          <w:top w:val="nil"/>
          <w:left w:val="nil"/>
          <w:bottom w:val="nil"/>
          <w:right w:val="nil"/>
          <w:insideH w:val="single" w:sz="4" w:space="0" w:color="00366F" w:themeColor="accent1" w:themeShade="99"/>
          <w:insideV w:val="nil"/>
        </w:tcBorders>
        <w:shd w:val="clear" w:color="auto" w:fill="00366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66F" w:themeFill="accent1" w:themeFillShade="99"/>
      </w:tcPr>
    </w:tblStylePr>
    <w:tblStylePr w:type="band1Vert">
      <w:tblPr/>
      <w:tcPr>
        <w:shd w:val="clear" w:color="auto" w:fill="7DBDFF" w:themeFill="accent1" w:themeFillTint="66"/>
      </w:tcPr>
    </w:tblStylePr>
    <w:tblStylePr w:type="band1Horz">
      <w:tblPr/>
      <w:tcPr>
        <w:shd w:val="clear" w:color="auto" w:fill="5DA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BBBBBB" w:themeColor="accent2"/>
        <w:left w:val="single" w:sz="4" w:space="0" w:color="BBBBBB" w:themeColor="accent2"/>
        <w:bottom w:val="single" w:sz="4" w:space="0" w:color="BBBBBB" w:themeColor="accent2"/>
        <w:right w:val="single" w:sz="4" w:space="0" w:color="BBBBBB" w:themeColor="accent2"/>
        <w:insideH w:val="single" w:sz="4" w:space="0" w:color="FFFFFF" w:themeColor="background1"/>
        <w:insideV w:val="single" w:sz="4" w:space="0" w:color="FFFFFF" w:themeColor="background1"/>
      </w:tblBorders>
    </w:tblPr>
    <w:tcPr>
      <w:shd w:val="clear" w:color="auto" w:fill="F8F8F8" w:themeFill="accent2" w:themeFillTint="19"/>
    </w:tcPr>
    <w:tblStylePr w:type="firstRow">
      <w:rPr>
        <w:b/>
        <w:bCs/>
      </w:rPr>
      <w:tblPr/>
      <w:tcPr>
        <w:tcBorders>
          <w:top w:val="nil"/>
          <w:left w:val="nil"/>
          <w:bottom w:val="single" w:sz="24" w:space="0" w:color="BBBB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07070" w:themeFill="accent2" w:themeFillShade="99"/>
      </w:tcPr>
    </w:tblStylePr>
    <w:tblStylePr w:type="firstCol">
      <w:rPr>
        <w:color w:val="FFFFFF" w:themeColor="background1"/>
      </w:rPr>
      <w:tblPr/>
      <w:tcPr>
        <w:tcBorders>
          <w:top w:val="nil"/>
          <w:left w:val="nil"/>
          <w:bottom w:val="nil"/>
          <w:right w:val="nil"/>
          <w:insideH w:val="single" w:sz="4" w:space="0" w:color="707070" w:themeColor="accent2" w:themeShade="99"/>
          <w:insideV w:val="nil"/>
        </w:tcBorders>
        <w:shd w:val="clear" w:color="auto" w:fill="70707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07070" w:themeFill="accent2" w:themeFillShade="99"/>
      </w:tcPr>
    </w:tblStylePr>
    <w:tblStylePr w:type="band1Vert">
      <w:tblPr/>
      <w:tcPr>
        <w:shd w:val="clear" w:color="auto" w:fill="E3E3E3" w:themeFill="accent2" w:themeFillTint="66"/>
      </w:tcPr>
    </w:tblStylePr>
    <w:tblStylePr w:type="band1Horz">
      <w:tblPr/>
      <w:tcPr>
        <w:shd w:val="clear" w:color="auto" w:fill="DDDDD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76777B" w:themeColor="accent4"/>
        <w:left w:val="single" w:sz="4" w:space="0" w:color="7FADDC" w:themeColor="accent3"/>
        <w:bottom w:val="single" w:sz="4" w:space="0" w:color="7FADDC" w:themeColor="accent3"/>
        <w:right w:val="single" w:sz="4" w:space="0" w:color="7FADDC" w:themeColor="accent3"/>
        <w:insideH w:val="single" w:sz="4" w:space="0" w:color="FFFFFF" w:themeColor="background1"/>
        <w:insideV w:val="single" w:sz="4" w:space="0" w:color="FFFFFF" w:themeColor="background1"/>
      </w:tblBorders>
    </w:tblPr>
    <w:tcPr>
      <w:shd w:val="clear" w:color="auto" w:fill="F2F6FB" w:themeFill="accent3" w:themeFillTint="19"/>
    </w:tcPr>
    <w:tblStylePr w:type="firstRow">
      <w:rPr>
        <w:b/>
        <w:bCs/>
      </w:rPr>
      <w:tblPr/>
      <w:tcPr>
        <w:tcBorders>
          <w:top w:val="nil"/>
          <w:left w:val="nil"/>
          <w:bottom w:val="single" w:sz="24" w:space="0" w:color="76777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67A3" w:themeFill="accent3" w:themeFillShade="99"/>
      </w:tcPr>
    </w:tblStylePr>
    <w:tblStylePr w:type="firstCol">
      <w:rPr>
        <w:color w:val="FFFFFF" w:themeColor="background1"/>
      </w:rPr>
      <w:tblPr/>
      <w:tcPr>
        <w:tcBorders>
          <w:top w:val="nil"/>
          <w:left w:val="nil"/>
          <w:bottom w:val="nil"/>
          <w:right w:val="nil"/>
          <w:insideH w:val="single" w:sz="4" w:space="0" w:color="2C67A3" w:themeColor="accent3" w:themeShade="99"/>
          <w:insideV w:val="nil"/>
        </w:tcBorders>
        <w:shd w:val="clear" w:color="auto" w:fill="2C67A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C67A3" w:themeFill="accent3" w:themeFillShade="99"/>
      </w:tcPr>
    </w:tblStylePr>
    <w:tblStylePr w:type="band1Vert">
      <w:tblPr/>
      <w:tcPr>
        <w:shd w:val="clear" w:color="auto" w:fill="CBDEF1" w:themeFill="accent3" w:themeFillTint="66"/>
      </w:tcPr>
    </w:tblStylePr>
    <w:tblStylePr w:type="band1Horz">
      <w:tblPr/>
      <w:tcPr>
        <w:shd w:val="clear" w:color="auto" w:fill="BFD6ED" w:themeFill="accent3" w:themeFillTint="7F"/>
      </w:tcPr>
    </w:tblStylePr>
  </w:style>
  <w:style w:type="table" w:styleId="ColorfulShading-Accent4">
    <w:name w:val="Colorful Shading Accent 4"/>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7FADDC" w:themeColor="accent3"/>
        <w:left w:val="single" w:sz="4" w:space="0" w:color="76777B" w:themeColor="accent4"/>
        <w:bottom w:val="single" w:sz="4" w:space="0" w:color="76777B" w:themeColor="accent4"/>
        <w:right w:val="single" w:sz="4" w:space="0" w:color="76777B" w:themeColor="accent4"/>
        <w:insideH w:val="single" w:sz="4" w:space="0" w:color="FFFFFF" w:themeColor="background1"/>
        <w:insideV w:val="single" w:sz="4" w:space="0" w:color="FFFFFF" w:themeColor="background1"/>
      </w:tblBorders>
    </w:tblPr>
    <w:tcPr>
      <w:shd w:val="clear" w:color="auto" w:fill="F1F1F2" w:themeFill="accent4" w:themeFillTint="19"/>
    </w:tcPr>
    <w:tblStylePr w:type="firstRow">
      <w:rPr>
        <w:b/>
        <w:bCs/>
      </w:rPr>
      <w:tblPr/>
      <w:tcPr>
        <w:tcBorders>
          <w:top w:val="nil"/>
          <w:left w:val="nil"/>
          <w:bottom w:val="single" w:sz="24" w:space="0" w:color="7FADD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4749" w:themeFill="accent4" w:themeFillShade="99"/>
      </w:tcPr>
    </w:tblStylePr>
    <w:tblStylePr w:type="firstCol">
      <w:rPr>
        <w:color w:val="FFFFFF" w:themeColor="background1"/>
      </w:rPr>
      <w:tblPr/>
      <w:tcPr>
        <w:tcBorders>
          <w:top w:val="nil"/>
          <w:left w:val="nil"/>
          <w:bottom w:val="nil"/>
          <w:right w:val="nil"/>
          <w:insideH w:val="single" w:sz="4" w:space="0" w:color="464749" w:themeColor="accent4" w:themeShade="99"/>
          <w:insideV w:val="nil"/>
        </w:tcBorders>
        <w:shd w:val="clear" w:color="auto" w:fill="46474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64749" w:themeFill="accent4" w:themeFillShade="99"/>
      </w:tcPr>
    </w:tblStylePr>
    <w:tblStylePr w:type="band1Vert">
      <w:tblPr/>
      <w:tcPr>
        <w:shd w:val="clear" w:color="auto" w:fill="C8C8CA" w:themeFill="accent4" w:themeFillTint="66"/>
      </w:tcPr>
    </w:tblStylePr>
    <w:tblStylePr w:type="band1Horz">
      <w:tblPr/>
      <w:tcPr>
        <w:shd w:val="clear" w:color="auto" w:fill="BABBB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BFD6ED" w:themeColor="accent6"/>
        <w:left w:val="single" w:sz="4" w:space="0" w:color="111821" w:themeColor="accent5"/>
        <w:bottom w:val="single" w:sz="4" w:space="0" w:color="111821" w:themeColor="accent5"/>
        <w:right w:val="single" w:sz="4" w:space="0" w:color="111821" w:themeColor="accent5"/>
        <w:insideH w:val="single" w:sz="4" w:space="0" w:color="FFFFFF" w:themeColor="background1"/>
        <w:insideV w:val="single" w:sz="4" w:space="0" w:color="FFFFFF" w:themeColor="background1"/>
      </w:tblBorders>
    </w:tblPr>
    <w:tcPr>
      <w:shd w:val="clear" w:color="auto" w:fill="E1E7EF" w:themeFill="accent5" w:themeFillTint="19"/>
    </w:tcPr>
    <w:tblStylePr w:type="firstRow">
      <w:rPr>
        <w:b/>
        <w:bCs/>
      </w:rPr>
      <w:tblPr/>
      <w:tcPr>
        <w:tcBorders>
          <w:top w:val="nil"/>
          <w:left w:val="nil"/>
          <w:bottom w:val="single" w:sz="24" w:space="0" w:color="BFD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E13" w:themeFill="accent5" w:themeFillShade="99"/>
      </w:tcPr>
    </w:tblStylePr>
    <w:tblStylePr w:type="firstCol">
      <w:rPr>
        <w:color w:val="FFFFFF" w:themeColor="background1"/>
      </w:rPr>
      <w:tblPr/>
      <w:tcPr>
        <w:tcBorders>
          <w:top w:val="nil"/>
          <w:left w:val="nil"/>
          <w:bottom w:val="nil"/>
          <w:right w:val="nil"/>
          <w:insideH w:val="single" w:sz="4" w:space="0" w:color="0A0E13" w:themeColor="accent5" w:themeShade="99"/>
          <w:insideV w:val="nil"/>
        </w:tcBorders>
        <w:shd w:val="clear" w:color="auto" w:fill="0A0E1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A0E13" w:themeFill="accent5" w:themeFillShade="99"/>
      </w:tcPr>
    </w:tblStylePr>
    <w:tblStylePr w:type="band1Vert">
      <w:tblPr/>
      <w:tcPr>
        <w:shd w:val="clear" w:color="auto" w:fill="859FC0" w:themeFill="accent5" w:themeFillTint="66"/>
      </w:tcPr>
    </w:tblStylePr>
    <w:tblStylePr w:type="band1Horz">
      <w:tblPr/>
      <w:tcPr>
        <w:shd w:val="clear" w:color="auto" w:fill="6787B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911DE3"/>
    <w:pPr>
      <w:spacing w:line="240" w:lineRule="auto"/>
    </w:pPr>
    <w:rPr>
      <w:color w:val="000000" w:themeColor="text1"/>
    </w:rPr>
    <w:tblPr>
      <w:tblStyleRowBandSize w:val="1"/>
      <w:tblStyleColBandSize w:val="1"/>
      <w:tblBorders>
        <w:top w:val="single" w:sz="24" w:space="0" w:color="111821" w:themeColor="accent5"/>
        <w:left w:val="single" w:sz="4" w:space="0" w:color="BFD6ED" w:themeColor="accent6"/>
        <w:bottom w:val="single" w:sz="4" w:space="0" w:color="BFD6ED" w:themeColor="accent6"/>
        <w:right w:val="single" w:sz="4" w:space="0" w:color="BFD6ED" w:themeColor="accent6"/>
        <w:insideH w:val="single" w:sz="4" w:space="0" w:color="FFFFFF" w:themeColor="background1"/>
        <w:insideV w:val="single" w:sz="4" w:space="0" w:color="FFFFFF" w:themeColor="background1"/>
      </w:tblBorders>
    </w:tblPr>
    <w:tcPr>
      <w:shd w:val="clear" w:color="auto" w:fill="F8FAFD" w:themeFill="accent6" w:themeFillTint="19"/>
    </w:tcPr>
    <w:tblStylePr w:type="firstRow">
      <w:rPr>
        <w:b/>
        <w:bCs/>
      </w:rPr>
      <w:tblPr/>
      <w:tcPr>
        <w:tcBorders>
          <w:top w:val="nil"/>
          <w:left w:val="nil"/>
          <w:bottom w:val="single" w:sz="24" w:space="0" w:color="11182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80C7" w:themeFill="accent6" w:themeFillShade="99"/>
      </w:tcPr>
    </w:tblStylePr>
    <w:tblStylePr w:type="firstCol">
      <w:rPr>
        <w:color w:val="FFFFFF" w:themeColor="background1"/>
      </w:rPr>
      <w:tblPr/>
      <w:tcPr>
        <w:tcBorders>
          <w:top w:val="nil"/>
          <w:left w:val="nil"/>
          <w:bottom w:val="nil"/>
          <w:right w:val="nil"/>
          <w:insideH w:val="single" w:sz="4" w:space="0" w:color="3980C7" w:themeColor="accent6" w:themeShade="99"/>
          <w:insideV w:val="nil"/>
        </w:tcBorders>
        <w:shd w:val="clear" w:color="auto" w:fill="3980C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980C7" w:themeFill="accent6" w:themeFillShade="99"/>
      </w:tcPr>
    </w:tblStylePr>
    <w:tblStylePr w:type="band1Vert">
      <w:tblPr/>
      <w:tcPr>
        <w:shd w:val="clear" w:color="auto" w:fill="E5EEF7" w:themeFill="accent6" w:themeFillTint="66"/>
      </w:tcPr>
    </w:tblStylePr>
    <w:tblStylePr w:type="band1Horz">
      <w:tblPr/>
      <w:tcPr>
        <w:shd w:val="clear" w:color="auto" w:fill="DFEAF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11DE3"/>
    <w:rPr>
      <w:sz w:val="16"/>
      <w:szCs w:val="16"/>
    </w:rPr>
  </w:style>
  <w:style w:type="paragraph" w:styleId="CommentText">
    <w:name w:val="annotation text"/>
    <w:basedOn w:val="Normal"/>
    <w:link w:val="CommentTextChar"/>
    <w:uiPriority w:val="99"/>
    <w:semiHidden/>
    <w:rsid w:val="00911DE3"/>
  </w:style>
  <w:style w:type="character" w:customStyle="1" w:styleId="CommentTextChar">
    <w:name w:val="Comment Text Char"/>
    <w:basedOn w:val="DefaultParagraphFont"/>
    <w:link w:val="CommentText"/>
    <w:uiPriority w:val="99"/>
    <w:semiHidden/>
    <w:rsid w:val="00911DE3"/>
    <w:rPr>
      <w:rFonts w:asciiTheme="minorHAnsi" w:eastAsia="Trebuchet MS" w:hAnsiTheme="minorHAnsi" w:cs="Trebuchet MS"/>
      <w:color w:val="000000"/>
      <w:lang w:val="en-US"/>
    </w:rPr>
  </w:style>
  <w:style w:type="paragraph" w:styleId="CommentSubject">
    <w:name w:val="annotation subject"/>
    <w:basedOn w:val="CommentText"/>
    <w:next w:val="CommentText"/>
    <w:link w:val="CommentSubjectChar"/>
    <w:uiPriority w:val="99"/>
    <w:semiHidden/>
    <w:rsid w:val="00911DE3"/>
    <w:rPr>
      <w:b/>
      <w:bCs/>
    </w:rPr>
  </w:style>
  <w:style w:type="character" w:customStyle="1" w:styleId="CommentSubjectChar">
    <w:name w:val="Comment Subject Char"/>
    <w:basedOn w:val="CommentTextChar"/>
    <w:link w:val="CommentSubject"/>
    <w:uiPriority w:val="99"/>
    <w:semiHidden/>
    <w:rsid w:val="00911DE3"/>
    <w:rPr>
      <w:rFonts w:asciiTheme="minorHAnsi" w:eastAsia="Trebuchet MS" w:hAnsiTheme="minorHAnsi" w:cs="Trebuchet MS"/>
      <w:b/>
      <w:bCs/>
      <w:color w:val="000000"/>
      <w:lang w:val="en-US"/>
    </w:rPr>
  </w:style>
  <w:style w:type="table" w:styleId="DarkList">
    <w:name w:val="Dark List"/>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005CB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D5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48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48A" w:themeFill="accent1" w:themeFillShade="BF"/>
      </w:tcPr>
    </w:tblStylePr>
    <w:tblStylePr w:type="band1Vert">
      <w:tblPr/>
      <w:tcPr>
        <w:tcBorders>
          <w:top w:val="nil"/>
          <w:left w:val="nil"/>
          <w:bottom w:val="nil"/>
          <w:right w:val="nil"/>
          <w:insideH w:val="nil"/>
          <w:insideV w:val="nil"/>
        </w:tcBorders>
        <w:shd w:val="clear" w:color="auto" w:fill="00448A" w:themeFill="accent1" w:themeFillShade="BF"/>
      </w:tcPr>
    </w:tblStylePr>
    <w:tblStylePr w:type="band1Horz">
      <w:tblPr/>
      <w:tcPr>
        <w:tcBorders>
          <w:top w:val="nil"/>
          <w:left w:val="nil"/>
          <w:bottom w:val="nil"/>
          <w:right w:val="nil"/>
          <w:insideH w:val="nil"/>
          <w:insideV w:val="nil"/>
        </w:tcBorders>
        <w:shd w:val="clear" w:color="auto" w:fill="00448A" w:themeFill="accent1" w:themeFillShade="BF"/>
      </w:tcPr>
    </w:tblStylePr>
  </w:style>
  <w:style w:type="table" w:styleId="DarkList-Accent2">
    <w:name w:val="Dark List Accent 2"/>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BBBBB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D5D5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C8C8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C8C8C" w:themeFill="accent2" w:themeFillShade="BF"/>
      </w:tcPr>
    </w:tblStylePr>
    <w:tblStylePr w:type="band1Vert">
      <w:tblPr/>
      <w:tcPr>
        <w:tcBorders>
          <w:top w:val="nil"/>
          <w:left w:val="nil"/>
          <w:bottom w:val="nil"/>
          <w:right w:val="nil"/>
          <w:insideH w:val="nil"/>
          <w:insideV w:val="nil"/>
        </w:tcBorders>
        <w:shd w:val="clear" w:color="auto" w:fill="8C8C8C" w:themeFill="accent2" w:themeFillShade="BF"/>
      </w:tcPr>
    </w:tblStylePr>
    <w:tblStylePr w:type="band1Horz">
      <w:tblPr/>
      <w:tcPr>
        <w:tcBorders>
          <w:top w:val="nil"/>
          <w:left w:val="nil"/>
          <w:bottom w:val="nil"/>
          <w:right w:val="nil"/>
          <w:insideH w:val="nil"/>
          <w:insideV w:val="nil"/>
        </w:tcBorders>
        <w:shd w:val="clear" w:color="auto" w:fill="8C8C8C" w:themeFill="accent2" w:themeFillShade="BF"/>
      </w:tcPr>
    </w:tblStylePr>
  </w:style>
  <w:style w:type="table" w:styleId="DarkList-Accent3">
    <w:name w:val="Dark List Accent 3"/>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7FADD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558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80C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80C9" w:themeFill="accent3" w:themeFillShade="BF"/>
      </w:tcPr>
    </w:tblStylePr>
    <w:tblStylePr w:type="band1Vert">
      <w:tblPr/>
      <w:tcPr>
        <w:tcBorders>
          <w:top w:val="nil"/>
          <w:left w:val="nil"/>
          <w:bottom w:val="nil"/>
          <w:right w:val="nil"/>
          <w:insideH w:val="nil"/>
          <w:insideV w:val="nil"/>
        </w:tcBorders>
        <w:shd w:val="clear" w:color="auto" w:fill="3A80C9" w:themeFill="accent3" w:themeFillShade="BF"/>
      </w:tcPr>
    </w:tblStylePr>
    <w:tblStylePr w:type="band1Horz">
      <w:tblPr/>
      <w:tcPr>
        <w:tcBorders>
          <w:top w:val="nil"/>
          <w:left w:val="nil"/>
          <w:bottom w:val="nil"/>
          <w:right w:val="nil"/>
          <w:insideH w:val="nil"/>
          <w:insideV w:val="nil"/>
        </w:tcBorders>
        <w:shd w:val="clear" w:color="auto" w:fill="3A80C9" w:themeFill="accent3" w:themeFillShade="BF"/>
      </w:tcPr>
    </w:tblStylePr>
  </w:style>
  <w:style w:type="table" w:styleId="DarkList-Accent4">
    <w:name w:val="Dark List Accent 4"/>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76777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3B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8595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8595B" w:themeFill="accent4" w:themeFillShade="BF"/>
      </w:tcPr>
    </w:tblStylePr>
    <w:tblStylePr w:type="band1Vert">
      <w:tblPr/>
      <w:tcPr>
        <w:tcBorders>
          <w:top w:val="nil"/>
          <w:left w:val="nil"/>
          <w:bottom w:val="nil"/>
          <w:right w:val="nil"/>
          <w:insideH w:val="nil"/>
          <w:insideV w:val="nil"/>
        </w:tcBorders>
        <w:shd w:val="clear" w:color="auto" w:fill="58595B" w:themeFill="accent4" w:themeFillShade="BF"/>
      </w:tcPr>
    </w:tblStylePr>
    <w:tblStylePr w:type="band1Horz">
      <w:tblPr/>
      <w:tcPr>
        <w:tcBorders>
          <w:top w:val="nil"/>
          <w:left w:val="nil"/>
          <w:bottom w:val="nil"/>
          <w:right w:val="nil"/>
          <w:insideH w:val="nil"/>
          <w:insideV w:val="nil"/>
        </w:tcBorders>
        <w:shd w:val="clear" w:color="auto" w:fill="58595B" w:themeFill="accent4" w:themeFillShade="BF"/>
      </w:tcPr>
    </w:tblStylePr>
  </w:style>
  <w:style w:type="table" w:styleId="DarkList-Accent5">
    <w:name w:val="Dark List Accent 5"/>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11182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0B1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C111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C1118" w:themeFill="accent5" w:themeFillShade="BF"/>
      </w:tcPr>
    </w:tblStylePr>
    <w:tblStylePr w:type="band1Vert">
      <w:tblPr/>
      <w:tcPr>
        <w:tcBorders>
          <w:top w:val="nil"/>
          <w:left w:val="nil"/>
          <w:bottom w:val="nil"/>
          <w:right w:val="nil"/>
          <w:insideH w:val="nil"/>
          <w:insideV w:val="nil"/>
        </w:tcBorders>
        <w:shd w:val="clear" w:color="auto" w:fill="0C1118" w:themeFill="accent5" w:themeFillShade="BF"/>
      </w:tcPr>
    </w:tblStylePr>
    <w:tblStylePr w:type="band1Horz">
      <w:tblPr/>
      <w:tcPr>
        <w:tcBorders>
          <w:top w:val="nil"/>
          <w:left w:val="nil"/>
          <w:bottom w:val="nil"/>
          <w:right w:val="nil"/>
          <w:insideH w:val="nil"/>
          <w:insideV w:val="nil"/>
        </w:tcBorders>
        <w:shd w:val="clear" w:color="auto" w:fill="0C1118" w:themeFill="accent5" w:themeFillShade="BF"/>
      </w:tcPr>
    </w:tblStylePr>
  </w:style>
  <w:style w:type="table" w:styleId="DarkList-Accent6">
    <w:name w:val="Dark List Accent 6"/>
    <w:basedOn w:val="TableNormal"/>
    <w:uiPriority w:val="99"/>
    <w:semiHidden/>
    <w:unhideWhenUsed/>
    <w:rsid w:val="00911DE3"/>
    <w:pPr>
      <w:spacing w:line="240" w:lineRule="auto"/>
    </w:pPr>
    <w:rPr>
      <w:color w:val="FFFFFF" w:themeColor="background1"/>
    </w:rPr>
    <w:tblPr>
      <w:tblStyleRowBandSize w:val="1"/>
      <w:tblStyleColBandSize w:val="1"/>
    </w:tblPr>
    <w:tcPr>
      <w:shd w:val="clear" w:color="auto" w:fill="BFD6E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AA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A9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A9FD5" w:themeFill="accent6" w:themeFillShade="BF"/>
      </w:tcPr>
    </w:tblStylePr>
    <w:tblStylePr w:type="band1Vert">
      <w:tblPr/>
      <w:tcPr>
        <w:tcBorders>
          <w:top w:val="nil"/>
          <w:left w:val="nil"/>
          <w:bottom w:val="nil"/>
          <w:right w:val="nil"/>
          <w:insideH w:val="nil"/>
          <w:insideV w:val="nil"/>
        </w:tcBorders>
        <w:shd w:val="clear" w:color="auto" w:fill="6A9FD5" w:themeFill="accent6" w:themeFillShade="BF"/>
      </w:tcPr>
    </w:tblStylePr>
    <w:tblStylePr w:type="band1Horz">
      <w:tblPr/>
      <w:tcPr>
        <w:tcBorders>
          <w:top w:val="nil"/>
          <w:left w:val="nil"/>
          <w:bottom w:val="nil"/>
          <w:right w:val="nil"/>
          <w:insideH w:val="nil"/>
          <w:insideV w:val="nil"/>
        </w:tcBorders>
        <w:shd w:val="clear" w:color="auto" w:fill="6A9FD5" w:themeFill="accent6" w:themeFillShade="BF"/>
      </w:tcPr>
    </w:tblStylePr>
  </w:style>
  <w:style w:type="paragraph" w:styleId="Date">
    <w:name w:val="Date"/>
    <w:basedOn w:val="Normal"/>
    <w:next w:val="Normal"/>
    <w:link w:val="DateChar"/>
    <w:uiPriority w:val="99"/>
    <w:semiHidden/>
    <w:rsid w:val="00911DE3"/>
  </w:style>
  <w:style w:type="character" w:customStyle="1" w:styleId="DateChar">
    <w:name w:val="Date Char"/>
    <w:basedOn w:val="DefaultParagraphFont"/>
    <w:link w:val="Date"/>
    <w:uiPriority w:val="99"/>
    <w:semiHidden/>
    <w:rsid w:val="00911DE3"/>
  </w:style>
  <w:style w:type="paragraph" w:styleId="DocumentMap">
    <w:name w:val="Document Map"/>
    <w:basedOn w:val="Normal"/>
    <w:link w:val="DocumentMapChar"/>
    <w:uiPriority w:val="99"/>
    <w:semiHidden/>
    <w:rsid w:val="00911DE3"/>
    <w:rPr>
      <w:rFonts w:cs="Arial"/>
      <w:sz w:val="16"/>
      <w:szCs w:val="16"/>
    </w:rPr>
  </w:style>
  <w:style w:type="character" w:customStyle="1" w:styleId="DocumentMapChar">
    <w:name w:val="Document Map Char"/>
    <w:basedOn w:val="DefaultParagraphFont"/>
    <w:link w:val="DocumentMap"/>
    <w:uiPriority w:val="99"/>
    <w:semiHidden/>
    <w:rsid w:val="00911DE3"/>
    <w:rPr>
      <w:rFonts w:asciiTheme="minorHAnsi" w:eastAsia="Trebuchet MS" w:hAnsiTheme="minorHAnsi" w:cs="Arial"/>
      <w:color w:val="000000"/>
      <w:sz w:val="16"/>
      <w:szCs w:val="16"/>
      <w:lang w:val="en-US"/>
    </w:rPr>
  </w:style>
  <w:style w:type="paragraph" w:styleId="E-mailSignature">
    <w:name w:val="E-mail Signature"/>
    <w:basedOn w:val="Normal"/>
    <w:link w:val="E-mailSignatureChar"/>
    <w:uiPriority w:val="99"/>
    <w:semiHidden/>
    <w:rsid w:val="00911DE3"/>
  </w:style>
  <w:style w:type="character" w:customStyle="1" w:styleId="E-mailSignatureChar">
    <w:name w:val="E-mail Signature Char"/>
    <w:basedOn w:val="DefaultParagraphFont"/>
    <w:link w:val="E-mailSignature"/>
    <w:uiPriority w:val="99"/>
    <w:semiHidden/>
    <w:rsid w:val="00911DE3"/>
    <w:rPr>
      <w:rFonts w:asciiTheme="minorHAnsi" w:eastAsia="Trebuchet MS" w:hAnsiTheme="minorHAnsi" w:cs="Trebuchet MS"/>
      <w:color w:val="000000"/>
      <w:lang w:val="en-US"/>
    </w:rPr>
  </w:style>
  <w:style w:type="character" w:styleId="Emphasis">
    <w:name w:val="Emphasis"/>
    <w:basedOn w:val="DefaultParagraphFont"/>
    <w:uiPriority w:val="8"/>
    <w:semiHidden/>
    <w:rsid w:val="00911DE3"/>
    <w:rPr>
      <w:i/>
      <w:iCs/>
    </w:rPr>
  </w:style>
  <w:style w:type="character" w:styleId="EndnoteReference">
    <w:name w:val="endnote reference"/>
    <w:basedOn w:val="DefaultParagraphFont"/>
    <w:uiPriority w:val="13"/>
    <w:semiHidden/>
    <w:rsid w:val="00911DE3"/>
    <w:rPr>
      <w:vertAlign w:val="superscript"/>
    </w:rPr>
  </w:style>
  <w:style w:type="paragraph" w:styleId="EndnoteText">
    <w:name w:val="endnote text"/>
    <w:basedOn w:val="Normal"/>
    <w:link w:val="EndnoteTextChar"/>
    <w:uiPriority w:val="13"/>
    <w:semiHidden/>
    <w:qFormat/>
    <w:rsid w:val="006F0B93"/>
    <w:pPr>
      <w:ind w:left="113" w:hanging="113"/>
    </w:pPr>
  </w:style>
  <w:style w:type="character" w:customStyle="1" w:styleId="EndnoteTextChar">
    <w:name w:val="Endnote Text Char"/>
    <w:basedOn w:val="DefaultParagraphFont"/>
    <w:link w:val="EndnoteText"/>
    <w:uiPriority w:val="13"/>
    <w:semiHidden/>
    <w:rsid w:val="006F0B93"/>
    <w:rPr>
      <w:rFonts w:asciiTheme="minorHAnsi" w:eastAsia="Trebuchet MS" w:hAnsiTheme="minorHAnsi" w:cs="Trebuchet MS"/>
      <w:color w:val="000000"/>
      <w:lang w:val="en-US"/>
    </w:rPr>
  </w:style>
  <w:style w:type="paragraph" w:styleId="EnvelopeAddress">
    <w:name w:val="envelope address"/>
    <w:basedOn w:val="Normal"/>
    <w:uiPriority w:val="99"/>
    <w:semiHidden/>
    <w:rsid w:val="00911DE3"/>
    <w:pPr>
      <w:framePr w:w="7920" w:h="1980" w:hRule="exact" w:hSpace="141" w:wrap="auto" w:hAnchor="page" w:xAlign="center" w:yAlign="bottom"/>
      <w:ind w:left="2880"/>
    </w:pPr>
    <w:rPr>
      <w:rFonts w:eastAsiaTheme="majorEastAsia" w:cs="Arial"/>
      <w:sz w:val="24"/>
      <w:szCs w:val="24"/>
    </w:rPr>
  </w:style>
  <w:style w:type="paragraph" w:styleId="EnvelopeReturn">
    <w:name w:val="envelope return"/>
    <w:basedOn w:val="Normal"/>
    <w:uiPriority w:val="99"/>
    <w:semiHidden/>
    <w:rsid w:val="00911DE3"/>
    <w:rPr>
      <w:rFonts w:eastAsiaTheme="majorEastAsia" w:cs="Arial"/>
    </w:rPr>
  </w:style>
  <w:style w:type="character" w:styleId="FollowedHyperlink">
    <w:name w:val="FollowedHyperlink"/>
    <w:basedOn w:val="DefaultParagraphFont"/>
    <w:uiPriority w:val="14"/>
    <w:semiHidden/>
    <w:rsid w:val="00911DE3"/>
    <w:rPr>
      <w:color w:val="954F72" w:themeColor="followedHyperlink"/>
      <w:u w:val="single"/>
    </w:rPr>
  </w:style>
  <w:style w:type="paragraph" w:styleId="Footer">
    <w:name w:val="footer"/>
    <w:basedOn w:val="Normal"/>
    <w:link w:val="FooterChar"/>
    <w:uiPriority w:val="99"/>
    <w:rsid w:val="00C26C62"/>
    <w:pPr>
      <w:spacing w:line="200" w:lineRule="atLeast"/>
    </w:pPr>
    <w:rPr>
      <w:sz w:val="16"/>
    </w:rPr>
  </w:style>
  <w:style w:type="character" w:customStyle="1" w:styleId="FooterChar">
    <w:name w:val="Footer Char"/>
    <w:basedOn w:val="DefaultParagraphFont"/>
    <w:link w:val="Footer"/>
    <w:uiPriority w:val="99"/>
    <w:rsid w:val="00C26C62"/>
    <w:rPr>
      <w:sz w:val="16"/>
    </w:rPr>
  </w:style>
  <w:style w:type="character" w:styleId="FootnoteReference">
    <w:name w:val="footnote reference"/>
    <w:basedOn w:val="DefaultParagraphFont"/>
    <w:uiPriority w:val="99"/>
    <w:semiHidden/>
    <w:rsid w:val="00911DE3"/>
    <w:rPr>
      <w:vertAlign w:val="superscript"/>
    </w:rPr>
  </w:style>
  <w:style w:type="paragraph" w:styleId="FootnoteText">
    <w:name w:val="footnote text"/>
    <w:basedOn w:val="Normal"/>
    <w:link w:val="FootnoteTextChar"/>
    <w:uiPriority w:val="99"/>
    <w:semiHidden/>
    <w:rsid w:val="00847018"/>
    <w:pPr>
      <w:spacing w:line="160" w:lineRule="atLeast"/>
      <w:ind w:left="113" w:hanging="113"/>
    </w:pPr>
    <w:rPr>
      <w:sz w:val="12"/>
    </w:rPr>
  </w:style>
  <w:style w:type="character" w:customStyle="1" w:styleId="FootnoteTextChar">
    <w:name w:val="Footnote Text Char"/>
    <w:basedOn w:val="DefaultParagraphFont"/>
    <w:link w:val="FootnoteText"/>
    <w:uiPriority w:val="99"/>
    <w:semiHidden/>
    <w:rsid w:val="00847018"/>
    <w:rPr>
      <w:sz w:val="12"/>
      <w:lang w:val="en-US"/>
    </w:rPr>
  </w:style>
  <w:style w:type="table" w:styleId="GridTable1Light">
    <w:name w:val="Grid Table 1 Light"/>
    <w:basedOn w:val="TableNormal"/>
    <w:uiPriority w:val="99"/>
    <w:rsid w:val="00911DE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911DE3"/>
    <w:pPr>
      <w:spacing w:line="240" w:lineRule="auto"/>
    </w:pPr>
    <w:tblPr>
      <w:tblStyleRowBandSize w:val="1"/>
      <w:tblStyleColBandSize w:val="1"/>
      <w:tblBorders>
        <w:top w:val="single" w:sz="4" w:space="0" w:color="7DBDFF" w:themeColor="accent1" w:themeTint="66"/>
        <w:left w:val="single" w:sz="4" w:space="0" w:color="7DBDFF" w:themeColor="accent1" w:themeTint="66"/>
        <w:bottom w:val="single" w:sz="4" w:space="0" w:color="7DBDFF" w:themeColor="accent1" w:themeTint="66"/>
        <w:right w:val="single" w:sz="4" w:space="0" w:color="7DBDFF" w:themeColor="accent1" w:themeTint="66"/>
        <w:insideH w:val="single" w:sz="4" w:space="0" w:color="7DBDFF" w:themeColor="accent1" w:themeTint="66"/>
        <w:insideV w:val="single" w:sz="4" w:space="0" w:color="7DBDFF" w:themeColor="accent1" w:themeTint="66"/>
      </w:tblBorders>
    </w:tblPr>
    <w:tblStylePr w:type="firstRow">
      <w:rPr>
        <w:b/>
        <w:bCs/>
      </w:rPr>
      <w:tblPr/>
      <w:tcPr>
        <w:tcBorders>
          <w:bottom w:val="single" w:sz="12" w:space="0" w:color="3C9CFF" w:themeColor="accent1" w:themeTint="99"/>
        </w:tcBorders>
      </w:tcPr>
    </w:tblStylePr>
    <w:tblStylePr w:type="lastRow">
      <w:rPr>
        <w:b/>
        <w:bCs/>
      </w:rPr>
      <w:tblPr/>
      <w:tcPr>
        <w:tcBorders>
          <w:top w:val="double" w:sz="2" w:space="0" w:color="3C9C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911DE3"/>
    <w:pPr>
      <w:spacing w:line="240" w:lineRule="auto"/>
    </w:pPr>
    <w:tblPr>
      <w:tblStyleRowBandSize w:val="1"/>
      <w:tblStyleColBandSize w:val="1"/>
      <w:tblBorders>
        <w:top w:val="single" w:sz="4" w:space="0" w:color="E3E3E3" w:themeColor="accent2" w:themeTint="66"/>
        <w:left w:val="single" w:sz="4" w:space="0" w:color="E3E3E3" w:themeColor="accent2" w:themeTint="66"/>
        <w:bottom w:val="single" w:sz="4" w:space="0" w:color="E3E3E3" w:themeColor="accent2" w:themeTint="66"/>
        <w:right w:val="single" w:sz="4" w:space="0" w:color="E3E3E3" w:themeColor="accent2" w:themeTint="66"/>
        <w:insideH w:val="single" w:sz="4" w:space="0" w:color="E3E3E3" w:themeColor="accent2" w:themeTint="66"/>
        <w:insideV w:val="single" w:sz="4" w:space="0" w:color="E3E3E3" w:themeColor="accent2" w:themeTint="66"/>
      </w:tblBorders>
    </w:tblPr>
    <w:tblStylePr w:type="firstRow">
      <w:rPr>
        <w:b/>
        <w:bCs/>
      </w:rPr>
      <w:tblPr/>
      <w:tcPr>
        <w:tcBorders>
          <w:bottom w:val="single" w:sz="12" w:space="0" w:color="D6D6D6" w:themeColor="accent2" w:themeTint="99"/>
        </w:tcBorders>
      </w:tcPr>
    </w:tblStylePr>
    <w:tblStylePr w:type="lastRow">
      <w:rPr>
        <w:b/>
        <w:bCs/>
      </w:rPr>
      <w:tblPr/>
      <w:tcPr>
        <w:tcBorders>
          <w:top w:val="double" w:sz="2" w:space="0" w:color="D6D6D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911DE3"/>
    <w:pPr>
      <w:spacing w:line="240" w:lineRule="auto"/>
    </w:pPr>
    <w:tblPr>
      <w:tblStyleRowBandSize w:val="1"/>
      <w:tblStyleColBandSize w:val="1"/>
      <w:tblBorders>
        <w:top w:val="single" w:sz="4" w:space="0" w:color="CBDEF1" w:themeColor="accent3" w:themeTint="66"/>
        <w:left w:val="single" w:sz="4" w:space="0" w:color="CBDEF1" w:themeColor="accent3" w:themeTint="66"/>
        <w:bottom w:val="single" w:sz="4" w:space="0" w:color="CBDEF1" w:themeColor="accent3" w:themeTint="66"/>
        <w:right w:val="single" w:sz="4" w:space="0" w:color="CBDEF1" w:themeColor="accent3" w:themeTint="66"/>
        <w:insideH w:val="single" w:sz="4" w:space="0" w:color="CBDEF1" w:themeColor="accent3" w:themeTint="66"/>
        <w:insideV w:val="single" w:sz="4" w:space="0" w:color="CBDEF1" w:themeColor="accent3" w:themeTint="66"/>
      </w:tblBorders>
    </w:tblPr>
    <w:tblStylePr w:type="firstRow">
      <w:rPr>
        <w:b/>
        <w:bCs/>
      </w:rPr>
      <w:tblPr/>
      <w:tcPr>
        <w:tcBorders>
          <w:bottom w:val="single" w:sz="12" w:space="0" w:color="B2CDEA" w:themeColor="accent3" w:themeTint="99"/>
        </w:tcBorders>
      </w:tcPr>
    </w:tblStylePr>
    <w:tblStylePr w:type="lastRow">
      <w:rPr>
        <w:b/>
        <w:bCs/>
      </w:rPr>
      <w:tblPr/>
      <w:tcPr>
        <w:tcBorders>
          <w:top w:val="double" w:sz="2" w:space="0" w:color="B2CD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911DE3"/>
    <w:pPr>
      <w:spacing w:line="240" w:lineRule="auto"/>
    </w:pPr>
    <w:tblPr>
      <w:tblStyleRowBandSize w:val="1"/>
      <w:tblStyleColBandSize w:val="1"/>
      <w:tblBorders>
        <w:top w:val="single" w:sz="4" w:space="0" w:color="C8C8CA" w:themeColor="accent4" w:themeTint="66"/>
        <w:left w:val="single" w:sz="4" w:space="0" w:color="C8C8CA" w:themeColor="accent4" w:themeTint="66"/>
        <w:bottom w:val="single" w:sz="4" w:space="0" w:color="C8C8CA" w:themeColor="accent4" w:themeTint="66"/>
        <w:right w:val="single" w:sz="4" w:space="0" w:color="C8C8CA" w:themeColor="accent4" w:themeTint="66"/>
        <w:insideH w:val="single" w:sz="4" w:space="0" w:color="C8C8CA" w:themeColor="accent4" w:themeTint="66"/>
        <w:insideV w:val="single" w:sz="4" w:space="0" w:color="C8C8CA" w:themeColor="accent4" w:themeTint="66"/>
      </w:tblBorders>
    </w:tblPr>
    <w:tblStylePr w:type="firstRow">
      <w:rPr>
        <w:b/>
        <w:bCs/>
      </w:rPr>
      <w:tblPr/>
      <w:tcPr>
        <w:tcBorders>
          <w:bottom w:val="single" w:sz="12" w:space="0" w:color="ACADAF" w:themeColor="accent4" w:themeTint="99"/>
        </w:tcBorders>
      </w:tcPr>
    </w:tblStylePr>
    <w:tblStylePr w:type="lastRow">
      <w:rPr>
        <w:b/>
        <w:bCs/>
      </w:rPr>
      <w:tblPr/>
      <w:tcPr>
        <w:tcBorders>
          <w:top w:val="double" w:sz="2" w:space="0" w:color="ACADA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911DE3"/>
    <w:pPr>
      <w:spacing w:line="240" w:lineRule="auto"/>
    </w:pPr>
    <w:tblPr>
      <w:tblStyleRowBandSize w:val="1"/>
      <w:tblStyleColBandSize w:val="1"/>
      <w:tblBorders>
        <w:top w:val="single" w:sz="4" w:space="0" w:color="859FC0" w:themeColor="accent5" w:themeTint="66"/>
        <w:left w:val="single" w:sz="4" w:space="0" w:color="859FC0" w:themeColor="accent5" w:themeTint="66"/>
        <w:bottom w:val="single" w:sz="4" w:space="0" w:color="859FC0" w:themeColor="accent5" w:themeTint="66"/>
        <w:right w:val="single" w:sz="4" w:space="0" w:color="859FC0" w:themeColor="accent5" w:themeTint="66"/>
        <w:insideH w:val="single" w:sz="4" w:space="0" w:color="859FC0" w:themeColor="accent5" w:themeTint="66"/>
        <w:insideV w:val="single" w:sz="4" w:space="0" w:color="859FC0" w:themeColor="accent5" w:themeTint="66"/>
      </w:tblBorders>
    </w:tblPr>
    <w:tblStylePr w:type="firstRow">
      <w:rPr>
        <w:b/>
        <w:bCs/>
      </w:rPr>
      <w:tblPr/>
      <w:tcPr>
        <w:tcBorders>
          <w:bottom w:val="single" w:sz="12" w:space="0" w:color="4F709A" w:themeColor="accent5" w:themeTint="99"/>
        </w:tcBorders>
      </w:tcPr>
    </w:tblStylePr>
    <w:tblStylePr w:type="lastRow">
      <w:rPr>
        <w:b/>
        <w:bCs/>
      </w:rPr>
      <w:tblPr/>
      <w:tcPr>
        <w:tcBorders>
          <w:top w:val="double" w:sz="2" w:space="0" w:color="4F709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911DE3"/>
    <w:pPr>
      <w:spacing w:line="240" w:lineRule="auto"/>
    </w:pPr>
    <w:tblPr>
      <w:tblStyleRowBandSize w:val="1"/>
      <w:tblStyleColBandSize w:val="1"/>
      <w:tblBorders>
        <w:top w:val="single" w:sz="4" w:space="0" w:color="E5EEF7" w:themeColor="accent6" w:themeTint="66"/>
        <w:left w:val="single" w:sz="4" w:space="0" w:color="E5EEF7" w:themeColor="accent6" w:themeTint="66"/>
        <w:bottom w:val="single" w:sz="4" w:space="0" w:color="E5EEF7" w:themeColor="accent6" w:themeTint="66"/>
        <w:right w:val="single" w:sz="4" w:space="0" w:color="E5EEF7" w:themeColor="accent6" w:themeTint="66"/>
        <w:insideH w:val="single" w:sz="4" w:space="0" w:color="E5EEF7" w:themeColor="accent6" w:themeTint="66"/>
        <w:insideV w:val="single" w:sz="4" w:space="0" w:color="E5EEF7" w:themeColor="accent6" w:themeTint="66"/>
      </w:tblBorders>
    </w:tblPr>
    <w:tblStylePr w:type="firstRow">
      <w:rPr>
        <w:b/>
        <w:bCs/>
      </w:rPr>
      <w:tblPr/>
      <w:tcPr>
        <w:tcBorders>
          <w:bottom w:val="single" w:sz="12" w:space="0" w:color="D8E6F4" w:themeColor="accent6" w:themeTint="99"/>
        </w:tcBorders>
      </w:tcPr>
    </w:tblStylePr>
    <w:tblStylePr w:type="lastRow">
      <w:rPr>
        <w:b/>
        <w:bCs/>
      </w:rPr>
      <w:tblPr/>
      <w:tcPr>
        <w:tcBorders>
          <w:top w:val="double" w:sz="2" w:space="0" w:color="D8E6F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911DE3"/>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911DE3"/>
    <w:pPr>
      <w:spacing w:line="240" w:lineRule="auto"/>
    </w:pPr>
    <w:tblPr>
      <w:tblStyleRowBandSize w:val="1"/>
      <w:tblStyleColBandSize w:val="1"/>
      <w:tblBorders>
        <w:top w:val="single" w:sz="2" w:space="0" w:color="3C9CFF" w:themeColor="accent1" w:themeTint="99"/>
        <w:bottom w:val="single" w:sz="2" w:space="0" w:color="3C9CFF" w:themeColor="accent1" w:themeTint="99"/>
        <w:insideH w:val="single" w:sz="2" w:space="0" w:color="3C9CFF" w:themeColor="accent1" w:themeTint="99"/>
        <w:insideV w:val="single" w:sz="2" w:space="0" w:color="3C9CFF" w:themeColor="accent1" w:themeTint="99"/>
      </w:tblBorders>
    </w:tblPr>
    <w:tblStylePr w:type="firstRow">
      <w:rPr>
        <w:b/>
        <w:bCs/>
      </w:rPr>
      <w:tblPr/>
      <w:tcPr>
        <w:tcBorders>
          <w:top w:val="nil"/>
          <w:bottom w:val="single" w:sz="12" w:space="0" w:color="3C9CFF" w:themeColor="accent1" w:themeTint="99"/>
          <w:insideH w:val="nil"/>
          <w:insideV w:val="nil"/>
        </w:tcBorders>
        <w:shd w:val="clear" w:color="auto" w:fill="FFFFFF" w:themeFill="background1"/>
      </w:tcPr>
    </w:tblStylePr>
    <w:tblStylePr w:type="lastRow">
      <w:rPr>
        <w:b/>
        <w:bCs/>
      </w:rPr>
      <w:tblPr/>
      <w:tcPr>
        <w:tcBorders>
          <w:top w:val="double" w:sz="2" w:space="0" w:color="3C9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GridTable2-Accent2">
    <w:name w:val="Grid Table 2 Accent 2"/>
    <w:basedOn w:val="TableNormal"/>
    <w:uiPriority w:val="99"/>
    <w:rsid w:val="00911DE3"/>
    <w:pPr>
      <w:spacing w:line="240" w:lineRule="auto"/>
    </w:pPr>
    <w:tblPr>
      <w:tblStyleRowBandSize w:val="1"/>
      <w:tblStyleColBandSize w:val="1"/>
      <w:tblBorders>
        <w:top w:val="single" w:sz="2" w:space="0" w:color="D6D6D6" w:themeColor="accent2" w:themeTint="99"/>
        <w:bottom w:val="single" w:sz="2" w:space="0" w:color="D6D6D6" w:themeColor="accent2" w:themeTint="99"/>
        <w:insideH w:val="single" w:sz="2" w:space="0" w:color="D6D6D6" w:themeColor="accent2" w:themeTint="99"/>
        <w:insideV w:val="single" w:sz="2" w:space="0" w:color="D6D6D6" w:themeColor="accent2" w:themeTint="99"/>
      </w:tblBorders>
    </w:tblPr>
    <w:tblStylePr w:type="firstRow">
      <w:rPr>
        <w:b/>
        <w:bCs/>
      </w:rPr>
      <w:tblPr/>
      <w:tcPr>
        <w:tcBorders>
          <w:top w:val="nil"/>
          <w:bottom w:val="single" w:sz="12" w:space="0" w:color="D6D6D6" w:themeColor="accent2" w:themeTint="99"/>
          <w:insideH w:val="nil"/>
          <w:insideV w:val="nil"/>
        </w:tcBorders>
        <w:shd w:val="clear" w:color="auto" w:fill="FFFFFF" w:themeFill="background1"/>
      </w:tcPr>
    </w:tblStylePr>
    <w:tblStylePr w:type="lastRow">
      <w:rPr>
        <w:b/>
        <w:bCs/>
      </w:rPr>
      <w:tblPr/>
      <w:tcPr>
        <w:tcBorders>
          <w:top w:val="double" w:sz="2" w:space="0" w:color="D6D6D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GridTable2-Accent3">
    <w:name w:val="Grid Table 2 Accent 3"/>
    <w:basedOn w:val="TableNormal"/>
    <w:uiPriority w:val="99"/>
    <w:rsid w:val="00911DE3"/>
    <w:pPr>
      <w:spacing w:line="240" w:lineRule="auto"/>
    </w:pPr>
    <w:tblPr>
      <w:tblStyleRowBandSize w:val="1"/>
      <w:tblStyleColBandSize w:val="1"/>
      <w:tblBorders>
        <w:top w:val="single" w:sz="2" w:space="0" w:color="B2CDEA" w:themeColor="accent3" w:themeTint="99"/>
        <w:bottom w:val="single" w:sz="2" w:space="0" w:color="B2CDEA" w:themeColor="accent3" w:themeTint="99"/>
        <w:insideH w:val="single" w:sz="2" w:space="0" w:color="B2CDEA" w:themeColor="accent3" w:themeTint="99"/>
        <w:insideV w:val="single" w:sz="2" w:space="0" w:color="B2CDEA" w:themeColor="accent3" w:themeTint="99"/>
      </w:tblBorders>
    </w:tblPr>
    <w:tblStylePr w:type="firstRow">
      <w:rPr>
        <w:b/>
        <w:bCs/>
      </w:rPr>
      <w:tblPr/>
      <w:tcPr>
        <w:tcBorders>
          <w:top w:val="nil"/>
          <w:bottom w:val="single" w:sz="12" w:space="0" w:color="B2CDEA" w:themeColor="accent3" w:themeTint="99"/>
          <w:insideH w:val="nil"/>
          <w:insideV w:val="nil"/>
        </w:tcBorders>
        <w:shd w:val="clear" w:color="auto" w:fill="FFFFFF" w:themeFill="background1"/>
      </w:tcPr>
    </w:tblStylePr>
    <w:tblStylePr w:type="lastRow">
      <w:rPr>
        <w:b/>
        <w:bCs/>
      </w:rPr>
      <w:tblPr/>
      <w:tcPr>
        <w:tcBorders>
          <w:top w:val="double" w:sz="2" w:space="0" w:color="B2CD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GridTable2-Accent4">
    <w:name w:val="Grid Table 2 Accent 4"/>
    <w:basedOn w:val="TableNormal"/>
    <w:uiPriority w:val="99"/>
    <w:rsid w:val="00911DE3"/>
    <w:pPr>
      <w:spacing w:line="240" w:lineRule="auto"/>
    </w:pPr>
    <w:tblPr>
      <w:tblStyleRowBandSize w:val="1"/>
      <w:tblStyleColBandSize w:val="1"/>
      <w:tblBorders>
        <w:top w:val="single" w:sz="2" w:space="0" w:color="ACADAF" w:themeColor="accent4" w:themeTint="99"/>
        <w:bottom w:val="single" w:sz="2" w:space="0" w:color="ACADAF" w:themeColor="accent4" w:themeTint="99"/>
        <w:insideH w:val="single" w:sz="2" w:space="0" w:color="ACADAF" w:themeColor="accent4" w:themeTint="99"/>
        <w:insideV w:val="single" w:sz="2" w:space="0" w:color="ACADAF" w:themeColor="accent4" w:themeTint="99"/>
      </w:tblBorders>
    </w:tblPr>
    <w:tblStylePr w:type="firstRow">
      <w:rPr>
        <w:b/>
        <w:bCs/>
      </w:rPr>
      <w:tblPr/>
      <w:tcPr>
        <w:tcBorders>
          <w:top w:val="nil"/>
          <w:bottom w:val="single" w:sz="12" w:space="0" w:color="ACADAF" w:themeColor="accent4" w:themeTint="99"/>
          <w:insideH w:val="nil"/>
          <w:insideV w:val="nil"/>
        </w:tcBorders>
        <w:shd w:val="clear" w:color="auto" w:fill="FFFFFF" w:themeFill="background1"/>
      </w:tcPr>
    </w:tblStylePr>
    <w:tblStylePr w:type="lastRow">
      <w:rPr>
        <w:b/>
        <w:bCs/>
      </w:rPr>
      <w:tblPr/>
      <w:tcPr>
        <w:tcBorders>
          <w:top w:val="double" w:sz="2" w:space="0" w:color="ACADA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GridTable2-Accent5">
    <w:name w:val="Grid Table 2 Accent 5"/>
    <w:basedOn w:val="TableNormal"/>
    <w:uiPriority w:val="99"/>
    <w:rsid w:val="00911DE3"/>
    <w:pPr>
      <w:spacing w:line="240" w:lineRule="auto"/>
    </w:pPr>
    <w:tblPr>
      <w:tblStyleRowBandSize w:val="1"/>
      <w:tblStyleColBandSize w:val="1"/>
      <w:tblBorders>
        <w:top w:val="single" w:sz="2" w:space="0" w:color="4F709A" w:themeColor="accent5" w:themeTint="99"/>
        <w:bottom w:val="single" w:sz="2" w:space="0" w:color="4F709A" w:themeColor="accent5" w:themeTint="99"/>
        <w:insideH w:val="single" w:sz="2" w:space="0" w:color="4F709A" w:themeColor="accent5" w:themeTint="99"/>
        <w:insideV w:val="single" w:sz="2" w:space="0" w:color="4F709A" w:themeColor="accent5" w:themeTint="99"/>
      </w:tblBorders>
    </w:tblPr>
    <w:tblStylePr w:type="firstRow">
      <w:rPr>
        <w:b/>
        <w:bCs/>
      </w:rPr>
      <w:tblPr/>
      <w:tcPr>
        <w:tcBorders>
          <w:top w:val="nil"/>
          <w:bottom w:val="single" w:sz="12" w:space="0" w:color="4F709A" w:themeColor="accent5" w:themeTint="99"/>
          <w:insideH w:val="nil"/>
          <w:insideV w:val="nil"/>
        </w:tcBorders>
        <w:shd w:val="clear" w:color="auto" w:fill="FFFFFF" w:themeFill="background1"/>
      </w:tcPr>
    </w:tblStylePr>
    <w:tblStylePr w:type="lastRow">
      <w:rPr>
        <w:b/>
        <w:bCs/>
      </w:rPr>
      <w:tblPr/>
      <w:tcPr>
        <w:tcBorders>
          <w:top w:val="double" w:sz="2" w:space="0" w:color="4F709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GridTable2-Accent6">
    <w:name w:val="Grid Table 2 Accent 6"/>
    <w:basedOn w:val="TableNormal"/>
    <w:uiPriority w:val="99"/>
    <w:rsid w:val="00911DE3"/>
    <w:pPr>
      <w:spacing w:line="240" w:lineRule="auto"/>
    </w:pPr>
    <w:tblPr>
      <w:tblStyleRowBandSize w:val="1"/>
      <w:tblStyleColBandSize w:val="1"/>
      <w:tblBorders>
        <w:top w:val="single" w:sz="2" w:space="0" w:color="D8E6F4" w:themeColor="accent6" w:themeTint="99"/>
        <w:bottom w:val="single" w:sz="2" w:space="0" w:color="D8E6F4" w:themeColor="accent6" w:themeTint="99"/>
        <w:insideH w:val="single" w:sz="2" w:space="0" w:color="D8E6F4" w:themeColor="accent6" w:themeTint="99"/>
        <w:insideV w:val="single" w:sz="2" w:space="0" w:color="D8E6F4" w:themeColor="accent6" w:themeTint="99"/>
      </w:tblBorders>
    </w:tblPr>
    <w:tblStylePr w:type="firstRow">
      <w:rPr>
        <w:b/>
        <w:bCs/>
      </w:rPr>
      <w:tblPr/>
      <w:tcPr>
        <w:tcBorders>
          <w:top w:val="nil"/>
          <w:bottom w:val="single" w:sz="12" w:space="0" w:color="D8E6F4" w:themeColor="accent6" w:themeTint="99"/>
          <w:insideH w:val="nil"/>
          <w:insideV w:val="nil"/>
        </w:tcBorders>
        <w:shd w:val="clear" w:color="auto" w:fill="FFFFFF" w:themeFill="background1"/>
      </w:tcPr>
    </w:tblStylePr>
    <w:tblStylePr w:type="lastRow">
      <w:rPr>
        <w:b/>
        <w:bCs/>
      </w:rPr>
      <w:tblPr/>
      <w:tcPr>
        <w:tcBorders>
          <w:top w:val="double" w:sz="2" w:space="0" w:color="D8E6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GridTable3">
    <w:name w:val="Grid Table 3"/>
    <w:basedOn w:val="TableNormal"/>
    <w:uiPriority w:val="99"/>
    <w:rsid w:val="00911DE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911DE3"/>
    <w:pPr>
      <w:spacing w:line="240" w:lineRule="auto"/>
    </w:pPr>
    <w:tblPr>
      <w:tblStyleRowBandSize w:val="1"/>
      <w:tblStyleColBandSize w:val="1"/>
      <w:tblBorders>
        <w:top w:val="single" w:sz="4" w:space="0" w:color="3C9CFF" w:themeColor="accent1" w:themeTint="99"/>
        <w:left w:val="single" w:sz="4" w:space="0" w:color="3C9CFF" w:themeColor="accent1" w:themeTint="99"/>
        <w:bottom w:val="single" w:sz="4" w:space="0" w:color="3C9CFF" w:themeColor="accent1" w:themeTint="99"/>
        <w:right w:val="single" w:sz="4" w:space="0" w:color="3C9CFF" w:themeColor="accent1" w:themeTint="99"/>
        <w:insideH w:val="single" w:sz="4" w:space="0" w:color="3C9CFF" w:themeColor="accent1" w:themeTint="99"/>
        <w:insideV w:val="single" w:sz="4" w:space="0" w:color="3C9C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EFF" w:themeFill="accent1" w:themeFillTint="33"/>
      </w:tcPr>
    </w:tblStylePr>
    <w:tblStylePr w:type="band1Horz">
      <w:tblPr/>
      <w:tcPr>
        <w:shd w:val="clear" w:color="auto" w:fill="BEDEFF" w:themeFill="accent1" w:themeFillTint="33"/>
      </w:tcPr>
    </w:tblStylePr>
    <w:tblStylePr w:type="neCell">
      <w:tblPr/>
      <w:tcPr>
        <w:tcBorders>
          <w:bottom w:val="single" w:sz="4" w:space="0" w:color="3C9CFF" w:themeColor="accent1" w:themeTint="99"/>
        </w:tcBorders>
      </w:tcPr>
    </w:tblStylePr>
    <w:tblStylePr w:type="nwCell">
      <w:tblPr/>
      <w:tcPr>
        <w:tcBorders>
          <w:bottom w:val="single" w:sz="4" w:space="0" w:color="3C9CFF" w:themeColor="accent1" w:themeTint="99"/>
        </w:tcBorders>
      </w:tcPr>
    </w:tblStylePr>
    <w:tblStylePr w:type="seCell">
      <w:tblPr/>
      <w:tcPr>
        <w:tcBorders>
          <w:top w:val="single" w:sz="4" w:space="0" w:color="3C9CFF" w:themeColor="accent1" w:themeTint="99"/>
        </w:tcBorders>
      </w:tcPr>
    </w:tblStylePr>
    <w:tblStylePr w:type="swCell">
      <w:tblPr/>
      <w:tcPr>
        <w:tcBorders>
          <w:top w:val="single" w:sz="4" w:space="0" w:color="3C9CFF" w:themeColor="accent1" w:themeTint="99"/>
        </w:tcBorders>
      </w:tcPr>
    </w:tblStylePr>
  </w:style>
  <w:style w:type="table" w:styleId="GridTable3-Accent2">
    <w:name w:val="Grid Table 3 Accent 2"/>
    <w:basedOn w:val="TableNormal"/>
    <w:uiPriority w:val="99"/>
    <w:rsid w:val="00911DE3"/>
    <w:pPr>
      <w:spacing w:line="240" w:lineRule="auto"/>
    </w:pPr>
    <w:tblPr>
      <w:tblStyleRowBandSize w:val="1"/>
      <w:tblStyleColBandSize w:val="1"/>
      <w:tblBorders>
        <w:top w:val="single" w:sz="4" w:space="0" w:color="D6D6D6" w:themeColor="accent2" w:themeTint="99"/>
        <w:left w:val="single" w:sz="4" w:space="0" w:color="D6D6D6" w:themeColor="accent2" w:themeTint="99"/>
        <w:bottom w:val="single" w:sz="4" w:space="0" w:color="D6D6D6" w:themeColor="accent2" w:themeTint="99"/>
        <w:right w:val="single" w:sz="4" w:space="0" w:color="D6D6D6" w:themeColor="accent2" w:themeTint="99"/>
        <w:insideH w:val="single" w:sz="4" w:space="0" w:color="D6D6D6" w:themeColor="accent2" w:themeTint="99"/>
        <w:insideV w:val="single" w:sz="4" w:space="0" w:color="D6D6D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1F1" w:themeFill="accent2" w:themeFillTint="33"/>
      </w:tcPr>
    </w:tblStylePr>
    <w:tblStylePr w:type="band1Horz">
      <w:tblPr/>
      <w:tcPr>
        <w:shd w:val="clear" w:color="auto" w:fill="F1F1F1" w:themeFill="accent2" w:themeFillTint="33"/>
      </w:tcPr>
    </w:tblStylePr>
    <w:tblStylePr w:type="neCell">
      <w:tblPr/>
      <w:tcPr>
        <w:tcBorders>
          <w:bottom w:val="single" w:sz="4" w:space="0" w:color="D6D6D6" w:themeColor="accent2" w:themeTint="99"/>
        </w:tcBorders>
      </w:tcPr>
    </w:tblStylePr>
    <w:tblStylePr w:type="nwCell">
      <w:tblPr/>
      <w:tcPr>
        <w:tcBorders>
          <w:bottom w:val="single" w:sz="4" w:space="0" w:color="D6D6D6" w:themeColor="accent2" w:themeTint="99"/>
        </w:tcBorders>
      </w:tcPr>
    </w:tblStylePr>
    <w:tblStylePr w:type="seCell">
      <w:tblPr/>
      <w:tcPr>
        <w:tcBorders>
          <w:top w:val="single" w:sz="4" w:space="0" w:color="D6D6D6" w:themeColor="accent2" w:themeTint="99"/>
        </w:tcBorders>
      </w:tcPr>
    </w:tblStylePr>
    <w:tblStylePr w:type="swCell">
      <w:tblPr/>
      <w:tcPr>
        <w:tcBorders>
          <w:top w:val="single" w:sz="4" w:space="0" w:color="D6D6D6" w:themeColor="accent2" w:themeTint="99"/>
        </w:tcBorders>
      </w:tcPr>
    </w:tblStylePr>
  </w:style>
  <w:style w:type="table" w:styleId="GridTable3-Accent3">
    <w:name w:val="Grid Table 3 Accent 3"/>
    <w:basedOn w:val="TableNormal"/>
    <w:uiPriority w:val="99"/>
    <w:rsid w:val="00911DE3"/>
    <w:pPr>
      <w:spacing w:line="240" w:lineRule="auto"/>
    </w:pPr>
    <w:tblPr>
      <w:tblStyleRowBandSize w:val="1"/>
      <w:tblStyleColBandSize w:val="1"/>
      <w:tblBorders>
        <w:top w:val="single" w:sz="4" w:space="0" w:color="B2CDEA" w:themeColor="accent3" w:themeTint="99"/>
        <w:left w:val="single" w:sz="4" w:space="0" w:color="B2CDEA" w:themeColor="accent3" w:themeTint="99"/>
        <w:bottom w:val="single" w:sz="4" w:space="0" w:color="B2CDEA" w:themeColor="accent3" w:themeTint="99"/>
        <w:right w:val="single" w:sz="4" w:space="0" w:color="B2CDEA" w:themeColor="accent3" w:themeTint="99"/>
        <w:insideH w:val="single" w:sz="4" w:space="0" w:color="B2CDEA" w:themeColor="accent3" w:themeTint="99"/>
        <w:insideV w:val="single" w:sz="4" w:space="0" w:color="B2CD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EF8" w:themeFill="accent3" w:themeFillTint="33"/>
      </w:tcPr>
    </w:tblStylePr>
    <w:tblStylePr w:type="band1Horz">
      <w:tblPr/>
      <w:tcPr>
        <w:shd w:val="clear" w:color="auto" w:fill="E5EEF8" w:themeFill="accent3" w:themeFillTint="33"/>
      </w:tcPr>
    </w:tblStylePr>
    <w:tblStylePr w:type="neCell">
      <w:tblPr/>
      <w:tcPr>
        <w:tcBorders>
          <w:bottom w:val="single" w:sz="4" w:space="0" w:color="B2CDEA" w:themeColor="accent3" w:themeTint="99"/>
        </w:tcBorders>
      </w:tcPr>
    </w:tblStylePr>
    <w:tblStylePr w:type="nwCell">
      <w:tblPr/>
      <w:tcPr>
        <w:tcBorders>
          <w:bottom w:val="single" w:sz="4" w:space="0" w:color="B2CDEA" w:themeColor="accent3" w:themeTint="99"/>
        </w:tcBorders>
      </w:tcPr>
    </w:tblStylePr>
    <w:tblStylePr w:type="seCell">
      <w:tblPr/>
      <w:tcPr>
        <w:tcBorders>
          <w:top w:val="single" w:sz="4" w:space="0" w:color="B2CDEA" w:themeColor="accent3" w:themeTint="99"/>
        </w:tcBorders>
      </w:tcPr>
    </w:tblStylePr>
    <w:tblStylePr w:type="swCell">
      <w:tblPr/>
      <w:tcPr>
        <w:tcBorders>
          <w:top w:val="single" w:sz="4" w:space="0" w:color="B2CDEA" w:themeColor="accent3" w:themeTint="99"/>
        </w:tcBorders>
      </w:tcPr>
    </w:tblStylePr>
  </w:style>
  <w:style w:type="table" w:styleId="GridTable3-Accent4">
    <w:name w:val="Grid Table 3 Accent 4"/>
    <w:basedOn w:val="TableNormal"/>
    <w:uiPriority w:val="99"/>
    <w:rsid w:val="00911DE3"/>
    <w:pPr>
      <w:spacing w:line="240" w:lineRule="auto"/>
    </w:pPr>
    <w:tblPr>
      <w:tblStyleRowBandSize w:val="1"/>
      <w:tblStyleColBandSize w:val="1"/>
      <w:tblBorders>
        <w:top w:val="single" w:sz="4" w:space="0" w:color="ACADAF" w:themeColor="accent4" w:themeTint="99"/>
        <w:left w:val="single" w:sz="4" w:space="0" w:color="ACADAF" w:themeColor="accent4" w:themeTint="99"/>
        <w:bottom w:val="single" w:sz="4" w:space="0" w:color="ACADAF" w:themeColor="accent4" w:themeTint="99"/>
        <w:right w:val="single" w:sz="4" w:space="0" w:color="ACADAF" w:themeColor="accent4" w:themeTint="99"/>
        <w:insideH w:val="single" w:sz="4" w:space="0" w:color="ACADAF" w:themeColor="accent4" w:themeTint="99"/>
        <w:insideV w:val="single" w:sz="4" w:space="0" w:color="ACADA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4" w:themeFillTint="33"/>
      </w:tcPr>
    </w:tblStylePr>
    <w:tblStylePr w:type="band1Horz">
      <w:tblPr/>
      <w:tcPr>
        <w:shd w:val="clear" w:color="auto" w:fill="E3E3E4" w:themeFill="accent4" w:themeFillTint="33"/>
      </w:tcPr>
    </w:tblStylePr>
    <w:tblStylePr w:type="neCell">
      <w:tblPr/>
      <w:tcPr>
        <w:tcBorders>
          <w:bottom w:val="single" w:sz="4" w:space="0" w:color="ACADAF" w:themeColor="accent4" w:themeTint="99"/>
        </w:tcBorders>
      </w:tcPr>
    </w:tblStylePr>
    <w:tblStylePr w:type="nwCell">
      <w:tblPr/>
      <w:tcPr>
        <w:tcBorders>
          <w:bottom w:val="single" w:sz="4" w:space="0" w:color="ACADAF" w:themeColor="accent4" w:themeTint="99"/>
        </w:tcBorders>
      </w:tcPr>
    </w:tblStylePr>
    <w:tblStylePr w:type="seCell">
      <w:tblPr/>
      <w:tcPr>
        <w:tcBorders>
          <w:top w:val="single" w:sz="4" w:space="0" w:color="ACADAF" w:themeColor="accent4" w:themeTint="99"/>
        </w:tcBorders>
      </w:tcPr>
    </w:tblStylePr>
    <w:tblStylePr w:type="swCell">
      <w:tblPr/>
      <w:tcPr>
        <w:tcBorders>
          <w:top w:val="single" w:sz="4" w:space="0" w:color="ACADAF" w:themeColor="accent4" w:themeTint="99"/>
        </w:tcBorders>
      </w:tcPr>
    </w:tblStylePr>
  </w:style>
  <w:style w:type="table" w:styleId="GridTable3-Accent5">
    <w:name w:val="Grid Table 3 Accent 5"/>
    <w:basedOn w:val="TableNormal"/>
    <w:uiPriority w:val="99"/>
    <w:rsid w:val="00911DE3"/>
    <w:pPr>
      <w:spacing w:line="240" w:lineRule="auto"/>
    </w:pPr>
    <w:tblPr>
      <w:tblStyleRowBandSize w:val="1"/>
      <w:tblStyleColBandSize w:val="1"/>
      <w:tblBorders>
        <w:top w:val="single" w:sz="4" w:space="0" w:color="4F709A" w:themeColor="accent5" w:themeTint="99"/>
        <w:left w:val="single" w:sz="4" w:space="0" w:color="4F709A" w:themeColor="accent5" w:themeTint="99"/>
        <w:bottom w:val="single" w:sz="4" w:space="0" w:color="4F709A" w:themeColor="accent5" w:themeTint="99"/>
        <w:right w:val="single" w:sz="4" w:space="0" w:color="4F709A" w:themeColor="accent5" w:themeTint="99"/>
        <w:insideH w:val="single" w:sz="4" w:space="0" w:color="4F709A" w:themeColor="accent5" w:themeTint="99"/>
        <w:insideV w:val="single" w:sz="4" w:space="0" w:color="4F709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CFDF" w:themeFill="accent5" w:themeFillTint="33"/>
      </w:tcPr>
    </w:tblStylePr>
    <w:tblStylePr w:type="band1Horz">
      <w:tblPr/>
      <w:tcPr>
        <w:shd w:val="clear" w:color="auto" w:fill="C2CFDF" w:themeFill="accent5" w:themeFillTint="33"/>
      </w:tcPr>
    </w:tblStylePr>
    <w:tblStylePr w:type="neCell">
      <w:tblPr/>
      <w:tcPr>
        <w:tcBorders>
          <w:bottom w:val="single" w:sz="4" w:space="0" w:color="4F709A" w:themeColor="accent5" w:themeTint="99"/>
        </w:tcBorders>
      </w:tcPr>
    </w:tblStylePr>
    <w:tblStylePr w:type="nwCell">
      <w:tblPr/>
      <w:tcPr>
        <w:tcBorders>
          <w:bottom w:val="single" w:sz="4" w:space="0" w:color="4F709A" w:themeColor="accent5" w:themeTint="99"/>
        </w:tcBorders>
      </w:tcPr>
    </w:tblStylePr>
    <w:tblStylePr w:type="seCell">
      <w:tblPr/>
      <w:tcPr>
        <w:tcBorders>
          <w:top w:val="single" w:sz="4" w:space="0" w:color="4F709A" w:themeColor="accent5" w:themeTint="99"/>
        </w:tcBorders>
      </w:tcPr>
    </w:tblStylePr>
    <w:tblStylePr w:type="swCell">
      <w:tblPr/>
      <w:tcPr>
        <w:tcBorders>
          <w:top w:val="single" w:sz="4" w:space="0" w:color="4F709A" w:themeColor="accent5" w:themeTint="99"/>
        </w:tcBorders>
      </w:tcPr>
    </w:tblStylePr>
  </w:style>
  <w:style w:type="table" w:styleId="GridTable3-Accent6">
    <w:name w:val="Grid Table 3 Accent 6"/>
    <w:basedOn w:val="TableNormal"/>
    <w:uiPriority w:val="99"/>
    <w:rsid w:val="00911DE3"/>
    <w:pPr>
      <w:spacing w:line="240" w:lineRule="auto"/>
    </w:pPr>
    <w:tblPr>
      <w:tblStyleRowBandSize w:val="1"/>
      <w:tblStyleColBandSize w:val="1"/>
      <w:tblBorders>
        <w:top w:val="single" w:sz="4" w:space="0" w:color="D8E6F4" w:themeColor="accent6" w:themeTint="99"/>
        <w:left w:val="single" w:sz="4" w:space="0" w:color="D8E6F4" w:themeColor="accent6" w:themeTint="99"/>
        <w:bottom w:val="single" w:sz="4" w:space="0" w:color="D8E6F4" w:themeColor="accent6" w:themeTint="99"/>
        <w:right w:val="single" w:sz="4" w:space="0" w:color="D8E6F4" w:themeColor="accent6" w:themeTint="99"/>
        <w:insideH w:val="single" w:sz="4" w:space="0" w:color="D8E6F4" w:themeColor="accent6" w:themeTint="99"/>
        <w:insideV w:val="single" w:sz="4" w:space="0" w:color="D8E6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6FB" w:themeFill="accent6" w:themeFillTint="33"/>
      </w:tcPr>
    </w:tblStylePr>
    <w:tblStylePr w:type="band1Horz">
      <w:tblPr/>
      <w:tcPr>
        <w:shd w:val="clear" w:color="auto" w:fill="F1F6FB" w:themeFill="accent6" w:themeFillTint="33"/>
      </w:tcPr>
    </w:tblStylePr>
    <w:tblStylePr w:type="neCell">
      <w:tblPr/>
      <w:tcPr>
        <w:tcBorders>
          <w:bottom w:val="single" w:sz="4" w:space="0" w:color="D8E6F4" w:themeColor="accent6" w:themeTint="99"/>
        </w:tcBorders>
      </w:tcPr>
    </w:tblStylePr>
    <w:tblStylePr w:type="nwCell">
      <w:tblPr/>
      <w:tcPr>
        <w:tcBorders>
          <w:bottom w:val="single" w:sz="4" w:space="0" w:color="D8E6F4" w:themeColor="accent6" w:themeTint="99"/>
        </w:tcBorders>
      </w:tcPr>
    </w:tblStylePr>
    <w:tblStylePr w:type="seCell">
      <w:tblPr/>
      <w:tcPr>
        <w:tcBorders>
          <w:top w:val="single" w:sz="4" w:space="0" w:color="D8E6F4" w:themeColor="accent6" w:themeTint="99"/>
        </w:tcBorders>
      </w:tcPr>
    </w:tblStylePr>
    <w:tblStylePr w:type="swCell">
      <w:tblPr/>
      <w:tcPr>
        <w:tcBorders>
          <w:top w:val="single" w:sz="4" w:space="0" w:color="D8E6F4" w:themeColor="accent6" w:themeTint="99"/>
        </w:tcBorders>
      </w:tcPr>
    </w:tblStylePr>
  </w:style>
  <w:style w:type="table" w:styleId="GridTable4">
    <w:name w:val="Grid Table 4"/>
    <w:basedOn w:val="TableNormal"/>
    <w:uiPriority w:val="99"/>
    <w:rsid w:val="00911DE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911DE3"/>
    <w:pPr>
      <w:spacing w:line="240" w:lineRule="auto"/>
    </w:pPr>
    <w:tblPr>
      <w:tblStyleRowBandSize w:val="1"/>
      <w:tblStyleColBandSize w:val="1"/>
      <w:tblBorders>
        <w:top w:val="single" w:sz="4" w:space="0" w:color="3C9CFF" w:themeColor="accent1" w:themeTint="99"/>
        <w:left w:val="single" w:sz="4" w:space="0" w:color="3C9CFF" w:themeColor="accent1" w:themeTint="99"/>
        <w:bottom w:val="single" w:sz="4" w:space="0" w:color="3C9CFF" w:themeColor="accent1" w:themeTint="99"/>
        <w:right w:val="single" w:sz="4" w:space="0" w:color="3C9CFF" w:themeColor="accent1" w:themeTint="99"/>
        <w:insideH w:val="single" w:sz="4" w:space="0" w:color="3C9CFF" w:themeColor="accent1" w:themeTint="99"/>
        <w:insideV w:val="single" w:sz="4" w:space="0" w:color="3C9CFF" w:themeColor="accent1" w:themeTint="99"/>
      </w:tblBorders>
    </w:tblPr>
    <w:tblStylePr w:type="firstRow">
      <w:rPr>
        <w:b/>
        <w:bCs/>
        <w:color w:val="FFFFFF" w:themeColor="background1"/>
      </w:rPr>
      <w:tblPr/>
      <w:tcPr>
        <w:tcBorders>
          <w:top w:val="single" w:sz="4" w:space="0" w:color="005CB9" w:themeColor="accent1"/>
          <w:left w:val="single" w:sz="4" w:space="0" w:color="005CB9" w:themeColor="accent1"/>
          <w:bottom w:val="single" w:sz="4" w:space="0" w:color="005CB9" w:themeColor="accent1"/>
          <w:right w:val="single" w:sz="4" w:space="0" w:color="005CB9" w:themeColor="accent1"/>
          <w:insideH w:val="nil"/>
          <w:insideV w:val="nil"/>
        </w:tcBorders>
        <w:shd w:val="clear" w:color="auto" w:fill="005CB9" w:themeFill="accent1"/>
      </w:tcPr>
    </w:tblStylePr>
    <w:tblStylePr w:type="lastRow">
      <w:rPr>
        <w:b/>
        <w:bCs/>
      </w:rPr>
      <w:tblPr/>
      <w:tcPr>
        <w:tcBorders>
          <w:top w:val="double" w:sz="4" w:space="0" w:color="005CB9" w:themeColor="accent1"/>
        </w:tcBorders>
      </w:tc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GridTable4-Accent2">
    <w:name w:val="Grid Table 4 Accent 2"/>
    <w:basedOn w:val="TableNormal"/>
    <w:uiPriority w:val="99"/>
    <w:rsid w:val="00911DE3"/>
    <w:pPr>
      <w:spacing w:line="240" w:lineRule="auto"/>
    </w:pPr>
    <w:tblPr>
      <w:tblStyleRowBandSize w:val="1"/>
      <w:tblStyleColBandSize w:val="1"/>
      <w:tblBorders>
        <w:top w:val="single" w:sz="4" w:space="0" w:color="D6D6D6" w:themeColor="accent2" w:themeTint="99"/>
        <w:left w:val="single" w:sz="4" w:space="0" w:color="D6D6D6" w:themeColor="accent2" w:themeTint="99"/>
        <w:bottom w:val="single" w:sz="4" w:space="0" w:color="D6D6D6" w:themeColor="accent2" w:themeTint="99"/>
        <w:right w:val="single" w:sz="4" w:space="0" w:color="D6D6D6" w:themeColor="accent2" w:themeTint="99"/>
        <w:insideH w:val="single" w:sz="4" w:space="0" w:color="D6D6D6" w:themeColor="accent2" w:themeTint="99"/>
        <w:insideV w:val="single" w:sz="4" w:space="0" w:color="D6D6D6" w:themeColor="accent2" w:themeTint="99"/>
      </w:tblBorders>
    </w:tblPr>
    <w:tblStylePr w:type="firstRow">
      <w:rPr>
        <w:b/>
        <w:bCs/>
        <w:color w:val="FFFFFF" w:themeColor="background1"/>
      </w:rPr>
      <w:tblPr/>
      <w:tcPr>
        <w:tcBorders>
          <w:top w:val="single" w:sz="4" w:space="0" w:color="BBBBBB" w:themeColor="accent2"/>
          <w:left w:val="single" w:sz="4" w:space="0" w:color="BBBBBB" w:themeColor="accent2"/>
          <w:bottom w:val="single" w:sz="4" w:space="0" w:color="BBBBBB" w:themeColor="accent2"/>
          <w:right w:val="single" w:sz="4" w:space="0" w:color="BBBBBB" w:themeColor="accent2"/>
          <w:insideH w:val="nil"/>
          <w:insideV w:val="nil"/>
        </w:tcBorders>
        <w:shd w:val="clear" w:color="auto" w:fill="BBBBBB" w:themeFill="accent2"/>
      </w:tcPr>
    </w:tblStylePr>
    <w:tblStylePr w:type="lastRow">
      <w:rPr>
        <w:b/>
        <w:bCs/>
      </w:rPr>
      <w:tblPr/>
      <w:tcPr>
        <w:tcBorders>
          <w:top w:val="double" w:sz="4" w:space="0" w:color="BBBBBB" w:themeColor="accent2"/>
        </w:tcBorders>
      </w:tc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GridTable4-Accent3">
    <w:name w:val="Grid Table 4 Accent 3"/>
    <w:basedOn w:val="TableNormal"/>
    <w:uiPriority w:val="99"/>
    <w:rsid w:val="00911DE3"/>
    <w:pPr>
      <w:spacing w:line="240" w:lineRule="auto"/>
    </w:pPr>
    <w:tblPr>
      <w:tblStyleRowBandSize w:val="1"/>
      <w:tblStyleColBandSize w:val="1"/>
      <w:tblBorders>
        <w:top w:val="single" w:sz="4" w:space="0" w:color="B2CDEA" w:themeColor="accent3" w:themeTint="99"/>
        <w:left w:val="single" w:sz="4" w:space="0" w:color="B2CDEA" w:themeColor="accent3" w:themeTint="99"/>
        <w:bottom w:val="single" w:sz="4" w:space="0" w:color="B2CDEA" w:themeColor="accent3" w:themeTint="99"/>
        <w:right w:val="single" w:sz="4" w:space="0" w:color="B2CDEA" w:themeColor="accent3" w:themeTint="99"/>
        <w:insideH w:val="single" w:sz="4" w:space="0" w:color="B2CDEA" w:themeColor="accent3" w:themeTint="99"/>
        <w:insideV w:val="single" w:sz="4" w:space="0" w:color="B2CDEA" w:themeColor="accent3" w:themeTint="99"/>
      </w:tblBorders>
    </w:tblPr>
    <w:tblStylePr w:type="firstRow">
      <w:rPr>
        <w:b/>
        <w:bCs/>
        <w:color w:val="FFFFFF" w:themeColor="background1"/>
      </w:rPr>
      <w:tblPr/>
      <w:tcPr>
        <w:tcBorders>
          <w:top w:val="single" w:sz="4" w:space="0" w:color="7FADDC" w:themeColor="accent3"/>
          <w:left w:val="single" w:sz="4" w:space="0" w:color="7FADDC" w:themeColor="accent3"/>
          <w:bottom w:val="single" w:sz="4" w:space="0" w:color="7FADDC" w:themeColor="accent3"/>
          <w:right w:val="single" w:sz="4" w:space="0" w:color="7FADDC" w:themeColor="accent3"/>
          <w:insideH w:val="nil"/>
          <w:insideV w:val="nil"/>
        </w:tcBorders>
        <w:shd w:val="clear" w:color="auto" w:fill="7FADDC" w:themeFill="accent3"/>
      </w:tcPr>
    </w:tblStylePr>
    <w:tblStylePr w:type="lastRow">
      <w:rPr>
        <w:b/>
        <w:bCs/>
      </w:rPr>
      <w:tblPr/>
      <w:tcPr>
        <w:tcBorders>
          <w:top w:val="double" w:sz="4" w:space="0" w:color="7FADDC" w:themeColor="accent3"/>
        </w:tcBorders>
      </w:tc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GridTable4-Accent4">
    <w:name w:val="Grid Table 4 Accent 4"/>
    <w:basedOn w:val="TableNormal"/>
    <w:uiPriority w:val="99"/>
    <w:rsid w:val="00911DE3"/>
    <w:pPr>
      <w:spacing w:line="240" w:lineRule="auto"/>
    </w:pPr>
    <w:tblPr>
      <w:tblStyleRowBandSize w:val="1"/>
      <w:tblStyleColBandSize w:val="1"/>
      <w:tblBorders>
        <w:top w:val="single" w:sz="4" w:space="0" w:color="ACADAF" w:themeColor="accent4" w:themeTint="99"/>
        <w:left w:val="single" w:sz="4" w:space="0" w:color="ACADAF" w:themeColor="accent4" w:themeTint="99"/>
        <w:bottom w:val="single" w:sz="4" w:space="0" w:color="ACADAF" w:themeColor="accent4" w:themeTint="99"/>
        <w:right w:val="single" w:sz="4" w:space="0" w:color="ACADAF" w:themeColor="accent4" w:themeTint="99"/>
        <w:insideH w:val="single" w:sz="4" w:space="0" w:color="ACADAF" w:themeColor="accent4" w:themeTint="99"/>
        <w:insideV w:val="single" w:sz="4" w:space="0" w:color="ACADAF" w:themeColor="accent4" w:themeTint="99"/>
      </w:tblBorders>
    </w:tblPr>
    <w:tblStylePr w:type="firstRow">
      <w:rPr>
        <w:b/>
        <w:bCs/>
        <w:color w:val="FFFFFF" w:themeColor="background1"/>
      </w:rPr>
      <w:tblPr/>
      <w:tcPr>
        <w:tcBorders>
          <w:top w:val="single" w:sz="4" w:space="0" w:color="76777B" w:themeColor="accent4"/>
          <w:left w:val="single" w:sz="4" w:space="0" w:color="76777B" w:themeColor="accent4"/>
          <w:bottom w:val="single" w:sz="4" w:space="0" w:color="76777B" w:themeColor="accent4"/>
          <w:right w:val="single" w:sz="4" w:space="0" w:color="76777B" w:themeColor="accent4"/>
          <w:insideH w:val="nil"/>
          <w:insideV w:val="nil"/>
        </w:tcBorders>
        <w:shd w:val="clear" w:color="auto" w:fill="76777B" w:themeFill="accent4"/>
      </w:tcPr>
    </w:tblStylePr>
    <w:tblStylePr w:type="lastRow">
      <w:rPr>
        <w:b/>
        <w:bCs/>
      </w:rPr>
      <w:tblPr/>
      <w:tcPr>
        <w:tcBorders>
          <w:top w:val="double" w:sz="4" w:space="0" w:color="76777B" w:themeColor="accent4"/>
        </w:tcBorders>
      </w:tc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GridTable4-Accent5">
    <w:name w:val="Grid Table 4 Accent 5"/>
    <w:basedOn w:val="TableNormal"/>
    <w:uiPriority w:val="99"/>
    <w:rsid w:val="00911DE3"/>
    <w:pPr>
      <w:spacing w:line="240" w:lineRule="auto"/>
    </w:pPr>
    <w:tblPr>
      <w:tblStyleRowBandSize w:val="1"/>
      <w:tblStyleColBandSize w:val="1"/>
      <w:tblBorders>
        <w:top w:val="single" w:sz="4" w:space="0" w:color="4F709A" w:themeColor="accent5" w:themeTint="99"/>
        <w:left w:val="single" w:sz="4" w:space="0" w:color="4F709A" w:themeColor="accent5" w:themeTint="99"/>
        <w:bottom w:val="single" w:sz="4" w:space="0" w:color="4F709A" w:themeColor="accent5" w:themeTint="99"/>
        <w:right w:val="single" w:sz="4" w:space="0" w:color="4F709A" w:themeColor="accent5" w:themeTint="99"/>
        <w:insideH w:val="single" w:sz="4" w:space="0" w:color="4F709A" w:themeColor="accent5" w:themeTint="99"/>
        <w:insideV w:val="single" w:sz="4" w:space="0" w:color="4F709A" w:themeColor="accent5" w:themeTint="99"/>
      </w:tblBorders>
    </w:tblPr>
    <w:tblStylePr w:type="firstRow">
      <w:rPr>
        <w:b/>
        <w:bCs/>
        <w:color w:val="FFFFFF" w:themeColor="background1"/>
      </w:rPr>
      <w:tblPr/>
      <w:tcPr>
        <w:tcBorders>
          <w:top w:val="single" w:sz="4" w:space="0" w:color="111821" w:themeColor="accent5"/>
          <w:left w:val="single" w:sz="4" w:space="0" w:color="111821" w:themeColor="accent5"/>
          <w:bottom w:val="single" w:sz="4" w:space="0" w:color="111821" w:themeColor="accent5"/>
          <w:right w:val="single" w:sz="4" w:space="0" w:color="111821" w:themeColor="accent5"/>
          <w:insideH w:val="nil"/>
          <w:insideV w:val="nil"/>
        </w:tcBorders>
        <w:shd w:val="clear" w:color="auto" w:fill="111821" w:themeFill="accent5"/>
      </w:tcPr>
    </w:tblStylePr>
    <w:tblStylePr w:type="lastRow">
      <w:rPr>
        <w:b/>
        <w:bCs/>
      </w:rPr>
      <w:tblPr/>
      <w:tcPr>
        <w:tcBorders>
          <w:top w:val="double" w:sz="4" w:space="0" w:color="111821" w:themeColor="accent5"/>
        </w:tcBorders>
      </w:tc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GridTable4-Accent6">
    <w:name w:val="Grid Table 4 Accent 6"/>
    <w:basedOn w:val="TableNormal"/>
    <w:uiPriority w:val="99"/>
    <w:rsid w:val="00911DE3"/>
    <w:pPr>
      <w:spacing w:line="240" w:lineRule="auto"/>
    </w:pPr>
    <w:tblPr>
      <w:tblStyleRowBandSize w:val="1"/>
      <w:tblStyleColBandSize w:val="1"/>
      <w:tblBorders>
        <w:top w:val="single" w:sz="4" w:space="0" w:color="D8E6F4" w:themeColor="accent6" w:themeTint="99"/>
        <w:left w:val="single" w:sz="4" w:space="0" w:color="D8E6F4" w:themeColor="accent6" w:themeTint="99"/>
        <w:bottom w:val="single" w:sz="4" w:space="0" w:color="D8E6F4" w:themeColor="accent6" w:themeTint="99"/>
        <w:right w:val="single" w:sz="4" w:space="0" w:color="D8E6F4" w:themeColor="accent6" w:themeTint="99"/>
        <w:insideH w:val="single" w:sz="4" w:space="0" w:color="D8E6F4" w:themeColor="accent6" w:themeTint="99"/>
        <w:insideV w:val="single" w:sz="4" w:space="0" w:color="D8E6F4" w:themeColor="accent6" w:themeTint="99"/>
      </w:tblBorders>
    </w:tblPr>
    <w:tblStylePr w:type="firstRow">
      <w:rPr>
        <w:b/>
        <w:bCs/>
        <w:color w:val="FFFFFF" w:themeColor="background1"/>
      </w:rPr>
      <w:tblPr/>
      <w:tcPr>
        <w:tcBorders>
          <w:top w:val="single" w:sz="4" w:space="0" w:color="BFD6ED" w:themeColor="accent6"/>
          <w:left w:val="single" w:sz="4" w:space="0" w:color="BFD6ED" w:themeColor="accent6"/>
          <w:bottom w:val="single" w:sz="4" w:space="0" w:color="BFD6ED" w:themeColor="accent6"/>
          <w:right w:val="single" w:sz="4" w:space="0" w:color="BFD6ED" w:themeColor="accent6"/>
          <w:insideH w:val="nil"/>
          <w:insideV w:val="nil"/>
        </w:tcBorders>
        <w:shd w:val="clear" w:color="auto" w:fill="BFD6ED" w:themeFill="accent6"/>
      </w:tcPr>
    </w:tblStylePr>
    <w:tblStylePr w:type="lastRow">
      <w:rPr>
        <w:b/>
        <w:bCs/>
      </w:rPr>
      <w:tblPr/>
      <w:tcPr>
        <w:tcBorders>
          <w:top w:val="double" w:sz="4" w:space="0" w:color="BFD6ED" w:themeColor="accent6"/>
        </w:tcBorders>
      </w:tc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GridTable5Dark">
    <w:name w:val="Grid Table 5 Dark"/>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D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CB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CB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CB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CB9" w:themeFill="accent1"/>
      </w:tcPr>
    </w:tblStylePr>
    <w:tblStylePr w:type="band1Vert">
      <w:tblPr/>
      <w:tcPr>
        <w:shd w:val="clear" w:color="auto" w:fill="7DBDFF" w:themeFill="accent1" w:themeFillTint="66"/>
      </w:tcPr>
    </w:tblStylePr>
    <w:tblStylePr w:type="band1Horz">
      <w:tblPr/>
      <w:tcPr>
        <w:shd w:val="clear" w:color="auto" w:fill="7DBDFF" w:themeFill="accent1" w:themeFillTint="66"/>
      </w:tcPr>
    </w:tblStylePr>
  </w:style>
  <w:style w:type="table" w:styleId="GridTable5Dark-Accent2">
    <w:name w:val="Grid Table 5 Dark Accent 2"/>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1F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BBB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BBB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BBB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BBBB" w:themeFill="accent2"/>
      </w:tcPr>
    </w:tblStylePr>
    <w:tblStylePr w:type="band1Vert">
      <w:tblPr/>
      <w:tcPr>
        <w:shd w:val="clear" w:color="auto" w:fill="E3E3E3" w:themeFill="accent2" w:themeFillTint="66"/>
      </w:tcPr>
    </w:tblStylePr>
    <w:tblStylePr w:type="band1Horz">
      <w:tblPr/>
      <w:tcPr>
        <w:shd w:val="clear" w:color="auto" w:fill="E3E3E3" w:themeFill="accent2" w:themeFillTint="66"/>
      </w:tcPr>
    </w:tblStylePr>
  </w:style>
  <w:style w:type="table" w:styleId="GridTable5Dark-Accent3">
    <w:name w:val="Grid Table 5 Dark Accent 3"/>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E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ADD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ADD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ADD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ADDC" w:themeFill="accent3"/>
      </w:tcPr>
    </w:tblStylePr>
    <w:tblStylePr w:type="band1Vert">
      <w:tblPr/>
      <w:tcPr>
        <w:shd w:val="clear" w:color="auto" w:fill="CBDEF1" w:themeFill="accent3" w:themeFillTint="66"/>
      </w:tcPr>
    </w:tblStylePr>
    <w:tblStylePr w:type="band1Horz">
      <w:tblPr/>
      <w:tcPr>
        <w:shd w:val="clear" w:color="auto" w:fill="CBDEF1" w:themeFill="accent3" w:themeFillTint="66"/>
      </w:tcPr>
    </w:tblStylePr>
  </w:style>
  <w:style w:type="table" w:styleId="GridTable5Dark-Accent4">
    <w:name w:val="Grid Table 5 Dark Accent 4"/>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3E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777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777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777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777B" w:themeFill="accent4"/>
      </w:tcPr>
    </w:tblStylePr>
    <w:tblStylePr w:type="band1Vert">
      <w:tblPr/>
      <w:tcPr>
        <w:shd w:val="clear" w:color="auto" w:fill="C8C8CA" w:themeFill="accent4" w:themeFillTint="66"/>
      </w:tcPr>
    </w:tblStylePr>
    <w:tblStylePr w:type="band1Horz">
      <w:tblPr/>
      <w:tcPr>
        <w:shd w:val="clear" w:color="auto" w:fill="C8C8CA" w:themeFill="accent4" w:themeFillTint="66"/>
      </w:tcPr>
    </w:tblStylePr>
  </w:style>
  <w:style w:type="table" w:styleId="GridTable5Dark-Accent5">
    <w:name w:val="Grid Table 5 Dark Accent 5"/>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C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182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182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182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1821" w:themeFill="accent5"/>
      </w:tcPr>
    </w:tblStylePr>
    <w:tblStylePr w:type="band1Vert">
      <w:tblPr/>
      <w:tcPr>
        <w:shd w:val="clear" w:color="auto" w:fill="859FC0" w:themeFill="accent5" w:themeFillTint="66"/>
      </w:tcPr>
    </w:tblStylePr>
    <w:tblStylePr w:type="band1Horz">
      <w:tblPr/>
      <w:tcPr>
        <w:shd w:val="clear" w:color="auto" w:fill="859FC0" w:themeFill="accent5" w:themeFillTint="66"/>
      </w:tcPr>
    </w:tblStylePr>
  </w:style>
  <w:style w:type="table" w:styleId="GridTable5Dark-Accent6">
    <w:name w:val="Grid Table 5 Dark Accent 6"/>
    <w:basedOn w:val="TableNormal"/>
    <w:uiPriority w:val="99"/>
    <w:rsid w:val="00911DE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6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D6E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D6E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D6E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D6ED" w:themeFill="accent6"/>
      </w:tcPr>
    </w:tblStylePr>
    <w:tblStylePr w:type="band1Vert">
      <w:tblPr/>
      <w:tcPr>
        <w:shd w:val="clear" w:color="auto" w:fill="E5EEF7" w:themeFill="accent6" w:themeFillTint="66"/>
      </w:tcPr>
    </w:tblStylePr>
    <w:tblStylePr w:type="band1Horz">
      <w:tblPr/>
      <w:tcPr>
        <w:shd w:val="clear" w:color="auto" w:fill="E5EEF7" w:themeFill="accent6" w:themeFillTint="66"/>
      </w:tcPr>
    </w:tblStylePr>
  </w:style>
  <w:style w:type="table" w:styleId="GridTable6Colorful">
    <w:name w:val="Grid Table 6 Colorful"/>
    <w:basedOn w:val="TableNormal"/>
    <w:uiPriority w:val="99"/>
    <w:rsid w:val="00911DE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9"/>
    <w:rsid w:val="00911DE3"/>
    <w:pPr>
      <w:spacing w:line="240" w:lineRule="auto"/>
    </w:pPr>
    <w:rPr>
      <w:color w:val="00448A" w:themeColor="accent1" w:themeShade="BF"/>
    </w:rPr>
    <w:tblPr>
      <w:tblStyleRowBandSize w:val="1"/>
      <w:tblStyleColBandSize w:val="1"/>
      <w:tblBorders>
        <w:top w:val="single" w:sz="4" w:space="0" w:color="3C9CFF" w:themeColor="accent1" w:themeTint="99"/>
        <w:left w:val="single" w:sz="4" w:space="0" w:color="3C9CFF" w:themeColor="accent1" w:themeTint="99"/>
        <w:bottom w:val="single" w:sz="4" w:space="0" w:color="3C9CFF" w:themeColor="accent1" w:themeTint="99"/>
        <w:right w:val="single" w:sz="4" w:space="0" w:color="3C9CFF" w:themeColor="accent1" w:themeTint="99"/>
        <w:insideH w:val="single" w:sz="4" w:space="0" w:color="3C9CFF" w:themeColor="accent1" w:themeTint="99"/>
        <w:insideV w:val="single" w:sz="4" w:space="0" w:color="3C9CFF" w:themeColor="accent1" w:themeTint="99"/>
      </w:tblBorders>
    </w:tblPr>
    <w:tblStylePr w:type="firstRow">
      <w:rPr>
        <w:b/>
        <w:bCs/>
      </w:rPr>
      <w:tblPr/>
      <w:tcPr>
        <w:tcBorders>
          <w:bottom w:val="single" w:sz="12" w:space="0" w:color="3C9CFF" w:themeColor="accent1" w:themeTint="99"/>
        </w:tcBorders>
      </w:tcPr>
    </w:tblStylePr>
    <w:tblStylePr w:type="lastRow">
      <w:rPr>
        <w:b/>
        <w:bCs/>
      </w:rPr>
      <w:tblPr/>
      <w:tcPr>
        <w:tcBorders>
          <w:top w:val="double" w:sz="4" w:space="0" w:color="3C9CFF" w:themeColor="accent1" w:themeTint="99"/>
        </w:tcBorders>
      </w:tc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GridTable6Colorful-Accent2">
    <w:name w:val="Grid Table 6 Colorful Accent 2"/>
    <w:basedOn w:val="TableNormal"/>
    <w:uiPriority w:val="99"/>
    <w:rsid w:val="00911DE3"/>
    <w:pPr>
      <w:spacing w:line="240" w:lineRule="auto"/>
    </w:pPr>
    <w:rPr>
      <w:color w:val="8C8C8C" w:themeColor="accent2" w:themeShade="BF"/>
    </w:rPr>
    <w:tblPr>
      <w:tblStyleRowBandSize w:val="1"/>
      <w:tblStyleColBandSize w:val="1"/>
      <w:tblBorders>
        <w:top w:val="single" w:sz="4" w:space="0" w:color="D6D6D6" w:themeColor="accent2" w:themeTint="99"/>
        <w:left w:val="single" w:sz="4" w:space="0" w:color="D6D6D6" w:themeColor="accent2" w:themeTint="99"/>
        <w:bottom w:val="single" w:sz="4" w:space="0" w:color="D6D6D6" w:themeColor="accent2" w:themeTint="99"/>
        <w:right w:val="single" w:sz="4" w:space="0" w:color="D6D6D6" w:themeColor="accent2" w:themeTint="99"/>
        <w:insideH w:val="single" w:sz="4" w:space="0" w:color="D6D6D6" w:themeColor="accent2" w:themeTint="99"/>
        <w:insideV w:val="single" w:sz="4" w:space="0" w:color="D6D6D6" w:themeColor="accent2" w:themeTint="99"/>
      </w:tblBorders>
    </w:tblPr>
    <w:tblStylePr w:type="firstRow">
      <w:rPr>
        <w:b/>
        <w:bCs/>
      </w:rPr>
      <w:tblPr/>
      <w:tcPr>
        <w:tcBorders>
          <w:bottom w:val="single" w:sz="12" w:space="0" w:color="D6D6D6" w:themeColor="accent2" w:themeTint="99"/>
        </w:tcBorders>
      </w:tcPr>
    </w:tblStylePr>
    <w:tblStylePr w:type="lastRow">
      <w:rPr>
        <w:b/>
        <w:bCs/>
      </w:rPr>
      <w:tblPr/>
      <w:tcPr>
        <w:tcBorders>
          <w:top w:val="double" w:sz="4" w:space="0" w:color="D6D6D6" w:themeColor="accent2" w:themeTint="99"/>
        </w:tcBorders>
      </w:tc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GridTable6Colorful-Accent3">
    <w:name w:val="Grid Table 6 Colorful Accent 3"/>
    <w:basedOn w:val="TableNormal"/>
    <w:uiPriority w:val="99"/>
    <w:rsid w:val="00911DE3"/>
    <w:pPr>
      <w:spacing w:line="240" w:lineRule="auto"/>
    </w:pPr>
    <w:rPr>
      <w:color w:val="3A80C9" w:themeColor="accent3" w:themeShade="BF"/>
    </w:rPr>
    <w:tblPr>
      <w:tblStyleRowBandSize w:val="1"/>
      <w:tblStyleColBandSize w:val="1"/>
      <w:tblBorders>
        <w:top w:val="single" w:sz="4" w:space="0" w:color="B2CDEA" w:themeColor="accent3" w:themeTint="99"/>
        <w:left w:val="single" w:sz="4" w:space="0" w:color="B2CDEA" w:themeColor="accent3" w:themeTint="99"/>
        <w:bottom w:val="single" w:sz="4" w:space="0" w:color="B2CDEA" w:themeColor="accent3" w:themeTint="99"/>
        <w:right w:val="single" w:sz="4" w:space="0" w:color="B2CDEA" w:themeColor="accent3" w:themeTint="99"/>
        <w:insideH w:val="single" w:sz="4" w:space="0" w:color="B2CDEA" w:themeColor="accent3" w:themeTint="99"/>
        <w:insideV w:val="single" w:sz="4" w:space="0" w:color="B2CDEA" w:themeColor="accent3" w:themeTint="99"/>
      </w:tblBorders>
    </w:tblPr>
    <w:tblStylePr w:type="firstRow">
      <w:rPr>
        <w:b/>
        <w:bCs/>
      </w:rPr>
      <w:tblPr/>
      <w:tcPr>
        <w:tcBorders>
          <w:bottom w:val="single" w:sz="12" w:space="0" w:color="B2CDEA" w:themeColor="accent3" w:themeTint="99"/>
        </w:tcBorders>
      </w:tcPr>
    </w:tblStylePr>
    <w:tblStylePr w:type="lastRow">
      <w:rPr>
        <w:b/>
        <w:bCs/>
      </w:rPr>
      <w:tblPr/>
      <w:tcPr>
        <w:tcBorders>
          <w:top w:val="double" w:sz="4" w:space="0" w:color="B2CDEA" w:themeColor="accent3" w:themeTint="99"/>
        </w:tcBorders>
      </w:tc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GridTable6Colorful-Accent4">
    <w:name w:val="Grid Table 6 Colorful Accent 4"/>
    <w:basedOn w:val="TableNormal"/>
    <w:uiPriority w:val="99"/>
    <w:rsid w:val="00911DE3"/>
    <w:pPr>
      <w:spacing w:line="240" w:lineRule="auto"/>
    </w:pPr>
    <w:rPr>
      <w:color w:val="58595B" w:themeColor="accent4" w:themeShade="BF"/>
    </w:rPr>
    <w:tblPr>
      <w:tblStyleRowBandSize w:val="1"/>
      <w:tblStyleColBandSize w:val="1"/>
      <w:tblBorders>
        <w:top w:val="single" w:sz="4" w:space="0" w:color="ACADAF" w:themeColor="accent4" w:themeTint="99"/>
        <w:left w:val="single" w:sz="4" w:space="0" w:color="ACADAF" w:themeColor="accent4" w:themeTint="99"/>
        <w:bottom w:val="single" w:sz="4" w:space="0" w:color="ACADAF" w:themeColor="accent4" w:themeTint="99"/>
        <w:right w:val="single" w:sz="4" w:space="0" w:color="ACADAF" w:themeColor="accent4" w:themeTint="99"/>
        <w:insideH w:val="single" w:sz="4" w:space="0" w:color="ACADAF" w:themeColor="accent4" w:themeTint="99"/>
        <w:insideV w:val="single" w:sz="4" w:space="0" w:color="ACADAF" w:themeColor="accent4" w:themeTint="99"/>
      </w:tblBorders>
    </w:tblPr>
    <w:tblStylePr w:type="firstRow">
      <w:rPr>
        <w:b/>
        <w:bCs/>
      </w:rPr>
      <w:tblPr/>
      <w:tcPr>
        <w:tcBorders>
          <w:bottom w:val="single" w:sz="12" w:space="0" w:color="ACADAF" w:themeColor="accent4" w:themeTint="99"/>
        </w:tcBorders>
      </w:tcPr>
    </w:tblStylePr>
    <w:tblStylePr w:type="lastRow">
      <w:rPr>
        <w:b/>
        <w:bCs/>
      </w:rPr>
      <w:tblPr/>
      <w:tcPr>
        <w:tcBorders>
          <w:top w:val="double" w:sz="4" w:space="0" w:color="ACADAF" w:themeColor="accent4" w:themeTint="99"/>
        </w:tcBorders>
      </w:tc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GridTable6Colorful-Accent5">
    <w:name w:val="Grid Table 6 Colorful Accent 5"/>
    <w:basedOn w:val="TableNormal"/>
    <w:uiPriority w:val="99"/>
    <w:rsid w:val="00911DE3"/>
    <w:pPr>
      <w:spacing w:line="240" w:lineRule="auto"/>
    </w:pPr>
    <w:rPr>
      <w:color w:val="0C1118" w:themeColor="accent5" w:themeShade="BF"/>
    </w:rPr>
    <w:tblPr>
      <w:tblStyleRowBandSize w:val="1"/>
      <w:tblStyleColBandSize w:val="1"/>
      <w:tblBorders>
        <w:top w:val="single" w:sz="4" w:space="0" w:color="4F709A" w:themeColor="accent5" w:themeTint="99"/>
        <w:left w:val="single" w:sz="4" w:space="0" w:color="4F709A" w:themeColor="accent5" w:themeTint="99"/>
        <w:bottom w:val="single" w:sz="4" w:space="0" w:color="4F709A" w:themeColor="accent5" w:themeTint="99"/>
        <w:right w:val="single" w:sz="4" w:space="0" w:color="4F709A" w:themeColor="accent5" w:themeTint="99"/>
        <w:insideH w:val="single" w:sz="4" w:space="0" w:color="4F709A" w:themeColor="accent5" w:themeTint="99"/>
        <w:insideV w:val="single" w:sz="4" w:space="0" w:color="4F709A" w:themeColor="accent5" w:themeTint="99"/>
      </w:tblBorders>
    </w:tblPr>
    <w:tblStylePr w:type="firstRow">
      <w:rPr>
        <w:b/>
        <w:bCs/>
      </w:rPr>
      <w:tblPr/>
      <w:tcPr>
        <w:tcBorders>
          <w:bottom w:val="single" w:sz="12" w:space="0" w:color="4F709A" w:themeColor="accent5" w:themeTint="99"/>
        </w:tcBorders>
      </w:tcPr>
    </w:tblStylePr>
    <w:tblStylePr w:type="lastRow">
      <w:rPr>
        <w:b/>
        <w:bCs/>
      </w:rPr>
      <w:tblPr/>
      <w:tcPr>
        <w:tcBorders>
          <w:top w:val="double" w:sz="4" w:space="0" w:color="4F709A" w:themeColor="accent5" w:themeTint="99"/>
        </w:tcBorders>
      </w:tc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GridTable6Colorful-Accent6">
    <w:name w:val="Grid Table 6 Colorful Accent 6"/>
    <w:basedOn w:val="TableNormal"/>
    <w:uiPriority w:val="99"/>
    <w:rsid w:val="00911DE3"/>
    <w:pPr>
      <w:spacing w:line="240" w:lineRule="auto"/>
    </w:pPr>
    <w:rPr>
      <w:color w:val="6A9FD5" w:themeColor="accent6" w:themeShade="BF"/>
    </w:rPr>
    <w:tblPr>
      <w:tblStyleRowBandSize w:val="1"/>
      <w:tblStyleColBandSize w:val="1"/>
      <w:tblBorders>
        <w:top w:val="single" w:sz="4" w:space="0" w:color="D8E6F4" w:themeColor="accent6" w:themeTint="99"/>
        <w:left w:val="single" w:sz="4" w:space="0" w:color="D8E6F4" w:themeColor="accent6" w:themeTint="99"/>
        <w:bottom w:val="single" w:sz="4" w:space="0" w:color="D8E6F4" w:themeColor="accent6" w:themeTint="99"/>
        <w:right w:val="single" w:sz="4" w:space="0" w:color="D8E6F4" w:themeColor="accent6" w:themeTint="99"/>
        <w:insideH w:val="single" w:sz="4" w:space="0" w:color="D8E6F4" w:themeColor="accent6" w:themeTint="99"/>
        <w:insideV w:val="single" w:sz="4" w:space="0" w:color="D8E6F4" w:themeColor="accent6" w:themeTint="99"/>
      </w:tblBorders>
    </w:tblPr>
    <w:tblStylePr w:type="firstRow">
      <w:rPr>
        <w:b/>
        <w:bCs/>
      </w:rPr>
      <w:tblPr/>
      <w:tcPr>
        <w:tcBorders>
          <w:bottom w:val="single" w:sz="12" w:space="0" w:color="D8E6F4" w:themeColor="accent6" w:themeTint="99"/>
        </w:tcBorders>
      </w:tcPr>
    </w:tblStylePr>
    <w:tblStylePr w:type="lastRow">
      <w:rPr>
        <w:b/>
        <w:bCs/>
      </w:rPr>
      <w:tblPr/>
      <w:tcPr>
        <w:tcBorders>
          <w:top w:val="double" w:sz="4" w:space="0" w:color="D8E6F4" w:themeColor="accent6" w:themeTint="99"/>
        </w:tcBorders>
      </w:tc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GridTable7Colorful">
    <w:name w:val="Grid Table 7 Colorful"/>
    <w:basedOn w:val="TableNormal"/>
    <w:uiPriority w:val="99"/>
    <w:rsid w:val="00911DE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9"/>
    <w:rsid w:val="00911DE3"/>
    <w:pPr>
      <w:spacing w:line="240" w:lineRule="auto"/>
    </w:pPr>
    <w:rPr>
      <w:color w:val="00448A" w:themeColor="accent1" w:themeShade="BF"/>
    </w:rPr>
    <w:tblPr>
      <w:tblStyleRowBandSize w:val="1"/>
      <w:tblStyleColBandSize w:val="1"/>
      <w:tblBorders>
        <w:top w:val="single" w:sz="4" w:space="0" w:color="3C9CFF" w:themeColor="accent1" w:themeTint="99"/>
        <w:left w:val="single" w:sz="4" w:space="0" w:color="3C9CFF" w:themeColor="accent1" w:themeTint="99"/>
        <w:bottom w:val="single" w:sz="4" w:space="0" w:color="3C9CFF" w:themeColor="accent1" w:themeTint="99"/>
        <w:right w:val="single" w:sz="4" w:space="0" w:color="3C9CFF" w:themeColor="accent1" w:themeTint="99"/>
        <w:insideH w:val="single" w:sz="4" w:space="0" w:color="3C9CFF" w:themeColor="accent1" w:themeTint="99"/>
        <w:insideV w:val="single" w:sz="4" w:space="0" w:color="3C9C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EFF" w:themeFill="accent1" w:themeFillTint="33"/>
      </w:tcPr>
    </w:tblStylePr>
    <w:tblStylePr w:type="band1Horz">
      <w:tblPr/>
      <w:tcPr>
        <w:shd w:val="clear" w:color="auto" w:fill="BEDEFF" w:themeFill="accent1" w:themeFillTint="33"/>
      </w:tcPr>
    </w:tblStylePr>
    <w:tblStylePr w:type="neCell">
      <w:tblPr/>
      <w:tcPr>
        <w:tcBorders>
          <w:bottom w:val="single" w:sz="4" w:space="0" w:color="3C9CFF" w:themeColor="accent1" w:themeTint="99"/>
        </w:tcBorders>
      </w:tcPr>
    </w:tblStylePr>
    <w:tblStylePr w:type="nwCell">
      <w:tblPr/>
      <w:tcPr>
        <w:tcBorders>
          <w:bottom w:val="single" w:sz="4" w:space="0" w:color="3C9CFF" w:themeColor="accent1" w:themeTint="99"/>
        </w:tcBorders>
      </w:tcPr>
    </w:tblStylePr>
    <w:tblStylePr w:type="seCell">
      <w:tblPr/>
      <w:tcPr>
        <w:tcBorders>
          <w:top w:val="single" w:sz="4" w:space="0" w:color="3C9CFF" w:themeColor="accent1" w:themeTint="99"/>
        </w:tcBorders>
      </w:tcPr>
    </w:tblStylePr>
    <w:tblStylePr w:type="swCell">
      <w:tblPr/>
      <w:tcPr>
        <w:tcBorders>
          <w:top w:val="single" w:sz="4" w:space="0" w:color="3C9CFF" w:themeColor="accent1" w:themeTint="99"/>
        </w:tcBorders>
      </w:tcPr>
    </w:tblStylePr>
  </w:style>
  <w:style w:type="table" w:styleId="GridTable7Colorful-Accent2">
    <w:name w:val="Grid Table 7 Colorful Accent 2"/>
    <w:basedOn w:val="TableNormal"/>
    <w:uiPriority w:val="99"/>
    <w:rsid w:val="00911DE3"/>
    <w:pPr>
      <w:spacing w:line="240" w:lineRule="auto"/>
    </w:pPr>
    <w:rPr>
      <w:color w:val="8C8C8C" w:themeColor="accent2" w:themeShade="BF"/>
    </w:rPr>
    <w:tblPr>
      <w:tblStyleRowBandSize w:val="1"/>
      <w:tblStyleColBandSize w:val="1"/>
      <w:tblBorders>
        <w:top w:val="single" w:sz="4" w:space="0" w:color="D6D6D6" w:themeColor="accent2" w:themeTint="99"/>
        <w:left w:val="single" w:sz="4" w:space="0" w:color="D6D6D6" w:themeColor="accent2" w:themeTint="99"/>
        <w:bottom w:val="single" w:sz="4" w:space="0" w:color="D6D6D6" w:themeColor="accent2" w:themeTint="99"/>
        <w:right w:val="single" w:sz="4" w:space="0" w:color="D6D6D6" w:themeColor="accent2" w:themeTint="99"/>
        <w:insideH w:val="single" w:sz="4" w:space="0" w:color="D6D6D6" w:themeColor="accent2" w:themeTint="99"/>
        <w:insideV w:val="single" w:sz="4" w:space="0" w:color="D6D6D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1F1" w:themeFill="accent2" w:themeFillTint="33"/>
      </w:tcPr>
    </w:tblStylePr>
    <w:tblStylePr w:type="band1Horz">
      <w:tblPr/>
      <w:tcPr>
        <w:shd w:val="clear" w:color="auto" w:fill="F1F1F1" w:themeFill="accent2" w:themeFillTint="33"/>
      </w:tcPr>
    </w:tblStylePr>
    <w:tblStylePr w:type="neCell">
      <w:tblPr/>
      <w:tcPr>
        <w:tcBorders>
          <w:bottom w:val="single" w:sz="4" w:space="0" w:color="D6D6D6" w:themeColor="accent2" w:themeTint="99"/>
        </w:tcBorders>
      </w:tcPr>
    </w:tblStylePr>
    <w:tblStylePr w:type="nwCell">
      <w:tblPr/>
      <w:tcPr>
        <w:tcBorders>
          <w:bottom w:val="single" w:sz="4" w:space="0" w:color="D6D6D6" w:themeColor="accent2" w:themeTint="99"/>
        </w:tcBorders>
      </w:tcPr>
    </w:tblStylePr>
    <w:tblStylePr w:type="seCell">
      <w:tblPr/>
      <w:tcPr>
        <w:tcBorders>
          <w:top w:val="single" w:sz="4" w:space="0" w:color="D6D6D6" w:themeColor="accent2" w:themeTint="99"/>
        </w:tcBorders>
      </w:tcPr>
    </w:tblStylePr>
    <w:tblStylePr w:type="swCell">
      <w:tblPr/>
      <w:tcPr>
        <w:tcBorders>
          <w:top w:val="single" w:sz="4" w:space="0" w:color="D6D6D6" w:themeColor="accent2" w:themeTint="99"/>
        </w:tcBorders>
      </w:tcPr>
    </w:tblStylePr>
  </w:style>
  <w:style w:type="table" w:styleId="GridTable7Colorful-Accent3">
    <w:name w:val="Grid Table 7 Colorful Accent 3"/>
    <w:basedOn w:val="TableNormal"/>
    <w:uiPriority w:val="99"/>
    <w:rsid w:val="00911DE3"/>
    <w:pPr>
      <w:spacing w:line="240" w:lineRule="auto"/>
    </w:pPr>
    <w:rPr>
      <w:color w:val="3A80C9" w:themeColor="accent3" w:themeShade="BF"/>
    </w:rPr>
    <w:tblPr>
      <w:tblStyleRowBandSize w:val="1"/>
      <w:tblStyleColBandSize w:val="1"/>
      <w:tblBorders>
        <w:top w:val="single" w:sz="4" w:space="0" w:color="B2CDEA" w:themeColor="accent3" w:themeTint="99"/>
        <w:left w:val="single" w:sz="4" w:space="0" w:color="B2CDEA" w:themeColor="accent3" w:themeTint="99"/>
        <w:bottom w:val="single" w:sz="4" w:space="0" w:color="B2CDEA" w:themeColor="accent3" w:themeTint="99"/>
        <w:right w:val="single" w:sz="4" w:space="0" w:color="B2CDEA" w:themeColor="accent3" w:themeTint="99"/>
        <w:insideH w:val="single" w:sz="4" w:space="0" w:color="B2CDEA" w:themeColor="accent3" w:themeTint="99"/>
        <w:insideV w:val="single" w:sz="4" w:space="0" w:color="B2CD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EF8" w:themeFill="accent3" w:themeFillTint="33"/>
      </w:tcPr>
    </w:tblStylePr>
    <w:tblStylePr w:type="band1Horz">
      <w:tblPr/>
      <w:tcPr>
        <w:shd w:val="clear" w:color="auto" w:fill="E5EEF8" w:themeFill="accent3" w:themeFillTint="33"/>
      </w:tcPr>
    </w:tblStylePr>
    <w:tblStylePr w:type="neCell">
      <w:tblPr/>
      <w:tcPr>
        <w:tcBorders>
          <w:bottom w:val="single" w:sz="4" w:space="0" w:color="B2CDEA" w:themeColor="accent3" w:themeTint="99"/>
        </w:tcBorders>
      </w:tcPr>
    </w:tblStylePr>
    <w:tblStylePr w:type="nwCell">
      <w:tblPr/>
      <w:tcPr>
        <w:tcBorders>
          <w:bottom w:val="single" w:sz="4" w:space="0" w:color="B2CDEA" w:themeColor="accent3" w:themeTint="99"/>
        </w:tcBorders>
      </w:tcPr>
    </w:tblStylePr>
    <w:tblStylePr w:type="seCell">
      <w:tblPr/>
      <w:tcPr>
        <w:tcBorders>
          <w:top w:val="single" w:sz="4" w:space="0" w:color="B2CDEA" w:themeColor="accent3" w:themeTint="99"/>
        </w:tcBorders>
      </w:tcPr>
    </w:tblStylePr>
    <w:tblStylePr w:type="swCell">
      <w:tblPr/>
      <w:tcPr>
        <w:tcBorders>
          <w:top w:val="single" w:sz="4" w:space="0" w:color="B2CDEA" w:themeColor="accent3" w:themeTint="99"/>
        </w:tcBorders>
      </w:tcPr>
    </w:tblStylePr>
  </w:style>
  <w:style w:type="table" w:styleId="GridTable7Colorful-Accent4">
    <w:name w:val="Grid Table 7 Colorful Accent 4"/>
    <w:basedOn w:val="TableNormal"/>
    <w:uiPriority w:val="99"/>
    <w:rsid w:val="00911DE3"/>
    <w:pPr>
      <w:spacing w:line="240" w:lineRule="auto"/>
    </w:pPr>
    <w:rPr>
      <w:color w:val="58595B" w:themeColor="accent4" w:themeShade="BF"/>
    </w:rPr>
    <w:tblPr>
      <w:tblStyleRowBandSize w:val="1"/>
      <w:tblStyleColBandSize w:val="1"/>
      <w:tblBorders>
        <w:top w:val="single" w:sz="4" w:space="0" w:color="ACADAF" w:themeColor="accent4" w:themeTint="99"/>
        <w:left w:val="single" w:sz="4" w:space="0" w:color="ACADAF" w:themeColor="accent4" w:themeTint="99"/>
        <w:bottom w:val="single" w:sz="4" w:space="0" w:color="ACADAF" w:themeColor="accent4" w:themeTint="99"/>
        <w:right w:val="single" w:sz="4" w:space="0" w:color="ACADAF" w:themeColor="accent4" w:themeTint="99"/>
        <w:insideH w:val="single" w:sz="4" w:space="0" w:color="ACADAF" w:themeColor="accent4" w:themeTint="99"/>
        <w:insideV w:val="single" w:sz="4" w:space="0" w:color="ACADA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4" w:themeFillTint="33"/>
      </w:tcPr>
    </w:tblStylePr>
    <w:tblStylePr w:type="band1Horz">
      <w:tblPr/>
      <w:tcPr>
        <w:shd w:val="clear" w:color="auto" w:fill="E3E3E4" w:themeFill="accent4" w:themeFillTint="33"/>
      </w:tcPr>
    </w:tblStylePr>
    <w:tblStylePr w:type="neCell">
      <w:tblPr/>
      <w:tcPr>
        <w:tcBorders>
          <w:bottom w:val="single" w:sz="4" w:space="0" w:color="ACADAF" w:themeColor="accent4" w:themeTint="99"/>
        </w:tcBorders>
      </w:tcPr>
    </w:tblStylePr>
    <w:tblStylePr w:type="nwCell">
      <w:tblPr/>
      <w:tcPr>
        <w:tcBorders>
          <w:bottom w:val="single" w:sz="4" w:space="0" w:color="ACADAF" w:themeColor="accent4" w:themeTint="99"/>
        </w:tcBorders>
      </w:tcPr>
    </w:tblStylePr>
    <w:tblStylePr w:type="seCell">
      <w:tblPr/>
      <w:tcPr>
        <w:tcBorders>
          <w:top w:val="single" w:sz="4" w:space="0" w:color="ACADAF" w:themeColor="accent4" w:themeTint="99"/>
        </w:tcBorders>
      </w:tcPr>
    </w:tblStylePr>
    <w:tblStylePr w:type="swCell">
      <w:tblPr/>
      <w:tcPr>
        <w:tcBorders>
          <w:top w:val="single" w:sz="4" w:space="0" w:color="ACADAF" w:themeColor="accent4" w:themeTint="99"/>
        </w:tcBorders>
      </w:tcPr>
    </w:tblStylePr>
  </w:style>
  <w:style w:type="table" w:styleId="GridTable7Colorful-Accent5">
    <w:name w:val="Grid Table 7 Colorful Accent 5"/>
    <w:basedOn w:val="TableNormal"/>
    <w:uiPriority w:val="99"/>
    <w:rsid w:val="00911DE3"/>
    <w:pPr>
      <w:spacing w:line="240" w:lineRule="auto"/>
    </w:pPr>
    <w:rPr>
      <w:color w:val="0C1118" w:themeColor="accent5" w:themeShade="BF"/>
    </w:rPr>
    <w:tblPr>
      <w:tblStyleRowBandSize w:val="1"/>
      <w:tblStyleColBandSize w:val="1"/>
      <w:tblBorders>
        <w:top w:val="single" w:sz="4" w:space="0" w:color="4F709A" w:themeColor="accent5" w:themeTint="99"/>
        <w:left w:val="single" w:sz="4" w:space="0" w:color="4F709A" w:themeColor="accent5" w:themeTint="99"/>
        <w:bottom w:val="single" w:sz="4" w:space="0" w:color="4F709A" w:themeColor="accent5" w:themeTint="99"/>
        <w:right w:val="single" w:sz="4" w:space="0" w:color="4F709A" w:themeColor="accent5" w:themeTint="99"/>
        <w:insideH w:val="single" w:sz="4" w:space="0" w:color="4F709A" w:themeColor="accent5" w:themeTint="99"/>
        <w:insideV w:val="single" w:sz="4" w:space="0" w:color="4F709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CFDF" w:themeFill="accent5" w:themeFillTint="33"/>
      </w:tcPr>
    </w:tblStylePr>
    <w:tblStylePr w:type="band1Horz">
      <w:tblPr/>
      <w:tcPr>
        <w:shd w:val="clear" w:color="auto" w:fill="C2CFDF" w:themeFill="accent5" w:themeFillTint="33"/>
      </w:tcPr>
    </w:tblStylePr>
    <w:tblStylePr w:type="neCell">
      <w:tblPr/>
      <w:tcPr>
        <w:tcBorders>
          <w:bottom w:val="single" w:sz="4" w:space="0" w:color="4F709A" w:themeColor="accent5" w:themeTint="99"/>
        </w:tcBorders>
      </w:tcPr>
    </w:tblStylePr>
    <w:tblStylePr w:type="nwCell">
      <w:tblPr/>
      <w:tcPr>
        <w:tcBorders>
          <w:bottom w:val="single" w:sz="4" w:space="0" w:color="4F709A" w:themeColor="accent5" w:themeTint="99"/>
        </w:tcBorders>
      </w:tcPr>
    </w:tblStylePr>
    <w:tblStylePr w:type="seCell">
      <w:tblPr/>
      <w:tcPr>
        <w:tcBorders>
          <w:top w:val="single" w:sz="4" w:space="0" w:color="4F709A" w:themeColor="accent5" w:themeTint="99"/>
        </w:tcBorders>
      </w:tcPr>
    </w:tblStylePr>
    <w:tblStylePr w:type="swCell">
      <w:tblPr/>
      <w:tcPr>
        <w:tcBorders>
          <w:top w:val="single" w:sz="4" w:space="0" w:color="4F709A" w:themeColor="accent5" w:themeTint="99"/>
        </w:tcBorders>
      </w:tcPr>
    </w:tblStylePr>
  </w:style>
  <w:style w:type="table" w:styleId="GridTable7Colorful-Accent6">
    <w:name w:val="Grid Table 7 Colorful Accent 6"/>
    <w:basedOn w:val="TableNormal"/>
    <w:uiPriority w:val="99"/>
    <w:rsid w:val="00911DE3"/>
    <w:pPr>
      <w:spacing w:line="240" w:lineRule="auto"/>
    </w:pPr>
    <w:rPr>
      <w:color w:val="6A9FD5" w:themeColor="accent6" w:themeShade="BF"/>
    </w:rPr>
    <w:tblPr>
      <w:tblStyleRowBandSize w:val="1"/>
      <w:tblStyleColBandSize w:val="1"/>
      <w:tblBorders>
        <w:top w:val="single" w:sz="4" w:space="0" w:color="D8E6F4" w:themeColor="accent6" w:themeTint="99"/>
        <w:left w:val="single" w:sz="4" w:space="0" w:color="D8E6F4" w:themeColor="accent6" w:themeTint="99"/>
        <w:bottom w:val="single" w:sz="4" w:space="0" w:color="D8E6F4" w:themeColor="accent6" w:themeTint="99"/>
        <w:right w:val="single" w:sz="4" w:space="0" w:color="D8E6F4" w:themeColor="accent6" w:themeTint="99"/>
        <w:insideH w:val="single" w:sz="4" w:space="0" w:color="D8E6F4" w:themeColor="accent6" w:themeTint="99"/>
        <w:insideV w:val="single" w:sz="4" w:space="0" w:color="D8E6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6FB" w:themeFill="accent6" w:themeFillTint="33"/>
      </w:tcPr>
    </w:tblStylePr>
    <w:tblStylePr w:type="band1Horz">
      <w:tblPr/>
      <w:tcPr>
        <w:shd w:val="clear" w:color="auto" w:fill="F1F6FB" w:themeFill="accent6" w:themeFillTint="33"/>
      </w:tcPr>
    </w:tblStylePr>
    <w:tblStylePr w:type="neCell">
      <w:tblPr/>
      <w:tcPr>
        <w:tcBorders>
          <w:bottom w:val="single" w:sz="4" w:space="0" w:color="D8E6F4" w:themeColor="accent6" w:themeTint="99"/>
        </w:tcBorders>
      </w:tcPr>
    </w:tblStylePr>
    <w:tblStylePr w:type="nwCell">
      <w:tblPr/>
      <w:tcPr>
        <w:tcBorders>
          <w:bottom w:val="single" w:sz="4" w:space="0" w:color="D8E6F4" w:themeColor="accent6" w:themeTint="99"/>
        </w:tcBorders>
      </w:tcPr>
    </w:tblStylePr>
    <w:tblStylePr w:type="seCell">
      <w:tblPr/>
      <w:tcPr>
        <w:tcBorders>
          <w:top w:val="single" w:sz="4" w:space="0" w:color="D8E6F4" w:themeColor="accent6" w:themeTint="99"/>
        </w:tcBorders>
      </w:tcPr>
    </w:tblStylePr>
    <w:tblStylePr w:type="swCell">
      <w:tblPr/>
      <w:tcPr>
        <w:tcBorders>
          <w:top w:val="single" w:sz="4" w:space="0" w:color="D8E6F4" w:themeColor="accent6" w:themeTint="99"/>
        </w:tcBorders>
      </w:tcPr>
    </w:tblStylePr>
  </w:style>
  <w:style w:type="character" w:styleId="Hashtag">
    <w:name w:val="Hashtag"/>
    <w:basedOn w:val="DefaultParagraphFont"/>
    <w:uiPriority w:val="99"/>
    <w:semiHidden/>
    <w:rsid w:val="00911DE3"/>
    <w:rPr>
      <w:color w:val="2B579A"/>
      <w:shd w:val="clear" w:color="auto" w:fill="E1DFDD"/>
    </w:rPr>
  </w:style>
  <w:style w:type="paragraph" w:styleId="Header">
    <w:name w:val="header"/>
    <w:basedOn w:val="Normal"/>
    <w:link w:val="HeaderChar"/>
    <w:uiPriority w:val="13"/>
    <w:semiHidden/>
    <w:rsid w:val="00C26C62"/>
    <w:pPr>
      <w:spacing w:line="200" w:lineRule="atLeast"/>
    </w:pPr>
    <w:rPr>
      <w:sz w:val="16"/>
    </w:rPr>
  </w:style>
  <w:style w:type="character" w:customStyle="1" w:styleId="HeaderChar">
    <w:name w:val="Header Char"/>
    <w:basedOn w:val="DefaultParagraphFont"/>
    <w:link w:val="Header"/>
    <w:uiPriority w:val="13"/>
    <w:semiHidden/>
    <w:rsid w:val="00C26C62"/>
    <w:rPr>
      <w:sz w:val="16"/>
    </w:rPr>
  </w:style>
  <w:style w:type="character" w:customStyle="1" w:styleId="Heading1Char">
    <w:name w:val="Heading 1 Char"/>
    <w:basedOn w:val="DefaultParagraphFont"/>
    <w:link w:val="Heading1"/>
    <w:uiPriority w:val="1"/>
    <w:rsid w:val="005B33CE"/>
    <w:rPr>
      <w:rFonts w:asciiTheme="minorHAnsi" w:eastAsiaTheme="majorEastAsia" w:hAnsiTheme="minorHAnsi" w:cs="Arial"/>
      <w:color w:val="000000"/>
      <w:sz w:val="40"/>
      <w:szCs w:val="32"/>
      <w:lang w:val="en-US"/>
    </w:rPr>
  </w:style>
  <w:style w:type="character" w:customStyle="1" w:styleId="Heading2Char">
    <w:name w:val="Heading 2 Char"/>
    <w:basedOn w:val="DefaultParagraphFont"/>
    <w:link w:val="Heading2"/>
    <w:uiPriority w:val="1"/>
    <w:rsid w:val="00EB3839"/>
    <w:rPr>
      <w:rFonts w:eastAsiaTheme="majorEastAsia" w:cs="Arial"/>
      <w:b/>
      <w:sz w:val="28"/>
      <w:szCs w:val="26"/>
      <w:lang w:val="en-US"/>
    </w:rPr>
  </w:style>
  <w:style w:type="character" w:customStyle="1" w:styleId="Heading3Char">
    <w:name w:val="Heading 3 Char"/>
    <w:basedOn w:val="DefaultParagraphFont"/>
    <w:link w:val="Heading3"/>
    <w:uiPriority w:val="1"/>
    <w:rsid w:val="007D3CB7"/>
    <w:rPr>
      <w:rFonts w:ascii="Avenir Next LT Pro" w:eastAsiaTheme="majorEastAsia" w:hAnsi="Avenir Next LT Pro" w:cs="Arial"/>
      <w:bCs/>
      <w:color w:val="000000"/>
      <w:sz w:val="32"/>
      <w:szCs w:val="32"/>
      <w:lang w:val="en-US"/>
    </w:rPr>
  </w:style>
  <w:style w:type="character" w:customStyle="1" w:styleId="Heading4Char">
    <w:name w:val="Heading 4 Char"/>
    <w:basedOn w:val="DefaultParagraphFont"/>
    <w:link w:val="Heading4"/>
    <w:uiPriority w:val="1"/>
    <w:semiHidden/>
    <w:rsid w:val="00EB3839"/>
    <w:rPr>
      <w:rFonts w:eastAsiaTheme="majorEastAsia" w:cs="Arial"/>
      <w:b/>
      <w:iCs/>
      <w:lang w:val="en-US"/>
    </w:rPr>
  </w:style>
  <w:style w:type="character" w:customStyle="1" w:styleId="Heading5Char">
    <w:name w:val="Heading 5 Char"/>
    <w:basedOn w:val="DefaultParagraphFont"/>
    <w:link w:val="Heading5"/>
    <w:uiPriority w:val="1"/>
    <w:semiHidden/>
    <w:rsid w:val="00EB3839"/>
    <w:rPr>
      <w:rFonts w:eastAsiaTheme="majorEastAsia" w:cs="Arial"/>
      <w:b/>
      <w:lang w:val="en-US"/>
    </w:rPr>
  </w:style>
  <w:style w:type="character" w:customStyle="1" w:styleId="Heading6Char">
    <w:name w:val="Heading 6 Char"/>
    <w:basedOn w:val="DefaultParagraphFont"/>
    <w:link w:val="Heading6"/>
    <w:uiPriority w:val="1"/>
    <w:semiHidden/>
    <w:rsid w:val="00EB3839"/>
    <w:rPr>
      <w:rFonts w:eastAsiaTheme="majorEastAsia" w:cs="Arial"/>
      <w:b/>
      <w:lang w:val="en-US"/>
    </w:rPr>
  </w:style>
  <w:style w:type="character" w:customStyle="1" w:styleId="Heading7Char">
    <w:name w:val="Heading 7 Char"/>
    <w:basedOn w:val="DefaultParagraphFont"/>
    <w:link w:val="Heading7"/>
    <w:uiPriority w:val="1"/>
    <w:semiHidden/>
    <w:rsid w:val="00EB3839"/>
    <w:rPr>
      <w:rFonts w:eastAsiaTheme="majorEastAsia" w:cs="Arial"/>
      <w:b/>
      <w:iCs/>
      <w:lang w:val="en-US"/>
    </w:rPr>
  </w:style>
  <w:style w:type="character" w:customStyle="1" w:styleId="Heading8Char">
    <w:name w:val="Heading 8 Char"/>
    <w:basedOn w:val="DefaultParagraphFont"/>
    <w:link w:val="Heading8"/>
    <w:uiPriority w:val="1"/>
    <w:semiHidden/>
    <w:rsid w:val="00EB3839"/>
    <w:rPr>
      <w:rFonts w:eastAsiaTheme="majorEastAsia" w:cs="Arial"/>
      <w:b/>
      <w:szCs w:val="21"/>
      <w:lang w:val="en-US"/>
    </w:rPr>
  </w:style>
  <w:style w:type="character" w:customStyle="1" w:styleId="Heading9Char">
    <w:name w:val="Heading 9 Char"/>
    <w:basedOn w:val="DefaultParagraphFont"/>
    <w:link w:val="Heading9"/>
    <w:uiPriority w:val="1"/>
    <w:semiHidden/>
    <w:rsid w:val="00EB3839"/>
    <w:rPr>
      <w:rFonts w:eastAsiaTheme="majorEastAsia" w:cs="Arial"/>
      <w:b/>
      <w:iCs/>
      <w:szCs w:val="21"/>
      <w:lang w:val="en-US"/>
    </w:rPr>
  </w:style>
  <w:style w:type="character" w:styleId="HTMLAcronym">
    <w:name w:val="HTML Acronym"/>
    <w:basedOn w:val="DefaultParagraphFont"/>
    <w:uiPriority w:val="99"/>
    <w:semiHidden/>
    <w:rsid w:val="00911DE3"/>
  </w:style>
  <w:style w:type="paragraph" w:styleId="HTMLAddress">
    <w:name w:val="HTML Address"/>
    <w:basedOn w:val="Normal"/>
    <w:link w:val="HTMLAddressChar"/>
    <w:uiPriority w:val="99"/>
    <w:semiHidden/>
    <w:rsid w:val="00911DE3"/>
    <w:rPr>
      <w:i/>
      <w:iCs/>
    </w:rPr>
  </w:style>
  <w:style w:type="character" w:customStyle="1" w:styleId="HTMLAddressChar">
    <w:name w:val="HTML Address Char"/>
    <w:basedOn w:val="DefaultParagraphFont"/>
    <w:link w:val="HTMLAddress"/>
    <w:uiPriority w:val="99"/>
    <w:semiHidden/>
    <w:rsid w:val="00911DE3"/>
    <w:rPr>
      <w:rFonts w:asciiTheme="minorHAnsi" w:eastAsia="Trebuchet MS" w:hAnsiTheme="minorHAnsi" w:cs="Trebuchet MS"/>
      <w:i/>
      <w:iCs/>
      <w:color w:val="000000"/>
      <w:lang w:val="en-US"/>
    </w:rPr>
  </w:style>
  <w:style w:type="character" w:styleId="HTMLCite">
    <w:name w:val="HTML Cite"/>
    <w:basedOn w:val="DefaultParagraphFont"/>
    <w:uiPriority w:val="99"/>
    <w:semiHidden/>
    <w:rsid w:val="00911DE3"/>
    <w:rPr>
      <w:i/>
      <w:iCs/>
    </w:rPr>
  </w:style>
  <w:style w:type="character" w:styleId="HTMLCode">
    <w:name w:val="HTML Code"/>
    <w:basedOn w:val="DefaultParagraphFont"/>
    <w:uiPriority w:val="99"/>
    <w:semiHidden/>
    <w:rsid w:val="00911DE3"/>
    <w:rPr>
      <w:rFonts w:ascii="AvenirNext LT Pro Regular" w:hAnsi="AvenirNext LT Pro Regular" w:cs="Arial"/>
      <w:sz w:val="20"/>
      <w:szCs w:val="20"/>
    </w:rPr>
  </w:style>
  <w:style w:type="character" w:styleId="HTMLDefinition">
    <w:name w:val="HTML Definition"/>
    <w:basedOn w:val="DefaultParagraphFont"/>
    <w:uiPriority w:val="99"/>
    <w:semiHidden/>
    <w:rsid w:val="00911DE3"/>
    <w:rPr>
      <w:i/>
      <w:iCs/>
    </w:rPr>
  </w:style>
  <w:style w:type="character" w:styleId="HTMLKeyboard">
    <w:name w:val="HTML Keyboard"/>
    <w:basedOn w:val="DefaultParagraphFont"/>
    <w:uiPriority w:val="99"/>
    <w:semiHidden/>
    <w:rsid w:val="00911DE3"/>
    <w:rPr>
      <w:rFonts w:ascii="AvenirNext LT Pro Regular" w:hAnsi="AvenirNext LT Pro Regular" w:cs="Arial"/>
      <w:sz w:val="20"/>
      <w:szCs w:val="20"/>
    </w:rPr>
  </w:style>
  <w:style w:type="paragraph" w:styleId="HTMLPreformatted">
    <w:name w:val="HTML Preformatted"/>
    <w:basedOn w:val="Normal"/>
    <w:link w:val="HTMLPreformattedChar"/>
    <w:uiPriority w:val="99"/>
    <w:semiHidden/>
    <w:rsid w:val="00911DE3"/>
    <w:rPr>
      <w:rFonts w:cs="Arial"/>
    </w:rPr>
  </w:style>
  <w:style w:type="character" w:customStyle="1" w:styleId="HTMLPreformattedChar">
    <w:name w:val="HTML Preformatted Char"/>
    <w:basedOn w:val="DefaultParagraphFont"/>
    <w:link w:val="HTMLPreformatted"/>
    <w:uiPriority w:val="99"/>
    <w:semiHidden/>
    <w:rsid w:val="00911DE3"/>
    <w:rPr>
      <w:rFonts w:asciiTheme="minorHAnsi" w:eastAsia="Trebuchet MS" w:hAnsiTheme="minorHAnsi" w:cs="Arial"/>
      <w:color w:val="000000"/>
      <w:lang w:val="en-US"/>
    </w:rPr>
  </w:style>
  <w:style w:type="character" w:styleId="HTMLSample">
    <w:name w:val="HTML Sample"/>
    <w:basedOn w:val="DefaultParagraphFont"/>
    <w:uiPriority w:val="99"/>
    <w:semiHidden/>
    <w:rsid w:val="00911DE3"/>
    <w:rPr>
      <w:rFonts w:ascii="AvenirNext LT Pro Regular" w:hAnsi="AvenirNext LT Pro Regular" w:cs="Arial"/>
      <w:sz w:val="24"/>
      <w:szCs w:val="24"/>
    </w:rPr>
  </w:style>
  <w:style w:type="character" w:styleId="HTMLTypewriter">
    <w:name w:val="HTML Typewriter"/>
    <w:basedOn w:val="DefaultParagraphFont"/>
    <w:uiPriority w:val="99"/>
    <w:semiHidden/>
    <w:rsid w:val="00911DE3"/>
    <w:rPr>
      <w:rFonts w:ascii="AvenirNext LT Pro Regular" w:hAnsi="AvenirNext LT Pro Regular" w:cs="Arial"/>
      <w:sz w:val="20"/>
      <w:szCs w:val="20"/>
    </w:rPr>
  </w:style>
  <w:style w:type="character" w:styleId="HTMLVariable">
    <w:name w:val="HTML Variable"/>
    <w:basedOn w:val="DefaultParagraphFont"/>
    <w:uiPriority w:val="99"/>
    <w:semiHidden/>
    <w:rsid w:val="00911DE3"/>
    <w:rPr>
      <w:i/>
      <w:iCs/>
    </w:rPr>
  </w:style>
  <w:style w:type="character" w:styleId="Hyperlink">
    <w:name w:val="Hyperlink"/>
    <w:basedOn w:val="DefaultParagraphFont"/>
    <w:uiPriority w:val="99"/>
    <w:qFormat/>
    <w:rsid w:val="00911DE3"/>
    <w:rPr>
      <w:color w:val="0563C1" w:themeColor="hyperlink"/>
      <w:u w:val="single"/>
    </w:rPr>
  </w:style>
  <w:style w:type="paragraph" w:styleId="Index1">
    <w:name w:val="index 1"/>
    <w:basedOn w:val="Normal"/>
    <w:next w:val="Normal"/>
    <w:autoRedefine/>
    <w:uiPriority w:val="99"/>
    <w:semiHidden/>
    <w:rsid w:val="00911DE3"/>
    <w:pPr>
      <w:ind w:left="200" w:hanging="200"/>
    </w:pPr>
  </w:style>
  <w:style w:type="paragraph" w:styleId="Index2">
    <w:name w:val="index 2"/>
    <w:basedOn w:val="Normal"/>
    <w:next w:val="Normal"/>
    <w:autoRedefine/>
    <w:uiPriority w:val="99"/>
    <w:semiHidden/>
    <w:rsid w:val="00911DE3"/>
    <w:pPr>
      <w:ind w:left="400" w:hanging="200"/>
    </w:pPr>
  </w:style>
  <w:style w:type="paragraph" w:styleId="Index3">
    <w:name w:val="index 3"/>
    <w:basedOn w:val="Normal"/>
    <w:next w:val="Normal"/>
    <w:autoRedefine/>
    <w:uiPriority w:val="99"/>
    <w:semiHidden/>
    <w:rsid w:val="00911DE3"/>
    <w:pPr>
      <w:ind w:left="600" w:hanging="200"/>
    </w:pPr>
  </w:style>
  <w:style w:type="paragraph" w:styleId="Index4">
    <w:name w:val="index 4"/>
    <w:basedOn w:val="Normal"/>
    <w:next w:val="Normal"/>
    <w:autoRedefine/>
    <w:uiPriority w:val="99"/>
    <w:semiHidden/>
    <w:rsid w:val="00911DE3"/>
    <w:pPr>
      <w:ind w:left="800" w:hanging="200"/>
    </w:pPr>
  </w:style>
  <w:style w:type="paragraph" w:styleId="Index5">
    <w:name w:val="index 5"/>
    <w:basedOn w:val="Normal"/>
    <w:next w:val="Normal"/>
    <w:autoRedefine/>
    <w:uiPriority w:val="99"/>
    <w:semiHidden/>
    <w:rsid w:val="00911DE3"/>
    <w:pPr>
      <w:ind w:left="1000" w:hanging="200"/>
    </w:pPr>
  </w:style>
  <w:style w:type="paragraph" w:styleId="Index6">
    <w:name w:val="index 6"/>
    <w:basedOn w:val="Normal"/>
    <w:next w:val="Normal"/>
    <w:autoRedefine/>
    <w:uiPriority w:val="99"/>
    <w:semiHidden/>
    <w:rsid w:val="00911DE3"/>
    <w:pPr>
      <w:ind w:left="1200" w:hanging="200"/>
    </w:pPr>
  </w:style>
  <w:style w:type="paragraph" w:styleId="Index7">
    <w:name w:val="index 7"/>
    <w:basedOn w:val="Normal"/>
    <w:next w:val="Normal"/>
    <w:autoRedefine/>
    <w:uiPriority w:val="99"/>
    <w:semiHidden/>
    <w:rsid w:val="00911DE3"/>
    <w:pPr>
      <w:ind w:left="1400" w:hanging="200"/>
    </w:pPr>
  </w:style>
  <w:style w:type="paragraph" w:styleId="Index8">
    <w:name w:val="index 8"/>
    <w:basedOn w:val="Normal"/>
    <w:next w:val="Normal"/>
    <w:autoRedefine/>
    <w:uiPriority w:val="99"/>
    <w:semiHidden/>
    <w:rsid w:val="00911DE3"/>
    <w:pPr>
      <w:ind w:left="1600" w:hanging="200"/>
    </w:pPr>
  </w:style>
  <w:style w:type="paragraph" w:styleId="Index9">
    <w:name w:val="index 9"/>
    <w:basedOn w:val="Normal"/>
    <w:next w:val="Normal"/>
    <w:autoRedefine/>
    <w:uiPriority w:val="99"/>
    <w:semiHidden/>
    <w:rsid w:val="00911DE3"/>
    <w:pPr>
      <w:ind w:left="1800" w:hanging="200"/>
    </w:pPr>
  </w:style>
  <w:style w:type="paragraph" w:styleId="IndexHeading">
    <w:name w:val="index heading"/>
    <w:basedOn w:val="Normal"/>
    <w:next w:val="Index1"/>
    <w:uiPriority w:val="99"/>
    <w:semiHidden/>
    <w:rsid w:val="00911DE3"/>
    <w:rPr>
      <w:rFonts w:eastAsiaTheme="majorEastAsia" w:cs="Arial"/>
      <w:b/>
      <w:bCs/>
    </w:rPr>
  </w:style>
  <w:style w:type="character" w:styleId="IntenseEmphasis">
    <w:name w:val="Intense Emphasis"/>
    <w:basedOn w:val="DefaultParagraphFont"/>
    <w:uiPriority w:val="99"/>
    <w:semiHidden/>
    <w:qFormat/>
    <w:rsid w:val="00911DE3"/>
    <w:rPr>
      <w:i/>
      <w:iCs/>
      <w:color w:val="005CB9" w:themeColor="accent1"/>
    </w:rPr>
  </w:style>
  <w:style w:type="paragraph" w:styleId="IntenseQuote">
    <w:name w:val="Intense Quote"/>
    <w:basedOn w:val="Normal"/>
    <w:next w:val="Normal"/>
    <w:link w:val="IntenseQuoteChar"/>
    <w:uiPriority w:val="99"/>
    <w:semiHidden/>
    <w:qFormat/>
    <w:rsid w:val="00911DE3"/>
    <w:pPr>
      <w:pBdr>
        <w:top w:val="single" w:sz="4" w:space="10" w:color="005CB9" w:themeColor="accent1"/>
        <w:bottom w:val="single" w:sz="4" w:space="10" w:color="005CB9" w:themeColor="accent1"/>
      </w:pBdr>
      <w:spacing w:before="360" w:after="360"/>
      <w:ind w:left="864" w:right="864"/>
      <w:jc w:val="center"/>
    </w:pPr>
    <w:rPr>
      <w:i/>
      <w:iCs/>
      <w:color w:val="005CB9" w:themeColor="accent1"/>
    </w:rPr>
  </w:style>
  <w:style w:type="character" w:customStyle="1" w:styleId="IntenseQuoteChar">
    <w:name w:val="Intense Quote Char"/>
    <w:basedOn w:val="DefaultParagraphFont"/>
    <w:link w:val="IntenseQuote"/>
    <w:uiPriority w:val="99"/>
    <w:semiHidden/>
    <w:rsid w:val="00A44986"/>
    <w:rPr>
      <w:i/>
      <w:iCs/>
      <w:color w:val="005CB9" w:themeColor="accent1"/>
    </w:rPr>
  </w:style>
  <w:style w:type="character" w:styleId="IntenseReference">
    <w:name w:val="Intense Reference"/>
    <w:basedOn w:val="DefaultParagraphFont"/>
    <w:uiPriority w:val="99"/>
    <w:semiHidden/>
    <w:qFormat/>
    <w:rsid w:val="00911DE3"/>
    <w:rPr>
      <w:b/>
      <w:bCs/>
      <w:smallCaps/>
      <w:color w:val="005CB9" w:themeColor="accent1"/>
      <w:spacing w:val="5"/>
    </w:rPr>
  </w:style>
  <w:style w:type="table" w:styleId="LightGrid">
    <w:name w:val="Light Grid"/>
    <w:basedOn w:val="TableNormal"/>
    <w:uiPriority w:val="99"/>
    <w:semiHidden/>
    <w:unhideWhenUsed/>
    <w:rsid w:val="00911DE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911DE3"/>
    <w:pPr>
      <w:spacing w:line="240" w:lineRule="auto"/>
    </w:pPr>
    <w:tblPr>
      <w:tblStyleRowBandSize w:val="1"/>
      <w:tblStyleColBandSize w:val="1"/>
      <w:tblBorders>
        <w:top w:val="single" w:sz="8" w:space="0" w:color="005CB9" w:themeColor="accent1"/>
        <w:left w:val="single" w:sz="8" w:space="0" w:color="005CB9" w:themeColor="accent1"/>
        <w:bottom w:val="single" w:sz="8" w:space="0" w:color="005CB9" w:themeColor="accent1"/>
        <w:right w:val="single" w:sz="8" w:space="0" w:color="005CB9" w:themeColor="accent1"/>
        <w:insideH w:val="single" w:sz="8" w:space="0" w:color="005CB9" w:themeColor="accent1"/>
        <w:insideV w:val="single" w:sz="8" w:space="0" w:color="005CB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CB9" w:themeColor="accent1"/>
          <w:left w:val="single" w:sz="8" w:space="0" w:color="005CB9" w:themeColor="accent1"/>
          <w:bottom w:val="single" w:sz="18" w:space="0" w:color="005CB9" w:themeColor="accent1"/>
          <w:right w:val="single" w:sz="8" w:space="0" w:color="005CB9" w:themeColor="accent1"/>
          <w:insideH w:val="nil"/>
          <w:insideV w:val="single" w:sz="8" w:space="0" w:color="005CB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CB9" w:themeColor="accent1"/>
          <w:left w:val="single" w:sz="8" w:space="0" w:color="005CB9" w:themeColor="accent1"/>
          <w:bottom w:val="single" w:sz="8" w:space="0" w:color="005CB9" w:themeColor="accent1"/>
          <w:right w:val="single" w:sz="8" w:space="0" w:color="005CB9" w:themeColor="accent1"/>
          <w:insideH w:val="nil"/>
          <w:insideV w:val="single" w:sz="8" w:space="0" w:color="005CB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CB9" w:themeColor="accent1"/>
          <w:left w:val="single" w:sz="8" w:space="0" w:color="005CB9" w:themeColor="accent1"/>
          <w:bottom w:val="single" w:sz="8" w:space="0" w:color="005CB9" w:themeColor="accent1"/>
          <w:right w:val="single" w:sz="8" w:space="0" w:color="005CB9" w:themeColor="accent1"/>
        </w:tcBorders>
      </w:tcPr>
    </w:tblStylePr>
    <w:tblStylePr w:type="band1Vert">
      <w:tblPr/>
      <w:tcPr>
        <w:tcBorders>
          <w:top w:val="single" w:sz="8" w:space="0" w:color="005CB9" w:themeColor="accent1"/>
          <w:left w:val="single" w:sz="8" w:space="0" w:color="005CB9" w:themeColor="accent1"/>
          <w:bottom w:val="single" w:sz="8" w:space="0" w:color="005CB9" w:themeColor="accent1"/>
          <w:right w:val="single" w:sz="8" w:space="0" w:color="005CB9" w:themeColor="accent1"/>
        </w:tcBorders>
        <w:shd w:val="clear" w:color="auto" w:fill="AED6FF" w:themeFill="accent1" w:themeFillTint="3F"/>
      </w:tcPr>
    </w:tblStylePr>
    <w:tblStylePr w:type="band1Horz">
      <w:tblPr/>
      <w:tcPr>
        <w:tcBorders>
          <w:top w:val="single" w:sz="8" w:space="0" w:color="005CB9" w:themeColor="accent1"/>
          <w:left w:val="single" w:sz="8" w:space="0" w:color="005CB9" w:themeColor="accent1"/>
          <w:bottom w:val="single" w:sz="8" w:space="0" w:color="005CB9" w:themeColor="accent1"/>
          <w:right w:val="single" w:sz="8" w:space="0" w:color="005CB9" w:themeColor="accent1"/>
          <w:insideV w:val="single" w:sz="8" w:space="0" w:color="005CB9" w:themeColor="accent1"/>
        </w:tcBorders>
        <w:shd w:val="clear" w:color="auto" w:fill="AED6FF" w:themeFill="accent1" w:themeFillTint="3F"/>
      </w:tcPr>
    </w:tblStylePr>
    <w:tblStylePr w:type="band2Horz">
      <w:tblPr/>
      <w:tcPr>
        <w:tcBorders>
          <w:top w:val="single" w:sz="8" w:space="0" w:color="005CB9" w:themeColor="accent1"/>
          <w:left w:val="single" w:sz="8" w:space="0" w:color="005CB9" w:themeColor="accent1"/>
          <w:bottom w:val="single" w:sz="8" w:space="0" w:color="005CB9" w:themeColor="accent1"/>
          <w:right w:val="single" w:sz="8" w:space="0" w:color="005CB9" w:themeColor="accent1"/>
          <w:insideV w:val="single" w:sz="8" w:space="0" w:color="005CB9" w:themeColor="accent1"/>
        </w:tcBorders>
      </w:tcPr>
    </w:tblStylePr>
  </w:style>
  <w:style w:type="table" w:styleId="LightGrid-Accent2">
    <w:name w:val="Light Grid Accent 2"/>
    <w:basedOn w:val="TableNormal"/>
    <w:uiPriority w:val="99"/>
    <w:semiHidden/>
    <w:unhideWhenUsed/>
    <w:rsid w:val="00911DE3"/>
    <w:pPr>
      <w:spacing w:line="240" w:lineRule="auto"/>
    </w:pPr>
    <w:tblPr>
      <w:tblStyleRowBandSize w:val="1"/>
      <w:tblStyleColBandSize w:val="1"/>
      <w:tblBorders>
        <w:top w:val="single" w:sz="8" w:space="0" w:color="BBBBBB" w:themeColor="accent2"/>
        <w:left w:val="single" w:sz="8" w:space="0" w:color="BBBBBB" w:themeColor="accent2"/>
        <w:bottom w:val="single" w:sz="8" w:space="0" w:color="BBBBBB" w:themeColor="accent2"/>
        <w:right w:val="single" w:sz="8" w:space="0" w:color="BBBBBB" w:themeColor="accent2"/>
        <w:insideH w:val="single" w:sz="8" w:space="0" w:color="BBBBBB" w:themeColor="accent2"/>
        <w:insideV w:val="single" w:sz="8" w:space="0" w:color="BBBBB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BBBB" w:themeColor="accent2"/>
          <w:left w:val="single" w:sz="8" w:space="0" w:color="BBBBBB" w:themeColor="accent2"/>
          <w:bottom w:val="single" w:sz="18" w:space="0" w:color="BBBBBB" w:themeColor="accent2"/>
          <w:right w:val="single" w:sz="8" w:space="0" w:color="BBBBBB" w:themeColor="accent2"/>
          <w:insideH w:val="nil"/>
          <w:insideV w:val="single" w:sz="8" w:space="0" w:color="BBBBB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BBBB" w:themeColor="accent2"/>
          <w:left w:val="single" w:sz="8" w:space="0" w:color="BBBBBB" w:themeColor="accent2"/>
          <w:bottom w:val="single" w:sz="8" w:space="0" w:color="BBBBBB" w:themeColor="accent2"/>
          <w:right w:val="single" w:sz="8" w:space="0" w:color="BBBBBB" w:themeColor="accent2"/>
          <w:insideH w:val="nil"/>
          <w:insideV w:val="single" w:sz="8" w:space="0" w:color="BBBBB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BBBB" w:themeColor="accent2"/>
          <w:left w:val="single" w:sz="8" w:space="0" w:color="BBBBBB" w:themeColor="accent2"/>
          <w:bottom w:val="single" w:sz="8" w:space="0" w:color="BBBBBB" w:themeColor="accent2"/>
          <w:right w:val="single" w:sz="8" w:space="0" w:color="BBBBBB" w:themeColor="accent2"/>
        </w:tcBorders>
      </w:tcPr>
    </w:tblStylePr>
    <w:tblStylePr w:type="band1Vert">
      <w:tblPr/>
      <w:tcPr>
        <w:tcBorders>
          <w:top w:val="single" w:sz="8" w:space="0" w:color="BBBBBB" w:themeColor="accent2"/>
          <w:left w:val="single" w:sz="8" w:space="0" w:color="BBBBBB" w:themeColor="accent2"/>
          <w:bottom w:val="single" w:sz="8" w:space="0" w:color="BBBBBB" w:themeColor="accent2"/>
          <w:right w:val="single" w:sz="8" w:space="0" w:color="BBBBBB" w:themeColor="accent2"/>
        </w:tcBorders>
        <w:shd w:val="clear" w:color="auto" w:fill="EEEEEE" w:themeFill="accent2" w:themeFillTint="3F"/>
      </w:tcPr>
    </w:tblStylePr>
    <w:tblStylePr w:type="band1Horz">
      <w:tblPr/>
      <w:tcPr>
        <w:tcBorders>
          <w:top w:val="single" w:sz="8" w:space="0" w:color="BBBBBB" w:themeColor="accent2"/>
          <w:left w:val="single" w:sz="8" w:space="0" w:color="BBBBBB" w:themeColor="accent2"/>
          <w:bottom w:val="single" w:sz="8" w:space="0" w:color="BBBBBB" w:themeColor="accent2"/>
          <w:right w:val="single" w:sz="8" w:space="0" w:color="BBBBBB" w:themeColor="accent2"/>
          <w:insideV w:val="single" w:sz="8" w:space="0" w:color="BBBBBB" w:themeColor="accent2"/>
        </w:tcBorders>
        <w:shd w:val="clear" w:color="auto" w:fill="EEEEEE" w:themeFill="accent2" w:themeFillTint="3F"/>
      </w:tcPr>
    </w:tblStylePr>
    <w:tblStylePr w:type="band2Horz">
      <w:tblPr/>
      <w:tcPr>
        <w:tcBorders>
          <w:top w:val="single" w:sz="8" w:space="0" w:color="BBBBBB" w:themeColor="accent2"/>
          <w:left w:val="single" w:sz="8" w:space="0" w:color="BBBBBB" w:themeColor="accent2"/>
          <w:bottom w:val="single" w:sz="8" w:space="0" w:color="BBBBBB" w:themeColor="accent2"/>
          <w:right w:val="single" w:sz="8" w:space="0" w:color="BBBBBB" w:themeColor="accent2"/>
          <w:insideV w:val="single" w:sz="8" w:space="0" w:color="BBBBBB" w:themeColor="accent2"/>
        </w:tcBorders>
      </w:tcPr>
    </w:tblStylePr>
  </w:style>
  <w:style w:type="table" w:styleId="LightGrid-Accent3">
    <w:name w:val="Light Grid Accent 3"/>
    <w:basedOn w:val="TableNormal"/>
    <w:uiPriority w:val="99"/>
    <w:semiHidden/>
    <w:unhideWhenUsed/>
    <w:rsid w:val="00911DE3"/>
    <w:pPr>
      <w:spacing w:line="240" w:lineRule="auto"/>
    </w:pPr>
    <w:tblPr>
      <w:tblStyleRowBandSize w:val="1"/>
      <w:tblStyleColBandSize w:val="1"/>
      <w:tblBorders>
        <w:top w:val="single" w:sz="8" w:space="0" w:color="7FADDC" w:themeColor="accent3"/>
        <w:left w:val="single" w:sz="8" w:space="0" w:color="7FADDC" w:themeColor="accent3"/>
        <w:bottom w:val="single" w:sz="8" w:space="0" w:color="7FADDC" w:themeColor="accent3"/>
        <w:right w:val="single" w:sz="8" w:space="0" w:color="7FADDC" w:themeColor="accent3"/>
        <w:insideH w:val="single" w:sz="8" w:space="0" w:color="7FADDC" w:themeColor="accent3"/>
        <w:insideV w:val="single" w:sz="8" w:space="0" w:color="7FADD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ADDC" w:themeColor="accent3"/>
          <w:left w:val="single" w:sz="8" w:space="0" w:color="7FADDC" w:themeColor="accent3"/>
          <w:bottom w:val="single" w:sz="18" w:space="0" w:color="7FADDC" w:themeColor="accent3"/>
          <w:right w:val="single" w:sz="8" w:space="0" w:color="7FADDC" w:themeColor="accent3"/>
          <w:insideH w:val="nil"/>
          <w:insideV w:val="single" w:sz="8" w:space="0" w:color="7FADD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ADDC" w:themeColor="accent3"/>
          <w:left w:val="single" w:sz="8" w:space="0" w:color="7FADDC" w:themeColor="accent3"/>
          <w:bottom w:val="single" w:sz="8" w:space="0" w:color="7FADDC" w:themeColor="accent3"/>
          <w:right w:val="single" w:sz="8" w:space="0" w:color="7FADDC" w:themeColor="accent3"/>
          <w:insideH w:val="nil"/>
          <w:insideV w:val="single" w:sz="8" w:space="0" w:color="7FADD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ADDC" w:themeColor="accent3"/>
          <w:left w:val="single" w:sz="8" w:space="0" w:color="7FADDC" w:themeColor="accent3"/>
          <w:bottom w:val="single" w:sz="8" w:space="0" w:color="7FADDC" w:themeColor="accent3"/>
          <w:right w:val="single" w:sz="8" w:space="0" w:color="7FADDC" w:themeColor="accent3"/>
        </w:tcBorders>
      </w:tcPr>
    </w:tblStylePr>
    <w:tblStylePr w:type="band1Vert">
      <w:tblPr/>
      <w:tcPr>
        <w:tcBorders>
          <w:top w:val="single" w:sz="8" w:space="0" w:color="7FADDC" w:themeColor="accent3"/>
          <w:left w:val="single" w:sz="8" w:space="0" w:color="7FADDC" w:themeColor="accent3"/>
          <w:bottom w:val="single" w:sz="8" w:space="0" w:color="7FADDC" w:themeColor="accent3"/>
          <w:right w:val="single" w:sz="8" w:space="0" w:color="7FADDC" w:themeColor="accent3"/>
        </w:tcBorders>
        <w:shd w:val="clear" w:color="auto" w:fill="DFEAF6" w:themeFill="accent3" w:themeFillTint="3F"/>
      </w:tcPr>
    </w:tblStylePr>
    <w:tblStylePr w:type="band1Horz">
      <w:tblPr/>
      <w:tcPr>
        <w:tcBorders>
          <w:top w:val="single" w:sz="8" w:space="0" w:color="7FADDC" w:themeColor="accent3"/>
          <w:left w:val="single" w:sz="8" w:space="0" w:color="7FADDC" w:themeColor="accent3"/>
          <w:bottom w:val="single" w:sz="8" w:space="0" w:color="7FADDC" w:themeColor="accent3"/>
          <w:right w:val="single" w:sz="8" w:space="0" w:color="7FADDC" w:themeColor="accent3"/>
          <w:insideV w:val="single" w:sz="8" w:space="0" w:color="7FADDC" w:themeColor="accent3"/>
        </w:tcBorders>
        <w:shd w:val="clear" w:color="auto" w:fill="DFEAF6" w:themeFill="accent3" w:themeFillTint="3F"/>
      </w:tcPr>
    </w:tblStylePr>
    <w:tblStylePr w:type="band2Horz">
      <w:tblPr/>
      <w:tcPr>
        <w:tcBorders>
          <w:top w:val="single" w:sz="8" w:space="0" w:color="7FADDC" w:themeColor="accent3"/>
          <w:left w:val="single" w:sz="8" w:space="0" w:color="7FADDC" w:themeColor="accent3"/>
          <w:bottom w:val="single" w:sz="8" w:space="0" w:color="7FADDC" w:themeColor="accent3"/>
          <w:right w:val="single" w:sz="8" w:space="0" w:color="7FADDC" w:themeColor="accent3"/>
          <w:insideV w:val="single" w:sz="8" w:space="0" w:color="7FADDC" w:themeColor="accent3"/>
        </w:tcBorders>
      </w:tcPr>
    </w:tblStylePr>
  </w:style>
  <w:style w:type="table" w:styleId="LightGrid-Accent4">
    <w:name w:val="Light Grid Accent 4"/>
    <w:basedOn w:val="TableNormal"/>
    <w:uiPriority w:val="99"/>
    <w:semiHidden/>
    <w:unhideWhenUsed/>
    <w:rsid w:val="00911DE3"/>
    <w:pPr>
      <w:spacing w:line="240" w:lineRule="auto"/>
    </w:pPr>
    <w:tblPr>
      <w:tblStyleRowBandSize w:val="1"/>
      <w:tblStyleColBandSize w:val="1"/>
      <w:tblBorders>
        <w:top w:val="single" w:sz="8" w:space="0" w:color="76777B" w:themeColor="accent4"/>
        <w:left w:val="single" w:sz="8" w:space="0" w:color="76777B" w:themeColor="accent4"/>
        <w:bottom w:val="single" w:sz="8" w:space="0" w:color="76777B" w:themeColor="accent4"/>
        <w:right w:val="single" w:sz="8" w:space="0" w:color="76777B" w:themeColor="accent4"/>
        <w:insideH w:val="single" w:sz="8" w:space="0" w:color="76777B" w:themeColor="accent4"/>
        <w:insideV w:val="single" w:sz="8" w:space="0" w:color="7677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777B" w:themeColor="accent4"/>
          <w:left w:val="single" w:sz="8" w:space="0" w:color="76777B" w:themeColor="accent4"/>
          <w:bottom w:val="single" w:sz="18" w:space="0" w:color="76777B" w:themeColor="accent4"/>
          <w:right w:val="single" w:sz="8" w:space="0" w:color="76777B" w:themeColor="accent4"/>
          <w:insideH w:val="nil"/>
          <w:insideV w:val="single" w:sz="8" w:space="0" w:color="7677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777B" w:themeColor="accent4"/>
          <w:left w:val="single" w:sz="8" w:space="0" w:color="76777B" w:themeColor="accent4"/>
          <w:bottom w:val="single" w:sz="8" w:space="0" w:color="76777B" w:themeColor="accent4"/>
          <w:right w:val="single" w:sz="8" w:space="0" w:color="76777B" w:themeColor="accent4"/>
          <w:insideH w:val="nil"/>
          <w:insideV w:val="single" w:sz="8" w:space="0" w:color="7677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777B" w:themeColor="accent4"/>
          <w:left w:val="single" w:sz="8" w:space="0" w:color="76777B" w:themeColor="accent4"/>
          <w:bottom w:val="single" w:sz="8" w:space="0" w:color="76777B" w:themeColor="accent4"/>
          <w:right w:val="single" w:sz="8" w:space="0" w:color="76777B" w:themeColor="accent4"/>
        </w:tcBorders>
      </w:tcPr>
    </w:tblStylePr>
    <w:tblStylePr w:type="band1Vert">
      <w:tblPr/>
      <w:tcPr>
        <w:tcBorders>
          <w:top w:val="single" w:sz="8" w:space="0" w:color="76777B" w:themeColor="accent4"/>
          <w:left w:val="single" w:sz="8" w:space="0" w:color="76777B" w:themeColor="accent4"/>
          <w:bottom w:val="single" w:sz="8" w:space="0" w:color="76777B" w:themeColor="accent4"/>
          <w:right w:val="single" w:sz="8" w:space="0" w:color="76777B" w:themeColor="accent4"/>
        </w:tcBorders>
        <w:shd w:val="clear" w:color="auto" w:fill="DCDDDE" w:themeFill="accent4" w:themeFillTint="3F"/>
      </w:tcPr>
    </w:tblStylePr>
    <w:tblStylePr w:type="band1Horz">
      <w:tblPr/>
      <w:tcPr>
        <w:tcBorders>
          <w:top w:val="single" w:sz="8" w:space="0" w:color="76777B" w:themeColor="accent4"/>
          <w:left w:val="single" w:sz="8" w:space="0" w:color="76777B" w:themeColor="accent4"/>
          <w:bottom w:val="single" w:sz="8" w:space="0" w:color="76777B" w:themeColor="accent4"/>
          <w:right w:val="single" w:sz="8" w:space="0" w:color="76777B" w:themeColor="accent4"/>
          <w:insideV w:val="single" w:sz="8" w:space="0" w:color="76777B" w:themeColor="accent4"/>
        </w:tcBorders>
        <w:shd w:val="clear" w:color="auto" w:fill="DCDDDE" w:themeFill="accent4" w:themeFillTint="3F"/>
      </w:tcPr>
    </w:tblStylePr>
    <w:tblStylePr w:type="band2Horz">
      <w:tblPr/>
      <w:tcPr>
        <w:tcBorders>
          <w:top w:val="single" w:sz="8" w:space="0" w:color="76777B" w:themeColor="accent4"/>
          <w:left w:val="single" w:sz="8" w:space="0" w:color="76777B" w:themeColor="accent4"/>
          <w:bottom w:val="single" w:sz="8" w:space="0" w:color="76777B" w:themeColor="accent4"/>
          <w:right w:val="single" w:sz="8" w:space="0" w:color="76777B" w:themeColor="accent4"/>
          <w:insideV w:val="single" w:sz="8" w:space="0" w:color="76777B" w:themeColor="accent4"/>
        </w:tcBorders>
      </w:tcPr>
    </w:tblStylePr>
  </w:style>
  <w:style w:type="table" w:styleId="LightGrid-Accent5">
    <w:name w:val="Light Grid Accent 5"/>
    <w:basedOn w:val="TableNormal"/>
    <w:uiPriority w:val="99"/>
    <w:semiHidden/>
    <w:unhideWhenUsed/>
    <w:rsid w:val="00911DE3"/>
    <w:pPr>
      <w:spacing w:line="240" w:lineRule="auto"/>
    </w:pPr>
    <w:tblPr>
      <w:tblStyleRowBandSize w:val="1"/>
      <w:tblStyleColBandSize w:val="1"/>
      <w:tblBorders>
        <w:top w:val="single" w:sz="8" w:space="0" w:color="111821" w:themeColor="accent5"/>
        <w:left w:val="single" w:sz="8" w:space="0" w:color="111821" w:themeColor="accent5"/>
        <w:bottom w:val="single" w:sz="8" w:space="0" w:color="111821" w:themeColor="accent5"/>
        <w:right w:val="single" w:sz="8" w:space="0" w:color="111821" w:themeColor="accent5"/>
        <w:insideH w:val="single" w:sz="8" w:space="0" w:color="111821" w:themeColor="accent5"/>
        <w:insideV w:val="single" w:sz="8" w:space="0" w:color="11182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1821" w:themeColor="accent5"/>
          <w:left w:val="single" w:sz="8" w:space="0" w:color="111821" w:themeColor="accent5"/>
          <w:bottom w:val="single" w:sz="18" w:space="0" w:color="111821" w:themeColor="accent5"/>
          <w:right w:val="single" w:sz="8" w:space="0" w:color="111821" w:themeColor="accent5"/>
          <w:insideH w:val="nil"/>
          <w:insideV w:val="single" w:sz="8" w:space="0" w:color="11182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1821" w:themeColor="accent5"/>
          <w:left w:val="single" w:sz="8" w:space="0" w:color="111821" w:themeColor="accent5"/>
          <w:bottom w:val="single" w:sz="8" w:space="0" w:color="111821" w:themeColor="accent5"/>
          <w:right w:val="single" w:sz="8" w:space="0" w:color="111821" w:themeColor="accent5"/>
          <w:insideH w:val="nil"/>
          <w:insideV w:val="single" w:sz="8" w:space="0" w:color="11182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1821" w:themeColor="accent5"/>
          <w:left w:val="single" w:sz="8" w:space="0" w:color="111821" w:themeColor="accent5"/>
          <w:bottom w:val="single" w:sz="8" w:space="0" w:color="111821" w:themeColor="accent5"/>
          <w:right w:val="single" w:sz="8" w:space="0" w:color="111821" w:themeColor="accent5"/>
        </w:tcBorders>
      </w:tcPr>
    </w:tblStylePr>
    <w:tblStylePr w:type="band1Vert">
      <w:tblPr/>
      <w:tcPr>
        <w:tcBorders>
          <w:top w:val="single" w:sz="8" w:space="0" w:color="111821" w:themeColor="accent5"/>
          <w:left w:val="single" w:sz="8" w:space="0" w:color="111821" w:themeColor="accent5"/>
          <w:bottom w:val="single" w:sz="8" w:space="0" w:color="111821" w:themeColor="accent5"/>
          <w:right w:val="single" w:sz="8" w:space="0" w:color="111821" w:themeColor="accent5"/>
        </w:tcBorders>
        <w:shd w:val="clear" w:color="auto" w:fill="B4C3D8" w:themeFill="accent5" w:themeFillTint="3F"/>
      </w:tcPr>
    </w:tblStylePr>
    <w:tblStylePr w:type="band1Horz">
      <w:tblPr/>
      <w:tcPr>
        <w:tcBorders>
          <w:top w:val="single" w:sz="8" w:space="0" w:color="111821" w:themeColor="accent5"/>
          <w:left w:val="single" w:sz="8" w:space="0" w:color="111821" w:themeColor="accent5"/>
          <w:bottom w:val="single" w:sz="8" w:space="0" w:color="111821" w:themeColor="accent5"/>
          <w:right w:val="single" w:sz="8" w:space="0" w:color="111821" w:themeColor="accent5"/>
          <w:insideV w:val="single" w:sz="8" w:space="0" w:color="111821" w:themeColor="accent5"/>
        </w:tcBorders>
        <w:shd w:val="clear" w:color="auto" w:fill="B4C3D8" w:themeFill="accent5" w:themeFillTint="3F"/>
      </w:tcPr>
    </w:tblStylePr>
    <w:tblStylePr w:type="band2Horz">
      <w:tblPr/>
      <w:tcPr>
        <w:tcBorders>
          <w:top w:val="single" w:sz="8" w:space="0" w:color="111821" w:themeColor="accent5"/>
          <w:left w:val="single" w:sz="8" w:space="0" w:color="111821" w:themeColor="accent5"/>
          <w:bottom w:val="single" w:sz="8" w:space="0" w:color="111821" w:themeColor="accent5"/>
          <w:right w:val="single" w:sz="8" w:space="0" w:color="111821" w:themeColor="accent5"/>
          <w:insideV w:val="single" w:sz="8" w:space="0" w:color="111821" w:themeColor="accent5"/>
        </w:tcBorders>
      </w:tcPr>
    </w:tblStylePr>
  </w:style>
  <w:style w:type="table" w:styleId="LightGrid-Accent6">
    <w:name w:val="Light Grid Accent 6"/>
    <w:basedOn w:val="TableNormal"/>
    <w:uiPriority w:val="99"/>
    <w:semiHidden/>
    <w:unhideWhenUsed/>
    <w:rsid w:val="00911DE3"/>
    <w:pPr>
      <w:spacing w:line="240" w:lineRule="auto"/>
    </w:pPr>
    <w:tblPr>
      <w:tblStyleRowBandSize w:val="1"/>
      <w:tblStyleColBandSize w:val="1"/>
      <w:tblBorders>
        <w:top w:val="single" w:sz="8" w:space="0" w:color="BFD6ED" w:themeColor="accent6"/>
        <w:left w:val="single" w:sz="8" w:space="0" w:color="BFD6ED" w:themeColor="accent6"/>
        <w:bottom w:val="single" w:sz="8" w:space="0" w:color="BFD6ED" w:themeColor="accent6"/>
        <w:right w:val="single" w:sz="8" w:space="0" w:color="BFD6ED" w:themeColor="accent6"/>
        <w:insideH w:val="single" w:sz="8" w:space="0" w:color="BFD6ED" w:themeColor="accent6"/>
        <w:insideV w:val="single" w:sz="8" w:space="0" w:color="BFD6E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D6ED" w:themeColor="accent6"/>
          <w:left w:val="single" w:sz="8" w:space="0" w:color="BFD6ED" w:themeColor="accent6"/>
          <w:bottom w:val="single" w:sz="18" w:space="0" w:color="BFD6ED" w:themeColor="accent6"/>
          <w:right w:val="single" w:sz="8" w:space="0" w:color="BFD6ED" w:themeColor="accent6"/>
          <w:insideH w:val="nil"/>
          <w:insideV w:val="single" w:sz="8" w:space="0" w:color="BFD6E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6ED" w:themeColor="accent6"/>
          <w:left w:val="single" w:sz="8" w:space="0" w:color="BFD6ED" w:themeColor="accent6"/>
          <w:bottom w:val="single" w:sz="8" w:space="0" w:color="BFD6ED" w:themeColor="accent6"/>
          <w:right w:val="single" w:sz="8" w:space="0" w:color="BFD6ED" w:themeColor="accent6"/>
          <w:insideH w:val="nil"/>
          <w:insideV w:val="single" w:sz="8" w:space="0" w:color="BFD6E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6ED" w:themeColor="accent6"/>
          <w:left w:val="single" w:sz="8" w:space="0" w:color="BFD6ED" w:themeColor="accent6"/>
          <w:bottom w:val="single" w:sz="8" w:space="0" w:color="BFD6ED" w:themeColor="accent6"/>
          <w:right w:val="single" w:sz="8" w:space="0" w:color="BFD6ED" w:themeColor="accent6"/>
        </w:tcBorders>
      </w:tcPr>
    </w:tblStylePr>
    <w:tblStylePr w:type="band1Vert">
      <w:tblPr/>
      <w:tcPr>
        <w:tcBorders>
          <w:top w:val="single" w:sz="8" w:space="0" w:color="BFD6ED" w:themeColor="accent6"/>
          <w:left w:val="single" w:sz="8" w:space="0" w:color="BFD6ED" w:themeColor="accent6"/>
          <w:bottom w:val="single" w:sz="8" w:space="0" w:color="BFD6ED" w:themeColor="accent6"/>
          <w:right w:val="single" w:sz="8" w:space="0" w:color="BFD6ED" w:themeColor="accent6"/>
        </w:tcBorders>
        <w:shd w:val="clear" w:color="auto" w:fill="EFF4FA" w:themeFill="accent6" w:themeFillTint="3F"/>
      </w:tcPr>
    </w:tblStylePr>
    <w:tblStylePr w:type="band1Horz">
      <w:tblPr/>
      <w:tcPr>
        <w:tcBorders>
          <w:top w:val="single" w:sz="8" w:space="0" w:color="BFD6ED" w:themeColor="accent6"/>
          <w:left w:val="single" w:sz="8" w:space="0" w:color="BFD6ED" w:themeColor="accent6"/>
          <w:bottom w:val="single" w:sz="8" w:space="0" w:color="BFD6ED" w:themeColor="accent6"/>
          <w:right w:val="single" w:sz="8" w:space="0" w:color="BFD6ED" w:themeColor="accent6"/>
          <w:insideV w:val="single" w:sz="8" w:space="0" w:color="BFD6ED" w:themeColor="accent6"/>
        </w:tcBorders>
        <w:shd w:val="clear" w:color="auto" w:fill="EFF4FA" w:themeFill="accent6" w:themeFillTint="3F"/>
      </w:tcPr>
    </w:tblStylePr>
    <w:tblStylePr w:type="band2Horz">
      <w:tblPr/>
      <w:tcPr>
        <w:tcBorders>
          <w:top w:val="single" w:sz="8" w:space="0" w:color="BFD6ED" w:themeColor="accent6"/>
          <w:left w:val="single" w:sz="8" w:space="0" w:color="BFD6ED" w:themeColor="accent6"/>
          <w:bottom w:val="single" w:sz="8" w:space="0" w:color="BFD6ED" w:themeColor="accent6"/>
          <w:right w:val="single" w:sz="8" w:space="0" w:color="BFD6ED" w:themeColor="accent6"/>
          <w:insideV w:val="single" w:sz="8" w:space="0" w:color="BFD6ED" w:themeColor="accent6"/>
        </w:tcBorders>
      </w:tcPr>
    </w:tblStylePr>
  </w:style>
  <w:style w:type="table" w:styleId="LightList">
    <w:name w:val="Light List"/>
    <w:basedOn w:val="TableNormal"/>
    <w:uiPriority w:val="99"/>
    <w:semiHidden/>
    <w:unhideWhenUsed/>
    <w:rsid w:val="00911DE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911DE3"/>
    <w:pPr>
      <w:spacing w:line="240" w:lineRule="auto"/>
    </w:pPr>
    <w:tblPr>
      <w:tblStyleRowBandSize w:val="1"/>
      <w:tblStyleColBandSize w:val="1"/>
      <w:tblBorders>
        <w:top w:val="single" w:sz="8" w:space="0" w:color="005CB9" w:themeColor="accent1"/>
        <w:left w:val="single" w:sz="8" w:space="0" w:color="005CB9" w:themeColor="accent1"/>
        <w:bottom w:val="single" w:sz="8" w:space="0" w:color="005CB9" w:themeColor="accent1"/>
        <w:right w:val="single" w:sz="8" w:space="0" w:color="005CB9" w:themeColor="accent1"/>
      </w:tblBorders>
    </w:tblPr>
    <w:tblStylePr w:type="firstRow">
      <w:pPr>
        <w:spacing w:before="0" w:after="0" w:line="240" w:lineRule="auto"/>
      </w:pPr>
      <w:rPr>
        <w:b/>
        <w:bCs/>
        <w:color w:val="FFFFFF" w:themeColor="background1"/>
      </w:rPr>
      <w:tblPr/>
      <w:tcPr>
        <w:shd w:val="clear" w:color="auto" w:fill="005CB9" w:themeFill="accent1"/>
      </w:tcPr>
    </w:tblStylePr>
    <w:tblStylePr w:type="lastRow">
      <w:pPr>
        <w:spacing w:before="0" w:after="0" w:line="240" w:lineRule="auto"/>
      </w:pPr>
      <w:rPr>
        <w:b/>
        <w:bCs/>
      </w:rPr>
      <w:tblPr/>
      <w:tcPr>
        <w:tcBorders>
          <w:top w:val="double" w:sz="6" w:space="0" w:color="005CB9" w:themeColor="accent1"/>
          <w:left w:val="single" w:sz="8" w:space="0" w:color="005CB9" w:themeColor="accent1"/>
          <w:bottom w:val="single" w:sz="8" w:space="0" w:color="005CB9" w:themeColor="accent1"/>
          <w:right w:val="single" w:sz="8" w:space="0" w:color="005CB9" w:themeColor="accent1"/>
        </w:tcBorders>
      </w:tcPr>
    </w:tblStylePr>
    <w:tblStylePr w:type="firstCol">
      <w:rPr>
        <w:b/>
        <w:bCs/>
      </w:rPr>
    </w:tblStylePr>
    <w:tblStylePr w:type="lastCol">
      <w:rPr>
        <w:b/>
        <w:bCs/>
      </w:rPr>
    </w:tblStylePr>
    <w:tblStylePr w:type="band1Vert">
      <w:tblPr/>
      <w:tcPr>
        <w:tcBorders>
          <w:top w:val="single" w:sz="8" w:space="0" w:color="005CB9" w:themeColor="accent1"/>
          <w:left w:val="single" w:sz="8" w:space="0" w:color="005CB9" w:themeColor="accent1"/>
          <w:bottom w:val="single" w:sz="8" w:space="0" w:color="005CB9" w:themeColor="accent1"/>
          <w:right w:val="single" w:sz="8" w:space="0" w:color="005CB9" w:themeColor="accent1"/>
        </w:tcBorders>
      </w:tcPr>
    </w:tblStylePr>
    <w:tblStylePr w:type="band1Horz">
      <w:tblPr/>
      <w:tcPr>
        <w:tcBorders>
          <w:top w:val="single" w:sz="8" w:space="0" w:color="005CB9" w:themeColor="accent1"/>
          <w:left w:val="single" w:sz="8" w:space="0" w:color="005CB9" w:themeColor="accent1"/>
          <w:bottom w:val="single" w:sz="8" w:space="0" w:color="005CB9" w:themeColor="accent1"/>
          <w:right w:val="single" w:sz="8" w:space="0" w:color="005CB9" w:themeColor="accent1"/>
        </w:tcBorders>
      </w:tcPr>
    </w:tblStylePr>
  </w:style>
  <w:style w:type="table" w:styleId="LightList-Accent2">
    <w:name w:val="Light List Accent 2"/>
    <w:basedOn w:val="TableNormal"/>
    <w:uiPriority w:val="99"/>
    <w:semiHidden/>
    <w:unhideWhenUsed/>
    <w:rsid w:val="00911DE3"/>
    <w:pPr>
      <w:spacing w:line="240" w:lineRule="auto"/>
    </w:pPr>
    <w:tblPr>
      <w:tblStyleRowBandSize w:val="1"/>
      <w:tblStyleColBandSize w:val="1"/>
      <w:tblBorders>
        <w:top w:val="single" w:sz="8" w:space="0" w:color="BBBBBB" w:themeColor="accent2"/>
        <w:left w:val="single" w:sz="8" w:space="0" w:color="BBBBBB" w:themeColor="accent2"/>
        <w:bottom w:val="single" w:sz="8" w:space="0" w:color="BBBBBB" w:themeColor="accent2"/>
        <w:right w:val="single" w:sz="8" w:space="0" w:color="BBBBBB" w:themeColor="accent2"/>
      </w:tblBorders>
    </w:tblPr>
    <w:tblStylePr w:type="firstRow">
      <w:pPr>
        <w:spacing w:before="0" w:after="0" w:line="240" w:lineRule="auto"/>
      </w:pPr>
      <w:rPr>
        <w:b/>
        <w:bCs/>
        <w:color w:val="FFFFFF" w:themeColor="background1"/>
      </w:rPr>
      <w:tblPr/>
      <w:tcPr>
        <w:shd w:val="clear" w:color="auto" w:fill="BBBBBB" w:themeFill="accent2"/>
      </w:tcPr>
    </w:tblStylePr>
    <w:tblStylePr w:type="lastRow">
      <w:pPr>
        <w:spacing w:before="0" w:after="0" w:line="240" w:lineRule="auto"/>
      </w:pPr>
      <w:rPr>
        <w:b/>
        <w:bCs/>
      </w:rPr>
      <w:tblPr/>
      <w:tcPr>
        <w:tcBorders>
          <w:top w:val="double" w:sz="6" w:space="0" w:color="BBBBBB" w:themeColor="accent2"/>
          <w:left w:val="single" w:sz="8" w:space="0" w:color="BBBBBB" w:themeColor="accent2"/>
          <w:bottom w:val="single" w:sz="8" w:space="0" w:color="BBBBBB" w:themeColor="accent2"/>
          <w:right w:val="single" w:sz="8" w:space="0" w:color="BBBBBB" w:themeColor="accent2"/>
        </w:tcBorders>
      </w:tcPr>
    </w:tblStylePr>
    <w:tblStylePr w:type="firstCol">
      <w:rPr>
        <w:b/>
        <w:bCs/>
      </w:rPr>
    </w:tblStylePr>
    <w:tblStylePr w:type="lastCol">
      <w:rPr>
        <w:b/>
        <w:bCs/>
      </w:rPr>
    </w:tblStylePr>
    <w:tblStylePr w:type="band1Vert">
      <w:tblPr/>
      <w:tcPr>
        <w:tcBorders>
          <w:top w:val="single" w:sz="8" w:space="0" w:color="BBBBBB" w:themeColor="accent2"/>
          <w:left w:val="single" w:sz="8" w:space="0" w:color="BBBBBB" w:themeColor="accent2"/>
          <w:bottom w:val="single" w:sz="8" w:space="0" w:color="BBBBBB" w:themeColor="accent2"/>
          <w:right w:val="single" w:sz="8" w:space="0" w:color="BBBBBB" w:themeColor="accent2"/>
        </w:tcBorders>
      </w:tcPr>
    </w:tblStylePr>
    <w:tblStylePr w:type="band1Horz">
      <w:tblPr/>
      <w:tcPr>
        <w:tcBorders>
          <w:top w:val="single" w:sz="8" w:space="0" w:color="BBBBBB" w:themeColor="accent2"/>
          <w:left w:val="single" w:sz="8" w:space="0" w:color="BBBBBB" w:themeColor="accent2"/>
          <w:bottom w:val="single" w:sz="8" w:space="0" w:color="BBBBBB" w:themeColor="accent2"/>
          <w:right w:val="single" w:sz="8" w:space="0" w:color="BBBBBB" w:themeColor="accent2"/>
        </w:tcBorders>
      </w:tcPr>
    </w:tblStylePr>
  </w:style>
  <w:style w:type="table" w:styleId="LightList-Accent3">
    <w:name w:val="Light List Accent 3"/>
    <w:basedOn w:val="TableNormal"/>
    <w:uiPriority w:val="99"/>
    <w:semiHidden/>
    <w:unhideWhenUsed/>
    <w:rsid w:val="00911DE3"/>
    <w:pPr>
      <w:spacing w:line="240" w:lineRule="auto"/>
    </w:pPr>
    <w:tblPr>
      <w:tblStyleRowBandSize w:val="1"/>
      <w:tblStyleColBandSize w:val="1"/>
      <w:tblBorders>
        <w:top w:val="single" w:sz="8" w:space="0" w:color="7FADDC" w:themeColor="accent3"/>
        <w:left w:val="single" w:sz="8" w:space="0" w:color="7FADDC" w:themeColor="accent3"/>
        <w:bottom w:val="single" w:sz="8" w:space="0" w:color="7FADDC" w:themeColor="accent3"/>
        <w:right w:val="single" w:sz="8" w:space="0" w:color="7FADDC" w:themeColor="accent3"/>
      </w:tblBorders>
    </w:tblPr>
    <w:tblStylePr w:type="firstRow">
      <w:pPr>
        <w:spacing w:before="0" w:after="0" w:line="240" w:lineRule="auto"/>
      </w:pPr>
      <w:rPr>
        <w:b/>
        <w:bCs/>
        <w:color w:val="FFFFFF" w:themeColor="background1"/>
      </w:rPr>
      <w:tblPr/>
      <w:tcPr>
        <w:shd w:val="clear" w:color="auto" w:fill="7FADDC" w:themeFill="accent3"/>
      </w:tcPr>
    </w:tblStylePr>
    <w:tblStylePr w:type="lastRow">
      <w:pPr>
        <w:spacing w:before="0" w:after="0" w:line="240" w:lineRule="auto"/>
      </w:pPr>
      <w:rPr>
        <w:b/>
        <w:bCs/>
      </w:rPr>
      <w:tblPr/>
      <w:tcPr>
        <w:tcBorders>
          <w:top w:val="double" w:sz="6" w:space="0" w:color="7FADDC" w:themeColor="accent3"/>
          <w:left w:val="single" w:sz="8" w:space="0" w:color="7FADDC" w:themeColor="accent3"/>
          <w:bottom w:val="single" w:sz="8" w:space="0" w:color="7FADDC" w:themeColor="accent3"/>
          <w:right w:val="single" w:sz="8" w:space="0" w:color="7FADDC" w:themeColor="accent3"/>
        </w:tcBorders>
      </w:tcPr>
    </w:tblStylePr>
    <w:tblStylePr w:type="firstCol">
      <w:rPr>
        <w:b/>
        <w:bCs/>
      </w:rPr>
    </w:tblStylePr>
    <w:tblStylePr w:type="lastCol">
      <w:rPr>
        <w:b/>
        <w:bCs/>
      </w:rPr>
    </w:tblStylePr>
    <w:tblStylePr w:type="band1Vert">
      <w:tblPr/>
      <w:tcPr>
        <w:tcBorders>
          <w:top w:val="single" w:sz="8" w:space="0" w:color="7FADDC" w:themeColor="accent3"/>
          <w:left w:val="single" w:sz="8" w:space="0" w:color="7FADDC" w:themeColor="accent3"/>
          <w:bottom w:val="single" w:sz="8" w:space="0" w:color="7FADDC" w:themeColor="accent3"/>
          <w:right w:val="single" w:sz="8" w:space="0" w:color="7FADDC" w:themeColor="accent3"/>
        </w:tcBorders>
      </w:tcPr>
    </w:tblStylePr>
    <w:tblStylePr w:type="band1Horz">
      <w:tblPr/>
      <w:tcPr>
        <w:tcBorders>
          <w:top w:val="single" w:sz="8" w:space="0" w:color="7FADDC" w:themeColor="accent3"/>
          <w:left w:val="single" w:sz="8" w:space="0" w:color="7FADDC" w:themeColor="accent3"/>
          <w:bottom w:val="single" w:sz="8" w:space="0" w:color="7FADDC" w:themeColor="accent3"/>
          <w:right w:val="single" w:sz="8" w:space="0" w:color="7FADDC" w:themeColor="accent3"/>
        </w:tcBorders>
      </w:tcPr>
    </w:tblStylePr>
  </w:style>
  <w:style w:type="table" w:styleId="LightList-Accent4">
    <w:name w:val="Light List Accent 4"/>
    <w:basedOn w:val="TableNormal"/>
    <w:uiPriority w:val="99"/>
    <w:semiHidden/>
    <w:unhideWhenUsed/>
    <w:rsid w:val="00911DE3"/>
    <w:pPr>
      <w:spacing w:line="240" w:lineRule="auto"/>
    </w:pPr>
    <w:tblPr>
      <w:tblStyleRowBandSize w:val="1"/>
      <w:tblStyleColBandSize w:val="1"/>
      <w:tblBorders>
        <w:top w:val="single" w:sz="8" w:space="0" w:color="76777B" w:themeColor="accent4"/>
        <w:left w:val="single" w:sz="8" w:space="0" w:color="76777B" w:themeColor="accent4"/>
        <w:bottom w:val="single" w:sz="8" w:space="0" w:color="76777B" w:themeColor="accent4"/>
        <w:right w:val="single" w:sz="8" w:space="0" w:color="76777B" w:themeColor="accent4"/>
      </w:tblBorders>
    </w:tblPr>
    <w:tblStylePr w:type="firstRow">
      <w:pPr>
        <w:spacing w:before="0" w:after="0" w:line="240" w:lineRule="auto"/>
      </w:pPr>
      <w:rPr>
        <w:b/>
        <w:bCs/>
        <w:color w:val="FFFFFF" w:themeColor="background1"/>
      </w:rPr>
      <w:tblPr/>
      <w:tcPr>
        <w:shd w:val="clear" w:color="auto" w:fill="76777B" w:themeFill="accent4"/>
      </w:tcPr>
    </w:tblStylePr>
    <w:tblStylePr w:type="lastRow">
      <w:pPr>
        <w:spacing w:before="0" w:after="0" w:line="240" w:lineRule="auto"/>
      </w:pPr>
      <w:rPr>
        <w:b/>
        <w:bCs/>
      </w:rPr>
      <w:tblPr/>
      <w:tcPr>
        <w:tcBorders>
          <w:top w:val="double" w:sz="6" w:space="0" w:color="76777B" w:themeColor="accent4"/>
          <w:left w:val="single" w:sz="8" w:space="0" w:color="76777B" w:themeColor="accent4"/>
          <w:bottom w:val="single" w:sz="8" w:space="0" w:color="76777B" w:themeColor="accent4"/>
          <w:right w:val="single" w:sz="8" w:space="0" w:color="76777B" w:themeColor="accent4"/>
        </w:tcBorders>
      </w:tcPr>
    </w:tblStylePr>
    <w:tblStylePr w:type="firstCol">
      <w:rPr>
        <w:b/>
        <w:bCs/>
      </w:rPr>
    </w:tblStylePr>
    <w:tblStylePr w:type="lastCol">
      <w:rPr>
        <w:b/>
        <w:bCs/>
      </w:rPr>
    </w:tblStylePr>
    <w:tblStylePr w:type="band1Vert">
      <w:tblPr/>
      <w:tcPr>
        <w:tcBorders>
          <w:top w:val="single" w:sz="8" w:space="0" w:color="76777B" w:themeColor="accent4"/>
          <w:left w:val="single" w:sz="8" w:space="0" w:color="76777B" w:themeColor="accent4"/>
          <w:bottom w:val="single" w:sz="8" w:space="0" w:color="76777B" w:themeColor="accent4"/>
          <w:right w:val="single" w:sz="8" w:space="0" w:color="76777B" w:themeColor="accent4"/>
        </w:tcBorders>
      </w:tcPr>
    </w:tblStylePr>
    <w:tblStylePr w:type="band1Horz">
      <w:tblPr/>
      <w:tcPr>
        <w:tcBorders>
          <w:top w:val="single" w:sz="8" w:space="0" w:color="76777B" w:themeColor="accent4"/>
          <w:left w:val="single" w:sz="8" w:space="0" w:color="76777B" w:themeColor="accent4"/>
          <w:bottom w:val="single" w:sz="8" w:space="0" w:color="76777B" w:themeColor="accent4"/>
          <w:right w:val="single" w:sz="8" w:space="0" w:color="76777B" w:themeColor="accent4"/>
        </w:tcBorders>
      </w:tcPr>
    </w:tblStylePr>
  </w:style>
  <w:style w:type="table" w:styleId="LightList-Accent5">
    <w:name w:val="Light List Accent 5"/>
    <w:basedOn w:val="TableNormal"/>
    <w:uiPriority w:val="99"/>
    <w:semiHidden/>
    <w:unhideWhenUsed/>
    <w:rsid w:val="00911DE3"/>
    <w:pPr>
      <w:spacing w:line="240" w:lineRule="auto"/>
    </w:pPr>
    <w:tblPr>
      <w:tblStyleRowBandSize w:val="1"/>
      <w:tblStyleColBandSize w:val="1"/>
      <w:tblBorders>
        <w:top w:val="single" w:sz="8" w:space="0" w:color="111821" w:themeColor="accent5"/>
        <w:left w:val="single" w:sz="8" w:space="0" w:color="111821" w:themeColor="accent5"/>
        <w:bottom w:val="single" w:sz="8" w:space="0" w:color="111821" w:themeColor="accent5"/>
        <w:right w:val="single" w:sz="8" w:space="0" w:color="111821" w:themeColor="accent5"/>
      </w:tblBorders>
    </w:tblPr>
    <w:tblStylePr w:type="firstRow">
      <w:pPr>
        <w:spacing w:before="0" w:after="0" w:line="240" w:lineRule="auto"/>
      </w:pPr>
      <w:rPr>
        <w:b/>
        <w:bCs/>
        <w:color w:val="FFFFFF" w:themeColor="background1"/>
      </w:rPr>
      <w:tblPr/>
      <w:tcPr>
        <w:shd w:val="clear" w:color="auto" w:fill="111821" w:themeFill="accent5"/>
      </w:tcPr>
    </w:tblStylePr>
    <w:tblStylePr w:type="lastRow">
      <w:pPr>
        <w:spacing w:before="0" w:after="0" w:line="240" w:lineRule="auto"/>
      </w:pPr>
      <w:rPr>
        <w:b/>
        <w:bCs/>
      </w:rPr>
      <w:tblPr/>
      <w:tcPr>
        <w:tcBorders>
          <w:top w:val="double" w:sz="6" w:space="0" w:color="111821" w:themeColor="accent5"/>
          <w:left w:val="single" w:sz="8" w:space="0" w:color="111821" w:themeColor="accent5"/>
          <w:bottom w:val="single" w:sz="8" w:space="0" w:color="111821" w:themeColor="accent5"/>
          <w:right w:val="single" w:sz="8" w:space="0" w:color="111821" w:themeColor="accent5"/>
        </w:tcBorders>
      </w:tcPr>
    </w:tblStylePr>
    <w:tblStylePr w:type="firstCol">
      <w:rPr>
        <w:b/>
        <w:bCs/>
      </w:rPr>
    </w:tblStylePr>
    <w:tblStylePr w:type="lastCol">
      <w:rPr>
        <w:b/>
        <w:bCs/>
      </w:rPr>
    </w:tblStylePr>
    <w:tblStylePr w:type="band1Vert">
      <w:tblPr/>
      <w:tcPr>
        <w:tcBorders>
          <w:top w:val="single" w:sz="8" w:space="0" w:color="111821" w:themeColor="accent5"/>
          <w:left w:val="single" w:sz="8" w:space="0" w:color="111821" w:themeColor="accent5"/>
          <w:bottom w:val="single" w:sz="8" w:space="0" w:color="111821" w:themeColor="accent5"/>
          <w:right w:val="single" w:sz="8" w:space="0" w:color="111821" w:themeColor="accent5"/>
        </w:tcBorders>
      </w:tcPr>
    </w:tblStylePr>
    <w:tblStylePr w:type="band1Horz">
      <w:tblPr/>
      <w:tcPr>
        <w:tcBorders>
          <w:top w:val="single" w:sz="8" w:space="0" w:color="111821" w:themeColor="accent5"/>
          <w:left w:val="single" w:sz="8" w:space="0" w:color="111821" w:themeColor="accent5"/>
          <w:bottom w:val="single" w:sz="8" w:space="0" w:color="111821" w:themeColor="accent5"/>
          <w:right w:val="single" w:sz="8" w:space="0" w:color="111821" w:themeColor="accent5"/>
        </w:tcBorders>
      </w:tcPr>
    </w:tblStylePr>
  </w:style>
  <w:style w:type="table" w:styleId="LightList-Accent6">
    <w:name w:val="Light List Accent 6"/>
    <w:basedOn w:val="TableNormal"/>
    <w:uiPriority w:val="99"/>
    <w:semiHidden/>
    <w:unhideWhenUsed/>
    <w:rsid w:val="00911DE3"/>
    <w:pPr>
      <w:spacing w:line="240" w:lineRule="auto"/>
    </w:pPr>
    <w:tblPr>
      <w:tblStyleRowBandSize w:val="1"/>
      <w:tblStyleColBandSize w:val="1"/>
      <w:tblBorders>
        <w:top w:val="single" w:sz="8" w:space="0" w:color="BFD6ED" w:themeColor="accent6"/>
        <w:left w:val="single" w:sz="8" w:space="0" w:color="BFD6ED" w:themeColor="accent6"/>
        <w:bottom w:val="single" w:sz="8" w:space="0" w:color="BFD6ED" w:themeColor="accent6"/>
        <w:right w:val="single" w:sz="8" w:space="0" w:color="BFD6ED" w:themeColor="accent6"/>
      </w:tblBorders>
    </w:tblPr>
    <w:tblStylePr w:type="firstRow">
      <w:pPr>
        <w:spacing w:before="0" w:after="0" w:line="240" w:lineRule="auto"/>
      </w:pPr>
      <w:rPr>
        <w:b/>
        <w:bCs/>
        <w:color w:val="FFFFFF" w:themeColor="background1"/>
      </w:rPr>
      <w:tblPr/>
      <w:tcPr>
        <w:shd w:val="clear" w:color="auto" w:fill="BFD6ED" w:themeFill="accent6"/>
      </w:tcPr>
    </w:tblStylePr>
    <w:tblStylePr w:type="lastRow">
      <w:pPr>
        <w:spacing w:before="0" w:after="0" w:line="240" w:lineRule="auto"/>
      </w:pPr>
      <w:rPr>
        <w:b/>
        <w:bCs/>
      </w:rPr>
      <w:tblPr/>
      <w:tcPr>
        <w:tcBorders>
          <w:top w:val="double" w:sz="6" w:space="0" w:color="BFD6ED" w:themeColor="accent6"/>
          <w:left w:val="single" w:sz="8" w:space="0" w:color="BFD6ED" w:themeColor="accent6"/>
          <w:bottom w:val="single" w:sz="8" w:space="0" w:color="BFD6ED" w:themeColor="accent6"/>
          <w:right w:val="single" w:sz="8" w:space="0" w:color="BFD6ED" w:themeColor="accent6"/>
        </w:tcBorders>
      </w:tcPr>
    </w:tblStylePr>
    <w:tblStylePr w:type="firstCol">
      <w:rPr>
        <w:b/>
        <w:bCs/>
      </w:rPr>
    </w:tblStylePr>
    <w:tblStylePr w:type="lastCol">
      <w:rPr>
        <w:b/>
        <w:bCs/>
      </w:rPr>
    </w:tblStylePr>
    <w:tblStylePr w:type="band1Vert">
      <w:tblPr/>
      <w:tcPr>
        <w:tcBorders>
          <w:top w:val="single" w:sz="8" w:space="0" w:color="BFD6ED" w:themeColor="accent6"/>
          <w:left w:val="single" w:sz="8" w:space="0" w:color="BFD6ED" w:themeColor="accent6"/>
          <w:bottom w:val="single" w:sz="8" w:space="0" w:color="BFD6ED" w:themeColor="accent6"/>
          <w:right w:val="single" w:sz="8" w:space="0" w:color="BFD6ED" w:themeColor="accent6"/>
        </w:tcBorders>
      </w:tcPr>
    </w:tblStylePr>
    <w:tblStylePr w:type="band1Horz">
      <w:tblPr/>
      <w:tcPr>
        <w:tcBorders>
          <w:top w:val="single" w:sz="8" w:space="0" w:color="BFD6ED" w:themeColor="accent6"/>
          <w:left w:val="single" w:sz="8" w:space="0" w:color="BFD6ED" w:themeColor="accent6"/>
          <w:bottom w:val="single" w:sz="8" w:space="0" w:color="BFD6ED" w:themeColor="accent6"/>
          <w:right w:val="single" w:sz="8" w:space="0" w:color="BFD6ED" w:themeColor="accent6"/>
        </w:tcBorders>
      </w:tcPr>
    </w:tblStylePr>
  </w:style>
  <w:style w:type="table" w:styleId="LightShading">
    <w:name w:val="Light Shading"/>
    <w:basedOn w:val="TableNormal"/>
    <w:uiPriority w:val="99"/>
    <w:semiHidden/>
    <w:unhideWhenUsed/>
    <w:rsid w:val="00911DE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911DE3"/>
    <w:pPr>
      <w:spacing w:line="240" w:lineRule="auto"/>
    </w:pPr>
    <w:rPr>
      <w:color w:val="00448A" w:themeColor="accent1" w:themeShade="BF"/>
    </w:rPr>
    <w:tblPr>
      <w:tblStyleRowBandSize w:val="1"/>
      <w:tblStyleColBandSize w:val="1"/>
      <w:tblBorders>
        <w:top w:val="single" w:sz="8" w:space="0" w:color="005CB9" w:themeColor="accent1"/>
        <w:bottom w:val="single" w:sz="8" w:space="0" w:color="005CB9" w:themeColor="accent1"/>
      </w:tblBorders>
    </w:tblPr>
    <w:tblStylePr w:type="firstRow">
      <w:pPr>
        <w:spacing w:before="0" w:after="0" w:line="240" w:lineRule="auto"/>
      </w:pPr>
      <w:rPr>
        <w:b/>
        <w:bCs/>
      </w:rPr>
      <w:tblPr/>
      <w:tcPr>
        <w:tcBorders>
          <w:top w:val="single" w:sz="8" w:space="0" w:color="005CB9" w:themeColor="accent1"/>
          <w:left w:val="nil"/>
          <w:bottom w:val="single" w:sz="8" w:space="0" w:color="005CB9" w:themeColor="accent1"/>
          <w:right w:val="nil"/>
          <w:insideH w:val="nil"/>
          <w:insideV w:val="nil"/>
        </w:tcBorders>
      </w:tcPr>
    </w:tblStylePr>
    <w:tblStylePr w:type="lastRow">
      <w:pPr>
        <w:spacing w:before="0" w:after="0" w:line="240" w:lineRule="auto"/>
      </w:pPr>
      <w:rPr>
        <w:b/>
        <w:bCs/>
      </w:rPr>
      <w:tblPr/>
      <w:tcPr>
        <w:tcBorders>
          <w:top w:val="single" w:sz="8" w:space="0" w:color="005CB9" w:themeColor="accent1"/>
          <w:left w:val="nil"/>
          <w:bottom w:val="single" w:sz="8" w:space="0" w:color="005CB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D6FF" w:themeFill="accent1" w:themeFillTint="3F"/>
      </w:tcPr>
    </w:tblStylePr>
    <w:tblStylePr w:type="band1Horz">
      <w:tblPr/>
      <w:tcPr>
        <w:tcBorders>
          <w:left w:val="nil"/>
          <w:right w:val="nil"/>
          <w:insideH w:val="nil"/>
          <w:insideV w:val="nil"/>
        </w:tcBorders>
        <w:shd w:val="clear" w:color="auto" w:fill="AED6FF" w:themeFill="accent1" w:themeFillTint="3F"/>
      </w:tcPr>
    </w:tblStylePr>
  </w:style>
  <w:style w:type="table" w:styleId="LightShading-Accent2">
    <w:name w:val="Light Shading Accent 2"/>
    <w:basedOn w:val="TableNormal"/>
    <w:uiPriority w:val="99"/>
    <w:semiHidden/>
    <w:unhideWhenUsed/>
    <w:rsid w:val="00911DE3"/>
    <w:pPr>
      <w:spacing w:line="240" w:lineRule="auto"/>
    </w:pPr>
    <w:rPr>
      <w:color w:val="8C8C8C" w:themeColor="accent2" w:themeShade="BF"/>
    </w:rPr>
    <w:tblPr>
      <w:tblStyleRowBandSize w:val="1"/>
      <w:tblStyleColBandSize w:val="1"/>
      <w:tblBorders>
        <w:top w:val="single" w:sz="8" w:space="0" w:color="BBBBBB" w:themeColor="accent2"/>
        <w:bottom w:val="single" w:sz="8" w:space="0" w:color="BBBBBB" w:themeColor="accent2"/>
      </w:tblBorders>
    </w:tblPr>
    <w:tblStylePr w:type="firstRow">
      <w:pPr>
        <w:spacing w:before="0" w:after="0" w:line="240" w:lineRule="auto"/>
      </w:pPr>
      <w:rPr>
        <w:b/>
        <w:bCs/>
      </w:rPr>
      <w:tblPr/>
      <w:tcPr>
        <w:tcBorders>
          <w:top w:val="single" w:sz="8" w:space="0" w:color="BBBBBB" w:themeColor="accent2"/>
          <w:left w:val="nil"/>
          <w:bottom w:val="single" w:sz="8" w:space="0" w:color="BBBBBB" w:themeColor="accent2"/>
          <w:right w:val="nil"/>
          <w:insideH w:val="nil"/>
          <w:insideV w:val="nil"/>
        </w:tcBorders>
      </w:tcPr>
    </w:tblStylePr>
    <w:tblStylePr w:type="lastRow">
      <w:pPr>
        <w:spacing w:before="0" w:after="0" w:line="240" w:lineRule="auto"/>
      </w:pPr>
      <w:rPr>
        <w:b/>
        <w:bCs/>
      </w:rPr>
      <w:tblPr/>
      <w:tcPr>
        <w:tcBorders>
          <w:top w:val="single" w:sz="8" w:space="0" w:color="BBBBBB" w:themeColor="accent2"/>
          <w:left w:val="nil"/>
          <w:bottom w:val="single" w:sz="8" w:space="0" w:color="BBBBB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EEE" w:themeFill="accent2" w:themeFillTint="3F"/>
      </w:tcPr>
    </w:tblStylePr>
    <w:tblStylePr w:type="band1Horz">
      <w:tblPr/>
      <w:tcPr>
        <w:tcBorders>
          <w:left w:val="nil"/>
          <w:right w:val="nil"/>
          <w:insideH w:val="nil"/>
          <w:insideV w:val="nil"/>
        </w:tcBorders>
        <w:shd w:val="clear" w:color="auto" w:fill="EEEEEE" w:themeFill="accent2" w:themeFillTint="3F"/>
      </w:tcPr>
    </w:tblStylePr>
  </w:style>
  <w:style w:type="table" w:styleId="LightShading-Accent3">
    <w:name w:val="Light Shading Accent 3"/>
    <w:basedOn w:val="TableNormal"/>
    <w:uiPriority w:val="99"/>
    <w:semiHidden/>
    <w:unhideWhenUsed/>
    <w:rsid w:val="00911DE3"/>
    <w:pPr>
      <w:spacing w:line="240" w:lineRule="auto"/>
    </w:pPr>
    <w:rPr>
      <w:color w:val="3A80C9" w:themeColor="accent3" w:themeShade="BF"/>
    </w:rPr>
    <w:tblPr>
      <w:tblStyleRowBandSize w:val="1"/>
      <w:tblStyleColBandSize w:val="1"/>
      <w:tblBorders>
        <w:top w:val="single" w:sz="8" w:space="0" w:color="7FADDC" w:themeColor="accent3"/>
        <w:bottom w:val="single" w:sz="8" w:space="0" w:color="7FADDC" w:themeColor="accent3"/>
      </w:tblBorders>
    </w:tblPr>
    <w:tblStylePr w:type="firstRow">
      <w:pPr>
        <w:spacing w:before="0" w:after="0" w:line="240" w:lineRule="auto"/>
      </w:pPr>
      <w:rPr>
        <w:b/>
        <w:bCs/>
      </w:rPr>
      <w:tblPr/>
      <w:tcPr>
        <w:tcBorders>
          <w:top w:val="single" w:sz="8" w:space="0" w:color="7FADDC" w:themeColor="accent3"/>
          <w:left w:val="nil"/>
          <w:bottom w:val="single" w:sz="8" w:space="0" w:color="7FADDC" w:themeColor="accent3"/>
          <w:right w:val="nil"/>
          <w:insideH w:val="nil"/>
          <w:insideV w:val="nil"/>
        </w:tcBorders>
      </w:tcPr>
    </w:tblStylePr>
    <w:tblStylePr w:type="lastRow">
      <w:pPr>
        <w:spacing w:before="0" w:after="0" w:line="240" w:lineRule="auto"/>
      </w:pPr>
      <w:rPr>
        <w:b/>
        <w:bCs/>
      </w:rPr>
      <w:tblPr/>
      <w:tcPr>
        <w:tcBorders>
          <w:top w:val="single" w:sz="8" w:space="0" w:color="7FADDC" w:themeColor="accent3"/>
          <w:left w:val="nil"/>
          <w:bottom w:val="single" w:sz="8" w:space="0" w:color="7FADD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AF6" w:themeFill="accent3" w:themeFillTint="3F"/>
      </w:tcPr>
    </w:tblStylePr>
    <w:tblStylePr w:type="band1Horz">
      <w:tblPr/>
      <w:tcPr>
        <w:tcBorders>
          <w:left w:val="nil"/>
          <w:right w:val="nil"/>
          <w:insideH w:val="nil"/>
          <w:insideV w:val="nil"/>
        </w:tcBorders>
        <w:shd w:val="clear" w:color="auto" w:fill="DFEAF6" w:themeFill="accent3" w:themeFillTint="3F"/>
      </w:tcPr>
    </w:tblStylePr>
  </w:style>
  <w:style w:type="table" w:styleId="LightShading-Accent4">
    <w:name w:val="Light Shading Accent 4"/>
    <w:basedOn w:val="TableNormal"/>
    <w:uiPriority w:val="99"/>
    <w:semiHidden/>
    <w:unhideWhenUsed/>
    <w:rsid w:val="00911DE3"/>
    <w:pPr>
      <w:spacing w:line="240" w:lineRule="auto"/>
    </w:pPr>
    <w:rPr>
      <w:color w:val="58595B" w:themeColor="accent4" w:themeShade="BF"/>
    </w:rPr>
    <w:tblPr>
      <w:tblStyleRowBandSize w:val="1"/>
      <w:tblStyleColBandSize w:val="1"/>
      <w:tblBorders>
        <w:top w:val="single" w:sz="8" w:space="0" w:color="76777B" w:themeColor="accent4"/>
        <w:bottom w:val="single" w:sz="8" w:space="0" w:color="76777B" w:themeColor="accent4"/>
      </w:tblBorders>
    </w:tblPr>
    <w:tblStylePr w:type="firstRow">
      <w:pPr>
        <w:spacing w:before="0" w:after="0" w:line="240" w:lineRule="auto"/>
      </w:pPr>
      <w:rPr>
        <w:b/>
        <w:bCs/>
      </w:rPr>
      <w:tblPr/>
      <w:tcPr>
        <w:tcBorders>
          <w:top w:val="single" w:sz="8" w:space="0" w:color="76777B" w:themeColor="accent4"/>
          <w:left w:val="nil"/>
          <w:bottom w:val="single" w:sz="8" w:space="0" w:color="76777B" w:themeColor="accent4"/>
          <w:right w:val="nil"/>
          <w:insideH w:val="nil"/>
          <w:insideV w:val="nil"/>
        </w:tcBorders>
      </w:tcPr>
    </w:tblStylePr>
    <w:tblStylePr w:type="lastRow">
      <w:pPr>
        <w:spacing w:before="0" w:after="0" w:line="240" w:lineRule="auto"/>
      </w:pPr>
      <w:rPr>
        <w:b/>
        <w:bCs/>
      </w:rPr>
      <w:tblPr/>
      <w:tcPr>
        <w:tcBorders>
          <w:top w:val="single" w:sz="8" w:space="0" w:color="76777B" w:themeColor="accent4"/>
          <w:left w:val="nil"/>
          <w:bottom w:val="single" w:sz="8" w:space="0" w:color="76777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DDE" w:themeFill="accent4" w:themeFillTint="3F"/>
      </w:tcPr>
    </w:tblStylePr>
    <w:tblStylePr w:type="band1Horz">
      <w:tblPr/>
      <w:tcPr>
        <w:tcBorders>
          <w:left w:val="nil"/>
          <w:right w:val="nil"/>
          <w:insideH w:val="nil"/>
          <w:insideV w:val="nil"/>
        </w:tcBorders>
        <w:shd w:val="clear" w:color="auto" w:fill="DCDDDE" w:themeFill="accent4" w:themeFillTint="3F"/>
      </w:tcPr>
    </w:tblStylePr>
  </w:style>
  <w:style w:type="table" w:styleId="LightShading-Accent5">
    <w:name w:val="Light Shading Accent 5"/>
    <w:basedOn w:val="TableNormal"/>
    <w:uiPriority w:val="99"/>
    <w:semiHidden/>
    <w:unhideWhenUsed/>
    <w:rsid w:val="00911DE3"/>
    <w:pPr>
      <w:spacing w:line="240" w:lineRule="auto"/>
    </w:pPr>
    <w:rPr>
      <w:color w:val="0C1118" w:themeColor="accent5" w:themeShade="BF"/>
    </w:rPr>
    <w:tblPr>
      <w:tblStyleRowBandSize w:val="1"/>
      <w:tblStyleColBandSize w:val="1"/>
      <w:tblBorders>
        <w:top w:val="single" w:sz="8" w:space="0" w:color="111821" w:themeColor="accent5"/>
        <w:bottom w:val="single" w:sz="8" w:space="0" w:color="111821" w:themeColor="accent5"/>
      </w:tblBorders>
    </w:tblPr>
    <w:tblStylePr w:type="firstRow">
      <w:pPr>
        <w:spacing w:before="0" w:after="0" w:line="240" w:lineRule="auto"/>
      </w:pPr>
      <w:rPr>
        <w:b/>
        <w:bCs/>
      </w:rPr>
      <w:tblPr/>
      <w:tcPr>
        <w:tcBorders>
          <w:top w:val="single" w:sz="8" w:space="0" w:color="111821" w:themeColor="accent5"/>
          <w:left w:val="nil"/>
          <w:bottom w:val="single" w:sz="8" w:space="0" w:color="111821" w:themeColor="accent5"/>
          <w:right w:val="nil"/>
          <w:insideH w:val="nil"/>
          <w:insideV w:val="nil"/>
        </w:tcBorders>
      </w:tcPr>
    </w:tblStylePr>
    <w:tblStylePr w:type="lastRow">
      <w:pPr>
        <w:spacing w:before="0" w:after="0" w:line="240" w:lineRule="auto"/>
      </w:pPr>
      <w:rPr>
        <w:b/>
        <w:bCs/>
      </w:rPr>
      <w:tblPr/>
      <w:tcPr>
        <w:tcBorders>
          <w:top w:val="single" w:sz="8" w:space="0" w:color="111821" w:themeColor="accent5"/>
          <w:left w:val="nil"/>
          <w:bottom w:val="single" w:sz="8" w:space="0" w:color="11182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C3D8" w:themeFill="accent5" w:themeFillTint="3F"/>
      </w:tcPr>
    </w:tblStylePr>
    <w:tblStylePr w:type="band1Horz">
      <w:tblPr/>
      <w:tcPr>
        <w:tcBorders>
          <w:left w:val="nil"/>
          <w:right w:val="nil"/>
          <w:insideH w:val="nil"/>
          <w:insideV w:val="nil"/>
        </w:tcBorders>
        <w:shd w:val="clear" w:color="auto" w:fill="B4C3D8" w:themeFill="accent5" w:themeFillTint="3F"/>
      </w:tcPr>
    </w:tblStylePr>
  </w:style>
  <w:style w:type="table" w:styleId="LightShading-Accent6">
    <w:name w:val="Light Shading Accent 6"/>
    <w:basedOn w:val="TableNormal"/>
    <w:uiPriority w:val="99"/>
    <w:semiHidden/>
    <w:unhideWhenUsed/>
    <w:rsid w:val="00911DE3"/>
    <w:pPr>
      <w:spacing w:line="240" w:lineRule="auto"/>
    </w:pPr>
    <w:rPr>
      <w:color w:val="6A9FD5" w:themeColor="accent6" w:themeShade="BF"/>
    </w:rPr>
    <w:tblPr>
      <w:tblStyleRowBandSize w:val="1"/>
      <w:tblStyleColBandSize w:val="1"/>
      <w:tblBorders>
        <w:top w:val="single" w:sz="8" w:space="0" w:color="BFD6ED" w:themeColor="accent6"/>
        <w:bottom w:val="single" w:sz="8" w:space="0" w:color="BFD6ED" w:themeColor="accent6"/>
      </w:tblBorders>
    </w:tblPr>
    <w:tblStylePr w:type="firstRow">
      <w:pPr>
        <w:spacing w:before="0" w:after="0" w:line="240" w:lineRule="auto"/>
      </w:pPr>
      <w:rPr>
        <w:b/>
        <w:bCs/>
      </w:rPr>
      <w:tblPr/>
      <w:tcPr>
        <w:tcBorders>
          <w:top w:val="single" w:sz="8" w:space="0" w:color="BFD6ED" w:themeColor="accent6"/>
          <w:left w:val="nil"/>
          <w:bottom w:val="single" w:sz="8" w:space="0" w:color="BFD6ED" w:themeColor="accent6"/>
          <w:right w:val="nil"/>
          <w:insideH w:val="nil"/>
          <w:insideV w:val="nil"/>
        </w:tcBorders>
      </w:tcPr>
    </w:tblStylePr>
    <w:tblStylePr w:type="lastRow">
      <w:pPr>
        <w:spacing w:before="0" w:after="0" w:line="240" w:lineRule="auto"/>
      </w:pPr>
      <w:rPr>
        <w:b/>
        <w:bCs/>
      </w:rPr>
      <w:tblPr/>
      <w:tcPr>
        <w:tcBorders>
          <w:top w:val="single" w:sz="8" w:space="0" w:color="BFD6ED" w:themeColor="accent6"/>
          <w:left w:val="nil"/>
          <w:bottom w:val="single" w:sz="8" w:space="0" w:color="BFD6E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4FA" w:themeFill="accent6" w:themeFillTint="3F"/>
      </w:tcPr>
    </w:tblStylePr>
    <w:tblStylePr w:type="band1Horz">
      <w:tblPr/>
      <w:tcPr>
        <w:tcBorders>
          <w:left w:val="nil"/>
          <w:right w:val="nil"/>
          <w:insideH w:val="nil"/>
          <w:insideV w:val="nil"/>
        </w:tcBorders>
        <w:shd w:val="clear" w:color="auto" w:fill="EFF4FA" w:themeFill="accent6" w:themeFillTint="3F"/>
      </w:tcPr>
    </w:tblStylePr>
  </w:style>
  <w:style w:type="character" w:styleId="LineNumber">
    <w:name w:val="line number"/>
    <w:basedOn w:val="DefaultParagraphFont"/>
    <w:uiPriority w:val="99"/>
    <w:semiHidden/>
    <w:rsid w:val="00911DE3"/>
  </w:style>
  <w:style w:type="paragraph" w:styleId="List">
    <w:name w:val="List"/>
    <w:basedOn w:val="Normal"/>
    <w:uiPriority w:val="99"/>
    <w:semiHidden/>
    <w:rsid w:val="00911DE3"/>
    <w:pPr>
      <w:ind w:left="283" w:hanging="283"/>
      <w:contextualSpacing/>
    </w:pPr>
  </w:style>
  <w:style w:type="paragraph" w:styleId="List2">
    <w:name w:val="List 2"/>
    <w:basedOn w:val="Normal"/>
    <w:uiPriority w:val="99"/>
    <w:semiHidden/>
    <w:rsid w:val="00911DE3"/>
    <w:pPr>
      <w:ind w:left="566" w:hanging="283"/>
      <w:contextualSpacing/>
    </w:pPr>
  </w:style>
  <w:style w:type="paragraph" w:styleId="List3">
    <w:name w:val="List 3"/>
    <w:basedOn w:val="Normal"/>
    <w:uiPriority w:val="99"/>
    <w:semiHidden/>
    <w:rsid w:val="00911DE3"/>
    <w:pPr>
      <w:ind w:left="849" w:hanging="283"/>
      <w:contextualSpacing/>
    </w:pPr>
  </w:style>
  <w:style w:type="paragraph" w:styleId="List4">
    <w:name w:val="List 4"/>
    <w:basedOn w:val="Normal"/>
    <w:uiPriority w:val="99"/>
    <w:semiHidden/>
    <w:rsid w:val="00911DE3"/>
    <w:pPr>
      <w:ind w:left="1132" w:hanging="283"/>
      <w:contextualSpacing/>
    </w:pPr>
  </w:style>
  <w:style w:type="paragraph" w:styleId="List5">
    <w:name w:val="List 5"/>
    <w:basedOn w:val="Normal"/>
    <w:uiPriority w:val="99"/>
    <w:semiHidden/>
    <w:rsid w:val="00911DE3"/>
    <w:pPr>
      <w:ind w:left="1415" w:hanging="283"/>
      <w:contextualSpacing/>
    </w:pPr>
  </w:style>
  <w:style w:type="paragraph" w:styleId="ListBullet">
    <w:name w:val="List Bullet"/>
    <w:basedOn w:val="Normal"/>
    <w:uiPriority w:val="2"/>
    <w:qFormat/>
    <w:rsid w:val="00EB3839"/>
    <w:pPr>
      <w:numPr>
        <w:numId w:val="27"/>
      </w:numPr>
    </w:pPr>
  </w:style>
  <w:style w:type="paragraph" w:styleId="ListBullet2">
    <w:name w:val="List Bullet 2"/>
    <w:basedOn w:val="Normal"/>
    <w:uiPriority w:val="2"/>
    <w:semiHidden/>
    <w:rsid w:val="00EB3839"/>
    <w:pPr>
      <w:contextualSpacing/>
    </w:pPr>
  </w:style>
  <w:style w:type="paragraph" w:styleId="ListBullet3">
    <w:name w:val="List Bullet 3"/>
    <w:basedOn w:val="Normal"/>
    <w:uiPriority w:val="2"/>
    <w:semiHidden/>
    <w:rsid w:val="00EB3839"/>
    <w:pPr>
      <w:contextualSpacing/>
    </w:pPr>
  </w:style>
  <w:style w:type="paragraph" w:styleId="ListBullet4">
    <w:name w:val="List Bullet 4"/>
    <w:basedOn w:val="Normal"/>
    <w:uiPriority w:val="2"/>
    <w:semiHidden/>
    <w:rsid w:val="00911DE3"/>
    <w:pPr>
      <w:numPr>
        <w:numId w:val="9"/>
      </w:numPr>
      <w:contextualSpacing/>
    </w:pPr>
  </w:style>
  <w:style w:type="paragraph" w:styleId="ListBullet5">
    <w:name w:val="List Bullet 5"/>
    <w:basedOn w:val="Normal"/>
    <w:uiPriority w:val="2"/>
    <w:semiHidden/>
    <w:rsid w:val="00911DE3"/>
    <w:pPr>
      <w:numPr>
        <w:numId w:val="10"/>
      </w:numPr>
      <w:contextualSpacing/>
    </w:pPr>
  </w:style>
  <w:style w:type="paragraph" w:styleId="ListContinue">
    <w:name w:val="List Continue"/>
    <w:basedOn w:val="Normal"/>
    <w:uiPriority w:val="99"/>
    <w:semiHidden/>
    <w:rsid w:val="00911DE3"/>
    <w:pPr>
      <w:spacing w:after="120"/>
      <w:ind w:left="283"/>
      <w:contextualSpacing/>
    </w:pPr>
  </w:style>
  <w:style w:type="paragraph" w:styleId="ListContinue2">
    <w:name w:val="List Continue 2"/>
    <w:basedOn w:val="Normal"/>
    <w:uiPriority w:val="99"/>
    <w:semiHidden/>
    <w:rsid w:val="00911DE3"/>
    <w:pPr>
      <w:spacing w:after="120"/>
      <w:ind w:left="566"/>
      <w:contextualSpacing/>
    </w:pPr>
  </w:style>
  <w:style w:type="paragraph" w:styleId="ListContinue3">
    <w:name w:val="List Continue 3"/>
    <w:basedOn w:val="Normal"/>
    <w:uiPriority w:val="99"/>
    <w:semiHidden/>
    <w:rsid w:val="00911DE3"/>
    <w:pPr>
      <w:spacing w:after="120"/>
      <w:ind w:left="849"/>
      <w:contextualSpacing/>
    </w:pPr>
  </w:style>
  <w:style w:type="paragraph" w:styleId="ListContinue4">
    <w:name w:val="List Continue 4"/>
    <w:basedOn w:val="Normal"/>
    <w:uiPriority w:val="99"/>
    <w:semiHidden/>
    <w:rsid w:val="00911DE3"/>
    <w:pPr>
      <w:spacing w:after="120"/>
      <w:ind w:left="1132"/>
      <w:contextualSpacing/>
    </w:pPr>
  </w:style>
  <w:style w:type="paragraph" w:styleId="ListContinue5">
    <w:name w:val="List Continue 5"/>
    <w:basedOn w:val="Normal"/>
    <w:uiPriority w:val="99"/>
    <w:semiHidden/>
    <w:rsid w:val="00911DE3"/>
    <w:pPr>
      <w:spacing w:after="120"/>
      <w:ind w:left="1415"/>
      <w:contextualSpacing/>
    </w:pPr>
  </w:style>
  <w:style w:type="paragraph" w:styleId="ListNumber">
    <w:name w:val="List Number"/>
    <w:basedOn w:val="Normal"/>
    <w:uiPriority w:val="2"/>
    <w:qFormat/>
    <w:rsid w:val="00EB3839"/>
    <w:pPr>
      <w:numPr>
        <w:numId w:val="26"/>
      </w:numPr>
    </w:pPr>
  </w:style>
  <w:style w:type="paragraph" w:styleId="ListNumber2">
    <w:name w:val="List Number 2"/>
    <w:basedOn w:val="Normal"/>
    <w:uiPriority w:val="2"/>
    <w:semiHidden/>
    <w:rsid w:val="00EB3839"/>
    <w:pPr>
      <w:contextualSpacing/>
    </w:pPr>
  </w:style>
  <w:style w:type="paragraph" w:styleId="ListNumber3">
    <w:name w:val="List Number 3"/>
    <w:basedOn w:val="Normal"/>
    <w:uiPriority w:val="2"/>
    <w:semiHidden/>
    <w:rsid w:val="00EB3839"/>
    <w:pPr>
      <w:contextualSpacing/>
    </w:pPr>
  </w:style>
  <w:style w:type="paragraph" w:styleId="ListNumber4">
    <w:name w:val="List Number 4"/>
    <w:basedOn w:val="Normal"/>
    <w:uiPriority w:val="2"/>
    <w:semiHidden/>
    <w:rsid w:val="00911DE3"/>
    <w:pPr>
      <w:numPr>
        <w:numId w:val="11"/>
      </w:numPr>
      <w:contextualSpacing/>
    </w:pPr>
  </w:style>
  <w:style w:type="paragraph" w:styleId="ListNumber5">
    <w:name w:val="List Number 5"/>
    <w:basedOn w:val="Normal"/>
    <w:uiPriority w:val="2"/>
    <w:semiHidden/>
    <w:rsid w:val="00911DE3"/>
    <w:pPr>
      <w:numPr>
        <w:numId w:val="12"/>
      </w:numPr>
      <w:contextualSpacing/>
    </w:pPr>
  </w:style>
  <w:style w:type="paragraph" w:styleId="ListParagraph">
    <w:name w:val="List Paragraph"/>
    <w:basedOn w:val="Normal"/>
    <w:uiPriority w:val="34"/>
    <w:qFormat/>
    <w:rsid w:val="00911DE3"/>
    <w:pPr>
      <w:ind w:left="720"/>
      <w:contextualSpacing/>
    </w:pPr>
  </w:style>
  <w:style w:type="table" w:styleId="ListTable1Light">
    <w:name w:val="List Table 1 Light"/>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3C9CFF" w:themeColor="accent1" w:themeTint="99"/>
        </w:tcBorders>
      </w:tcPr>
    </w:tblStylePr>
    <w:tblStylePr w:type="lastRow">
      <w:rPr>
        <w:b/>
        <w:bCs/>
      </w:rPr>
      <w:tblPr/>
      <w:tcPr>
        <w:tcBorders>
          <w:top w:val="single" w:sz="4" w:space="0" w:color="3C9CFF" w:themeColor="accent1" w:themeTint="99"/>
        </w:tcBorders>
      </w:tc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ListTable1Light-Accent2">
    <w:name w:val="List Table 1 Light Accent 2"/>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D6D6D6" w:themeColor="accent2" w:themeTint="99"/>
        </w:tcBorders>
      </w:tcPr>
    </w:tblStylePr>
    <w:tblStylePr w:type="lastRow">
      <w:rPr>
        <w:b/>
        <w:bCs/>
      </w:rPr>
      <w:tblPr/>
      <w:tcPr>
        <w:tcBorders>
          <w:top w:val="single" w:sz="4" w:space="0" w:color="D6D6D6" w:themeColor="accent2" w:themeTint="99"/>
        </w:tcBorders>
      </w:tc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ListTable1Light-Accent3">
    <w:name w:val="List Table 1 Light Accent 3"/>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B2CDEA" w:themeColor="accent3" w:themeTint="99"/>
        </w:tcBorders>
      </w:tcPr>
    </w:tblStylePr>
    <w:tblStylePr w:type="lastRow">
      <w:rPr>
        <w:b/>
        <w:bCs/>
      </w:rPr>
      <w:tblPr/>
      <w:tcPr>
        <w:tcBorders>
          <w:top w:val="single" w:sz="4" w:space="0" w:color="B2CDEA" w:themeColor="accent3" w:themeTint="99"/>
        </w:tcBorders>
      </w:tc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ListTable1Light-Accent4">
    <w:name w:val="List Table 1 Light Accent 4"/>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ACADAF" w:themeColor="accent4" w:themeTint="99"/>
        </w:tcBorders>
      </w:tcPr>
    </w:tblStylePr>
    <w:tblStylePr w:type="lastRow">
      <w:rPr>
        <w:b/>
        <w:bCs/>
      </w:rPr>
      <w:tblPr/>
      <w:tcPr>
        <w:tcBorders>
          <w:top w:val="single" w:sz="4" w:space="0" w:color="ACADAF" w:themeColor="accent4" w:themeTint="99"/>
        </w:tcBorders>
      </w:tc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ListTable1Light-Accent5">
    <w:name w:val="List Table 1 Light Accent 5"/>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4F709A" w:themeColor="accent5" w:themeTint="99"/>
        </w:tcBorders>
      </w:tcPr>
    </w:tblStylePr>
    <w:tblStylePr w:type="lastRow">
      <w:rPr>
        <w:b/>
        <w:bCs/>
      </w:rPr>
      <w:tblPr/>
      <w:tcPr>
        <w:tcBorders>
          <w:top w:val="single" w:sz="4" w:space="0" w:color="4F709A" w:themeColor="accent5" w:themeTint="99"/>
        </w:tcBorders>
      </w:tc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ListTable1Light-Accent6">
    <w:name w:val="List Table 1 Light Accent 6"/>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D8E6F4" w:themeColor="accent6" w:themeTint="99"/>
        </w:tcBorders>
      </w:tcPr>
    </w:tblStylePr>
    <w:tblStylePr w:type="lastRow">
      <w:rPr>
        <w:b/>
        <w:bCs/>
      </w:rPr>
      <w:tblPr/>
      <w:tcPr>
        <w:tcBorders>
          <w:top w:val="single" w:sz="4" w:space="0" w:color="D8E6F4" w:themeColor="accent6" w:themeTint="99"/>
        </w:tcBorders>
      </w:tc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ListTable2">
    <w:name w:val="List Table 2"/>
    <w:basedOn w:val="TableNormal"/>
    <w:uiPriority w:val="99"/>
    <w:rsid w:val="00911DE3"/>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911DE3"/>
    <w:pPr>
      <w:spacing w:line="240" w:lineRule="auto"/>
    </w:pPr>
    <w:tblPr>
      <w:tblStyleRowBandSize w:val="1"/>
      <w:tblStyleColBandSize w:val="1"/>
      <w:tblBorders>
        <w:top w:val="single" w:sz="4" w:space="0" w:color="3C9CFF" w:themeColor="accent1" w:themeTint="99"/>
        <w:bottom w:val="single" w:sz="4" w:space="0" w:color="3C9CFF" w:themeColor="accent1" w:themeTint="99"/>
        <w:insideH w:val="single" w:sz="4" w:space="0" w:color="3C9C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ListTable2-Accent2">
    <w:name w:val="List Table 2 Accent 2"/>
    <w:basedOn w:val="TableNormal"/>
    <w:uiPriority w:val="99"/>
    <w:rsid w:val="00911DE3"/>
    <w:pPr>
      <w:spacing w:line="240" w:lineRule="auto"/>
    </w:pPr>
    <w:tblPr>
      <w:tblStyleRowBandSize w:val="1"/>
      <w:tblStyleColBandSize w:val="1"/>
      <w:tblBorders>
        <w:top w:val="single" w:sz="4" w:space="0" w:color="D6D6D6" w:themeColor="accent2" w:themeTint="99"/>
        <w:bottom w:val="single" w:sz="4" w:space="0" w:color="D6D6D6" w:themeColor="accent2" w:themeTint="99"/>
        <w:insideH w:val="single" w:sz="4" w:space="0" w:color="D6D6D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ListTable2-Accent3">
    <w:name w:val="List Table 2 Accent 3"/>
    <w:basedOn w:val="TableNormal"/>
    <w:uiPriority w:val="99"/>
    <w:rsid w:val="00911DE3"/>
    <w:pPr>
      <w:spacing w:line="240" w:lineRule="auto"/>
    </w:pPr>
    <w:tblPr>
      <w:tblStyleRowBandSize w:val="1"/>
      <w:tblStyleColBandSize w:val="1"/>
      <w:tblBorders>
        <w:top w:val="single" w:sz="4" w:space="0" w:color="B2CDEA" w:themeColor="accent3" w:themeTint="99"/>
        <w:bottom w:val="single" w:sz="4" w:space="0" w:color="B2CDEA" w:themeColor="accent3" w:themeTint="99"/>
        <w:insideH w:val="single" w:sz="4" w:space="0" w:color="B2CD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ListTable2-Accent4">
    <w:name w:val="List Table 2 Accent 4"/>
    <w:basedOn w:val="TableNormal"/>
    <w:uiPriority w:val="99"/>
    <w:rsid w:val="00911DE3"/>
    <w:pPr>
      <w:spacing w:line="240" w:lineRule="auto"/>
    </w:pPr>
    <w:tblPr>
      <w:tblStyleRowBandSize w:val="1"/>
      <w:tblStyleColBandSize w:val="1"/>
      <w:tblBorders>
        <w:top w:val="single" w:sz="4" w:space="0" w:color="ACADAF" w:themeColor="accent4" w:themeTint="99"/>
        <w:bottom w:val="single" w:sz="4" w:space="0" w:color="ACADAF" w:themeColor="accent4" w:themeTint="99"/>
        <w:insideH w:val="single" w:sz="4" w:space="0" w:color="ACADA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ListTable2-Accent5">
    <w:name w:val="List Table 2 Accent 5"/>
    <w:basedOn w:val="TableNormal"/>
    <w:uiPriority w:val="99"/>
    <w:rsid w:val="00911DE3"/>
    <w:pPr>
      <w:spacing w:line="240" w:lineRule="auto"/>
    </w:pPr>
    <w:tblPr>
      <w:tblStyleRowBandSize w:val="1"/>
      <w:tblStyleColBandSize w:val="1"/>
      <w:tblBorders>
        <w:top w:val="single" w:sz="4" w:space="0" w:color="4F709A" w:themeColor="accent5" w:themeTint="99"/>
        <w:bottom w:val="single" w:sz="4" w:space="0" w:color="4F709A" w:themeColor="accent5" w:themeTint="99"/>
        <w:insideH w:val="single" w:sz="4" w:space="0" w:color="4F709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ListTable2-Accent6">
    <w:name w:val="List Table 2 Accent 6"/>
    <w:basedOn w:val="TableNormal"/>
    <w:uiPriority w:val="99"/>
    <w:rsid w:val="00911DE3"/>
    <w:pPr>
      <w:spacing w:line="240" w:lineRule="auto"/>
    </w:pPr>
    <w:tblPr>
      <w:tblStyleRowBandSize w:val="1"/>
      <w:tblStyleColBandSize w:val="1"/>
      <w:tblBorders>
        <w:top w:val="single" w:sz="4" w:space="0" w:color="D8E6F4" w:themeColor="accent6" w:themeTint="99"/>
        <w:bottom w:val="single" w:sz="4" w:space="0" w:color="D8E6F4" w:themeColor="accent6" w:themeTint="99"/>
        <w:insideH w:val="single" w:sz="4" w:space="0" w:color="D8E6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ListTable3">
    <w:name w:val="List Table 3"/>
    <w:basedOn w:val="TableNormal"/>
    <w:uiPriority w:val="99"/>
    <w:rsid w:val="00911DE3"/>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911DE3"/>
    <w:pPr>
      <w:spacing w:line="240" w:lineRule="auto"/>
    </w:pPr>
    <w:tblPr>
      <w:tblStyleRowBandSize w:val="1"/>
      <w:tblStyleColBandSize w:val="1"/>
      <w:tblBorders>
        <w:top w:val="single" w:sz="4" w:space="0" w:color="005CB9" w:themeColor="accent1"/>
        <w:left w:val="single" w:sz="4" w:space="0" w:color="005CB9" w:themeColor="accent1"/>
        <w:bottom w:val="single" w:sz="4" w:space="0" w:color="005CB9" w:themeColor="accent1"/>
        <w:right w:val="single" w:sz="4" w:space="0" w:color="005CB9" w:themeColor="accent1"/>
      </w:tblBorders>
    </w:tblPr>
    <w:tblStylePr w:type="firstRow">
      <w:rPr>
        <w:b/>
        <w:bCs/>
        <w:color w:val="FFFFFF" w:themeColor="background1"/>
      </w:rPr>
      <w:tblPr/>
      <w:tcPr>
        <w:shd w:val="clear" w:color="auto" w:fill="005CB9" w:themeFill="accent1"/>
      </w:tcPr>
    </w:tblStylePr>
    <w:tblStylePr w:type="lastRow">
      <w:rPr>
        <w:b/>
        <w:bCs/>
      </w:rPr>
      <w:tblPr/>
      <w:tcPr>
        <w:tcBorders>
          <w:top w:val="double" w:sz="4" w:space="0" w:color="005CB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CB9" w:themeColor="accent1"/>
          <w:right w:val="single" w:sz="4" w:space="0" w:color="005CB9" w:themeColor="accent1"/>
        </w:tcBorders>
      </w:tcPr>
    </w:tblStylePr>
    <w:tblStylePr w:type="band1Horz">
      <w:tblPr/>
      <w:tcPr>
        <w:tcBorders>
          <w:top w:val="single" w:sz="4" w:space="0" w:color="005CB9" w:themeColor="accent1"/>
          <w:bottom w:val="single" w:sz="4" w:space="0" w:color="005CB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CB9" w:themeColor="accent1"/>
          <w:left w:val="nil"/>
        </w:tcBorders>
      </w:tcPr>
    </w:tblStylePr>
    <w:tblStylePr w:type="swCell">
      <w:tblPr/>
      <w:tcPr>
        <w:tcBorders>
          <w:top w:val="double" w:sz="4" w:space="0" w:color="005CB9" w:themeColor="accent1"/>
          <w:right w:val="nil"/>
        </w:tcBorders>
      </w:tcPr>
    </w:tblStylePr>
  </w:style>
  <w:style w:type="table" w:styleId="ListTable3-Accent2">
    <w:name w:val="List Table 3 Accent 2"/>
    <w:basedOn w:val="TableNormal"/>
    <w:uiPriority w:val="99"/>
    <w:rsid w:val="00911DE3"/>
    <w:pPr>
      <w:spacing w:line="240" w:lineRule="auto"/>
    </w:pPr>
    <w:tblPr>
      <w:tblStyleRowBandSize w:val="1"/>
      <w:tblStyleColBandSize w:val="1"/>
      <w:tblBorders>
        <w:top w:val="single" w:sz="4" w:space="0" w:color="BBBBBB" w:themeColor="accent2"/>
        <w:left w:val="single" w:sz="4" w:space="0" w:color="BBBBBB" w:themeColor="accent2"/>
        <w:bottom w:val="single" w:sz="4" w:space="0" w:color="BBBBBB" w:themeColor="accent2"/>
        <w:right w:val="single" w:sz="4" w:space="0" w:color="BBBBBB" w:themeColor="accent2"/>
      </w:tblBorders>
    </w:tblPr>
    <w:tblStylePr w:type="firstRow">
      <w:rPr>
        <w:b/>
        <w:bCs/>
        <w:color w:val="FFFFFF" w:themeColor="background1"/>
      </w:rPr>
      <w:tblPr/>
      <w:tcPr>
        <w:shd w:val="clear" w:color="auto" w:fill="BBBBBB" w:themeFill="accent2"/>
      </w:tcPr>
    </w:tblStylePr>
    <w:tblStylePr w:type="lastRow">
      <w:rPr>
        <w:b/>
        <w:bCs/>
      </w:rPr>
      <w:tblPr/>
      <w:tcPr>
        <w:tcBorders>
          <w:top w:val="double" w:sz="4" w:space="0" w:color="BBBBB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BBBBB" w:themeColor="accent2"/>
          <w:right w:val="single" w:sz="4" w:space="0" w:color="BBBBBB" w:themeColor="accent2"/>
        </w:tcBorders>
      </w:tcPr>
    </w:tblStylePr>
    <w:tblStylePr w:type="band1Horz">
      <w:tblPr/>
      <w:tcPr>
        <w:tcBorders>
          <w:top w:val="single" w:sz="4" w:space="0" w:color="BBBBBB" w:themeColor="accent2"/>
          <w:bottom w:val="single" w:sz="4" w:space="0" w:color="BBBBB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BBBBB" w:themeColor="accent2"/>
          <w:left w:val="nil"/>
        </w:tcBorders>
      </w:tcPr>
    </w:tblStylePr>
    <w:tblStylePr w:type="swCell">
      <w:tblPr/>
      <w:tcPr>
        <w:tcBorders>
          <w:top w:val="double" w:sz="4" w:space="0" w:color="BBBBBB" w:themeColor="accent2"/>
          <w:right w:val="nil"/>
        </w:tcBorders>
      </w:tcPr>
    </w:tblStylePr>
  </w:style>
  <w:style w:type="table" w:styleId="ListTable3-Accent3">
    <w:name w:val="List Table 3 Accent 3"/>
    <w:basedOn w:val="TableNormal"/>
    <w:uiPriority w:val="99"/>
    <w:rsid w:val="00911DE3"/>
    <w:pPr>
      <w:spacing w:line="240" w:lineRule="auto"/>
    </w:pPr>
    <w:tblPr>
      <w:tblStyleRowBandSize w:val="1"/>
      <w:tblStyleColBandSize w:val="1"/>
      <w:tblBorders>
        <w:top w:val="single" w:sz="4" w:space="0" w:color="7FADDC" w:themeColor="accent3"/>
        <w:left w:val="single" w:sz="4" w:space="0" w:color="7FADDC" w:themeColor="accent3"/>
        <w:bottom w:val="single" w:sz="4" w:space="0" w:color="7FADDC" w:themeColor="accent3"/>
        <w:right w:val="single" w:sz="4" w:space="0" w:color="7FADDC" w:themeColor="accent3"/>
      </w:tblBorders>
    </w:tblPr>
    <w:tblStylePr w:type="firstRow">
      <w:rPr>
        <w:b/>
        <w:bCs/>
        <w:color w:val="FFFFFF" w:themeColor="background1"/>
      </w:rPr>
      <w:tblPr/>
      <w:tcPr>
        <w:shd w:val="clear" w:color="auto" w:fill="7FADDC" w:themeFill="accent3"/>
      </w:tcPr>
    </w:tblStylePr>
    <w:tblStylePr w:type="lastRow">
      <w:rPr>
        <w:b/>
        <w:bCs/>
      </w:rPr>
      <w:tblPr/>
      <w:tcPr>
        <w:tcBorders>
          <w:top w:val="double" w:sz="4" w:space="0" w:color="7FADD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ADDC" w:themeColor="accent3"/>
          <w:right w:val="single" w:sz="4" w:space="0" w:color="7FADDC" w:themeColor="accent3"/>
        </w:tcBorders>
      </w:tcPr>
    </w:tblStylePr>
    <w:tblStylePr w:type="band1Horz">
      <w:tblPr/>
      <w:tcPr>
        <w:tcBorders>
          <w:top w:val="single" w:sz="4" w:space="0" w:color="7FADDC" w:themeColor="accent3"/>
          <w:bottom w:val="single" w:sz="4" w:space="0" w:color="7FADD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ADDC" w:themeColor="accent3"/>
          <w:left w:val="nil"/>
        </w:tcBorders>
      </w:tcPr>
    </w:tblStylePr>
    <w:tblStylePr w:type="swCell">
      <w:tblPr/>
      <w:tcPr>
        <w:tcBorders>
          <w:top w:val="double" w:sz="4" w:space="0" w:color="7FADDC" w:themeColor="accent3"/>
          <w:right w:val="nil"/>
        </w:tcBorders>
      </w:tcPr>
    </w:tblStylePr>
  </w:style>
  <w:style w:type="table" w:styleId="ListTable3-Accent4">
    <w:name w:val="List Table 3 Accent 4"/>
    <w:basedOn w:val="TableNormal"/>
    <w:uiPriority w:val="99"/>
    <w:rsid w:val="00911DE3"/>
    <w:pPr>
      <w:spacing w:line="240" w:lineRule="auto"/>
    </w:pPr>
    <w:tblPr>
      <w:tblStyleRowBandSize w:val="1"/>
      <w:tblStyleColBandSize w:val="1"/>
      <w:tblBorders>
        <w:top w:val="single" w:sz="4" w:space="0" w:color="76777B" w:themeColor="accent4"/>
        <w:left w:val="single" w:sz="4" w:space="0" w:color="76777B" w:themeColor="accent4"/>
        <w:bottom w:val="single" w:sz="4" w:space="0" w:color="76777B" w:themeColor="accent4"/>
        <w:right w:val="single" w:sz="4" w:space="0" w:color="76777B" w:themeColor="accent4"/>
      </w:tblBorders>
    </w:tblPr>
    <w:tblStylePr w:type="firstRow">
      <w:rPr>
        <w:b/>
        <w:bCs/>
        <w:color w:val="FFFFFF" w:themeColor="background1"/>
      </w:rPr>
      <w:tblPr/>
      <w:tcPr>
        <w:shd w:val="clear" w:color="auto" w:fill="76777B" w:themeFill="accent4"/>
      </w:tcPr>
    </w:tblStylePr>
    <w:tblStylePr w:type="lastRow">
      <w:rPr>
        <w:b/>
        <w:bCs/>
      </w:rPr>
      <w:tblPr/>
      <w:tcPr>
        <w:tcBorders>
          <w:top w:val="double" w:sz="4" w:space="0" w:color="7677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777B" w:themeColor="accent4"/>
          <w:right w:val="single" w:sz="4" w:space="0" w:color="76777B" w:themeColor="accent4"/>
        </w:tcBorders>
      </w:tcPr>
    </w:tblStylePr>
    <w:tblStylePr w:type="band1Horz">
      <w:tblPr/>
      <w:tcPr>
        <w:tcBorders>
          <w:top w:val="single" w:sz="4" w:space="0" w:color="76777B" w:themeColor="accent4"/>
          <w:bottom w:val="single" w:sz="4" w:space="0" w:color="7677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777B" w:themeColor="accent4"/>
          <w:left w:val="nil"/>
        </w:tcBorders>
      </w:tcPr>
    </w:tblStylePr>
    <w:tblStylePr w:type="swCell">
      <w:tblPr/>
      <w:tcPr>
        <w:tcBorders>
          <w:top w:val="double" w:sz="4" w:space="0" w:color="76777B" w:themeColor="accent4"/>
          <w:right w:val="nil"/>
        </w:tcBorders>
      </w:tcPr>
    </w:tblStylePr>
  </w:style>
  <w:style w:type="table" w:styleId="ListTable3-Accent5">
    <w:name w:val="List Table 3 Accent 5"/>
    <w:basedOn w:val="TableNormal"/>
    <w:uiPriority w:val="99"/>
    <w:rsid w:val="00911DE3"/>
    <w:pPr>
      <w:spacing w:line="240" w:lineRule="auto"/>
    </w:pPr>
    <w:tblPr>
      <w:tblStyleRowBandSize w:val="1"/>
      <w:tblStyleColBandSize w:val="1"/>
      <w:tblBorders>
        <w:top w:val="single" w:sz="4" w:space="0" w:color="111821" w:themeColor="accent5"/>
        <w:left w:val="single" w:sz="4" w:space="0" w:color="111821" w:themeColor="accent5"/>
        <w:bottom w:val="single" w:sz="4" w:space="0" w:color="111821" w:themeColor="accent5"/>
        <w:right w:val="single" w:sz="4" w:space="0" w:color="111821" w:themeColor="accent5"/>
      </w:tblBorders>
    </w:tblPr>
    <w:tblStylePr w:type="firstRow">
      <w:rPr>
        <w:b/>
        <w:bCs/>
        <w:color w:val="FFFFFF" w:themeColor="background1"/>
      </w:rPr>
      <w:tblPr/>
      <w:tcPr>
        <w:shd w:val="clear" w:color="auto" w:fill="111821" w:themeFill="accent5"/>
      </w:tcPr>
    </w:tblStylePr>
    <w:tblStylePr w:type="lastRow">
      <w:rPr>
        <w:b/>
        <w:bCs/>
      </w:rPr>
      <w:tblPr/>
      <w:tcPr>
        <w:tcBorders>
          <w:top w:val="double" w:sz="4" w:space="0" w:color="11182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1821" w:themeColor="accent5"/>
          <w:right w:val="single" w:sz="4" w:space="0" w:color="111821" w:themeColor="accent5"/>
        </w:tcBorders>
      </w:tcPr>
    </w:tblStylePr>
    <w:tblStylePr w:type="band1Horz">
      <w:tblPr/>
      <w:tcPr>
        <w:tcBorders>
          <w:top w:val="single" w:sz="4" w:space="0" w:color="111821" w:themeColor="accent5"/>
          <w:bottom w:val="single" w:sz="4" w:space="0" w:color="11182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1821" w:themeColor="accent5"/>
          <w:left w:val="nil"/>
        </w:tcBorders>
      </w:tcPr>
    </w:tblStylePr>
    <w:tblStylePr w:type="swCell">
      <w:tblPr/>
      <w:tcPr>
        <w:tcBorders>
          <w:top w:val="double" w:sz="4" w:space="0" w:color="111821" w:themeColor="accent5"/>
          <w:right w:val="nil"/>
        </w:tcBorders>
      </w:tcPr>
    </w:tblStylePr>
  </w:style>
  <w:style w:type="table" w:styleId="ListTable3-Accent6">
    <w:name w:val="List Table 3 Accent 6"/>
    <w:basedOn w:val="TableNormal"/>
    <w:uiPriority w:val="99"/>
    <w:rsid w:val="00911DE3"/>
    <w:pPr>
      <w:spacing w:line="240" w:lineRule="auto"/>
    </w:pPr>
    <w:tblPr>
      <w:tblStyleRowBandSize w:val="1"/>
      <w:tblStyleColBandSize w:val="1"/>
      <w:tblBorders>
        <w:top w:val="single" w:sz="4" w:space="0" w:color="BFD6ED" w:themeColor="accent6"/>
        <w:left w:val="single" w:sz="4" w:space="0" w:color="BFD6ED" w:themeColor="accent6"/>
        <w:bottom w:val="single" w:sz="4" w:space="0" w:color="BFD6ED" w:themeColor="accent6"/>
        <w:right w:val="single" w:sz="4" w:space="0" w:color="BFD6ED" w:themeColor="accent6"/>
      </w:tblBorders>
    </w:tblPr>
    <w:tblStylePr w:type="firstRow">
      <w:rPr>
        <w:b/>
        <w:bCs/>
        <w:color w:val="FFFFFF" w:themeColor="background1"/>
      </w:rPr>
      <w:tblPr/>
      <w:tcPr>
        <w:shd w:val="clear" w:color="auto" w:fill="BFD6ED" w:themeFill="accent6"/>
      </w:tcPr>
    </w:tblStylePr>
    <w:tblStylePr w:type="lastRow">
      <w:rPr>
        <w:b/>
        <w:bCs/>
      </w:rPr>
      <w:tblPr/>
      <w:tcPr>
        <w:tcBorders>
          <w:top w:val="double" w:sz="4" w:space="0" w:color="BFD6E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D6ED" w:themeColor="accent6"/>
          <w:right w:val="single" w:sz="4" w:space="0" w:color="BFD6ED" w:themeColor="accent6"/>
        </w:tcBorders>
      </w:tcPr>
    </w:tblStylePr>
    <w:tblStylePr w:type="band1Horz">
      <w:tblPr/>
      <w:tcPr>
        <w:tcBorders>
          <w:top w:val="single" w:sz="4" w:space="0" w:color="BFD6ED" w:themeColor="accent6"/>
          <w:bottom w:val="single" w:sz="4" w:space="0" w:color="BFD6E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D6ED" w:themeColor="accent6"/>
          <w:left w:val="nil"/>
        </w:tcBorders>
      </w:tcPr>
    </w:tblStylePr>
    <w:tblStylePr w:type="swCell">
      <w:tblPr/>
      <w:tcPr>
        <w:tcBorders>
          <w:top w:val="double" w:sz="4" w:space="0" w:color="BFD6ED" w:themeColor="accent6"/>
          <w:right w:val="nil"/>
        </w:tcBorders>
      </w:tcPr>
    </w:tblStylePr>
  </w:style>
  <w:style w:type="table" w:styleId="ListTable4">
    <w:name w:val="List Table 4"/>
    <w:basedOn w:val="TableNormal"/>
    <w:uiPriority w:val="99"/>
    <w:rsid w:val="00911DE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911DE3"/>
    <w:pPr>
      <w:spacing w:line="240" w:lineRule="auto"/>
    </w:pPr>
    <w:tblPr>
      <w:tblStyleRowBandSize w:val="1"/>
      <w:tblStyleColBandSize w:val="1"/>
      <w:tblBorders>
        <w:top w:val="single" w:sz="4" w:space="0" w:color="3C9CFF" w:themeColor="accent1" w:themeTint="99"/>
        <w:left w:val="single" w:sz="4" w:space="0" w:color="3C9CFF" w:themeColor="accent1" w:themeTint="99"/>
        <w:bottom w:val="single" w:sz="4" w:space="0" w:color="3C9CFF" w:themeColor="accent1" w:themeTint="99"/>
        <w:right w:val="single" w:sz="4" w:space="0" w:color="3C9CFF" w:themeColor="accent1" w:themeTint="99"/>
        <w:insideH w:val="single" w:sz="4" w:space="0" w:color="3C9CFF" w:themeColor="accent1" w:themeTint="99"/>
      </w:tblBorders>
    </w:tblPr>
    <w:tblStylePr w:type="firstRow">
      <w:rPr>
        <w:b/>
        <w:bCs/>
        <w:color w:val="FFFFFF" w:themeColor="background1"/>
      </w:rPr>
      <w:tblPr/>
      <w:tcPr>
        <w:tcBorders>
          <w:top w:val="single" w:sz="4" w:space="0" w:color="005CB9" w:themeColor="accent1"/>
          <w:left w:val="single" w:sz="4" w:space="0" w:color="005CB9" w:themeColor="accent1"/>
          <w:bottom w:val="single" w:sz="4" w:space="0" w:color="005CB9" w:themeColor="accent1"/>
          <w:right w:val="single" w:sz="4" w:space="0" w:color="005CB9" w:themeColor="accent1"/>
          <w:insideH w:val="nil"/>
        </w:tcBorders>
        <w:shd w:val="clear" w:color="auto" w:fill="005CB9" w:themeFill="accent1"/>
      </w:tcPr>
    </w:tblStylePr>
    <w:tblStylePr w:type="lastRow">
      <w:rPr>
        <w:b/>
        <w:bCs/>
      </w:rPr>
      <w:tblPr/>
      <w:tcPr>
        <w:tcBorders>
          <w:top w:val="double" w:sz="4" w:space="0" w:color="3C9CFF" w:themeColor="accent1" w:themeTint="99"/>
        </w:tcBorders>
      </w:tc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ListTable4-Accent2">
    <w:name w:val="List Table 4 Accent 2"/>
    <w:basedOn w:val="TableNormal"/>
    <w:uiPriority w:val="99"/>
    <w:rsid w:val="00911DE3"/>
    <w:pPr>
      <w:spacing w:line="240" w:lineRule="auto"/>
    </w:pPr>
    <w:tblPr>
      <w:tblStyleRowBandSize w:val="1"/>
      <w:tblStyleColBandSize w:val="1"/>
      <w:tblBorders>
        <w:top w:val="single" w:sz="4" w:space="0" w:color="D6D6D6" w:themeColor="accent2" w:themeTint="99"/>
        <w:left w:val="single" w:sz="4" w:space="0" w:color="D6D6D6" w:themeColor="accent2" w:themeTint="99"/>
        <w:bottom w:val="single" w:sz="4" w:space="0" w:color="D6D6D6" w:themeColor="accent2" w:themeTint="99"/>
        <w:right w:val="single" w:sz="4" w:space="0" w:color="D6D6D6" w:themeColor="accent2" w:themeTint="99"/>
        <w:insideH w:val="single" w:sz="4" w:space="0" w:color="D6D6D6" w:themeColor="accent2" w:themeTint="99"/>
      </w:tblBorders>
    </w:tblPr>
    <w:tblStylePr w:type="firstRow">
      <w:rPr>
        <w:b/>
        <w:bCs/>
        <w:color w:val="FFFFFF" w:themeColor="background1"/>
      </w:rPr>
      <w:tblPr/>
      <w:tcPr>
        <w:tcBorders>
          <w:top w:val="single" w:sz="4" w:space="0" w:color="BBBBBB" w:themeColor="accent2"/>
          <w:left w:val="single" w:sz="4" w:space="0" w:color="BBBBBB" w:themeColor="accent2"/>
          <w:bottom w:val="single" w:sz="4" w:space="0" w:color="BBBBBB" w:themeColor="accent2"/>
          <w:right w:val="single" w:sz="4" w:space="0" w:color="BBBBBB" w:themeColor="accent2"/>
          <w:insideH w:val="nil"/>
        </w:tcBorders>
        <w:shd w:val="clear" w:color="auto" w:fill="BBBBBB" w:themeFill="accent2"/>
      </w:tcPr>
    </w:tblStylePr>
    <w:tblStylePr w:type="lastRow">
      <w:rPr>
        <w:b/>
        <w:bCs/>
      </w:rPr>
      <w:tblPr/>
      <w:tcPr>
        <w:tcBorders>
          <w:top w:val="double" w:sz="4" w:space="0" w:color="D6D6D6" w:themeColor="accent2" w:themeTint="99"/>
        </w:tcBorders>
      </w:tc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ListTable4-Accent3">
    <w:name w:val="List Table 4 Accent 3"/>
    <w:basedOn w:val="TableNormal"/>
    <w:uiPriority w:val="99"/>
    <w:rsid w:val="00911DE3"/>
    <w:pPr>
      <w:spacing w:line="240" w:lineRule="auto"/>
    </w:pPr>
    <w:tblPr>
      <w:tblStyleRowBandSize w:val="1"/>
      <w:tblStyleColBandSize w:val="1"/>
      <w:tblBorders>
        <w:top w:val="single" w:sz="4" w:space="0" w:color="B2CDEA" w:themeColor="accent3" w:themeTint="99"/>
        <w:left w:val="single" w:sz="4" w:space="0" w:color="B2CDEA" w:themeColor="accent3" w:themeTint="99"/>
        <w:bottom w:val="single" w:sz="4" w:space="0" w:color="B2CDEA" w:themeColor="accent3" w:themeTint="99"/>
        <w:right w:val="single" w:sz="4" w:space="0" w:color="B2CDEA" w:themeColor="accent3" w:themeTint="99"/>
        <w:insideH w:val="single" w:sz="4" w:space="0" w:color="B2CDEA" w:themeColor="accent3" w:themeTint="99"/>
      </w:tblBorders>
    </w:tblPr>
    <w:tblStylePr w:type="firstRow">
      <w:rPr>
        <w:b/>
        <w:bCs/>
        <w:color w:val="FFFFFF" w:themeColor="background1"/>
      </w:rPr>
      <w:tblPr/>
      <w:tcPr>
        <w:tcBorders>
          <w:top w:val="single" w:sz="4" w:space="0" w:color="7FADDC" w:themeColor="accent3"/>
          <w:left w:val="single" w:sz="4" w:space="0" w:color="7FADDC" w:themeColor="accent3"/>
          <w:bottom w:val="single" w:sz="4" w:space="0" w:color="7FADDC" w:themeColor="accent3"/>
          <w:right w:val="single" w:sz="4" w:space="0" w:color="7FADDC" w:themeColor="accent3"/>
          <w:insideH w:val="nil"/>
        </w:tcBorders>
        <w:shd w:val="clear" w:color="auto" w:fill="7FADDC" w:themeFill="accent3"/>
      </w:tcPr>
    </w:tblStylePr>
    <w:tblStylePr w:type="lastRow">
      <w:rPr>
        <w:b/>
        <w:bCs/>
      </w:rPr>
      <w:tblPr/>
      <w:tcPr>
        <w:tcBorders>
          <w:top w:val="double" w:sz="4" w:space="0" w:color="B2CDEA" w:themeColor="accent3" w:themeTint="99"/>
        </w:tcBorders>
      </w:tc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ListTable4-Accent4">
    <w:name w:val="List Table 4 Accent 4"/>
    <w:basedOn w:val="TableNormal"/>
    <w:uiPriority w:val="99"/>
    <w:rsid w:val="00911DE3"/>
    <w:pPr>
      <w:spacing w:line="240" w:lineRule="auto"/>
    </w:pPr>
    <w:tblPr>
      <w:tblStyleRowBandSize w:val="1"/>
      <w:tblStyleColBandSize w:val="1"/>
      <w:tblBorders>
        <w:top w:val="single" w:sz="4" w:space="0" w:color="ACADAF" w:themeColor="accent4" w:themeTint="99"/>
        <w:left w:val="single" w:sz="4" w:space="0" w:color="ACADAF" w:themeColor="accent4" w:themeTint="99"/>
        <w:bottom w:val="single" w:sz="4" w:space="0" w:color="ACADAF" w:themeColor="accent4" w:themeTint="99"/>
        <w:right w:val="single" w:sz="4" w:space="0" w:color="ACADAF" w:themeColor="accent4" w:themeTint="99"/>
        <w:insideH w:val="single" w:sz="4" w:space="0" w:color="ACADAF" w:themeColor="accent4" w:themeTint="99"/>
      </w:tblBorders>
    </w:tblPr>
    <w:tblStylePr w:type="firstRow">
      <w:rPr>
        <w:b/>
        <w:bCs/>
        <w:color w:val="FFFFFF" w:themeColor="background1"/>
      </w:rPr>
      <w:tblPr/>
      <w:tcPr>
        <w:tcBorders>
          <w:top w:val="single" w:sz="4" w:space="0" w:color="76777B" w:themeColor="accent4"/>
          <w:left w:val="single" w:sz="4" w:space="0" w:color="76777B" w:themeColor="accent4"/>
          <w:bottom w:val="single" w:sz="4" w:space="0" w:color="76777B" w:themeColor="accent4"/>
          <w:right w:val="single" w:sz="4" w:space="0" w:color="76777B" w:themeColor="accent4"/>
          <w:insideH w:val="nil"/>
        </w:tcBorders>
        <w:shd w:val="clear" w:color="auto" w:fill="76777B" w:themeFill="accent4"/>
      </w:tcPr>
    </w:tblStylePr>
    <w:tblStylePr w:type="lastRow">
      <w:rPr>
        <w:b/>
        <w:bCs/>
      </w:rPr>
      <w:tblPr/>
      <w:tcPr>
        <w:tcBorders>
          <w:top w:val="double" w:sz="4" w:space="0" w:color="ACADAF" w:themeColor="accent4" w:themeTint="99"/>
        </w:tcBorders>
      </w:tc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ListTable4-Accent5">
    <w:name w:val="List Table 4 Accent 5"/>
    <w:basedOn w:val="TableNormal"/>
    <w:uiPriority w:val="99"/>
    <w:rsid w:val="00911DE3"/>
    <w:pPr>
      <w:spacing w:line="240" w:lineRule="auto"/>
    </w:pPr>
    <w:tblPr>
      <w:tblStyleRowBandSize w:val="1"/>
      <w:tblStyleColBandSize w:val="1"/>
      <w:tblBorders>
        <w:top w:val="single" w:sz="4" w:space="0" w:color="4F709A" w:themeColor="accent5" w:themeTint="99"/>
        <w:left w:val="single" w:sz="4" w:space="0" w:color="4F709A" w:themeColor="accent5" w:themeTint="99"/>
        <w:bottom w:val="single" w:sz="4" w:space="0" w:color="4F709A" w:themeColor="accent5" w:themeTint="99"/>
        <w:right w:val="single" w:sz="4" w:space="0" w:color="4F709A" w:themeColor="accent5" w:themeTint="99"/>
        <w:insideH w:val="single" w:sz="4" w:space="0" w:color="4F709A" w:themeColor="accent5" w:themeTint="99"/>
      </w:tblBorders>
    </w:tblPr>
    <w:tblStylePr w:type="firstRow">
      <w:rPr>
        <w:b/>
        <w:bCs/>
        <w:color w:val="FFFFFF" w:themeColor="background1"/>
      </w:rPr>
      <w:tblPr/>
      <w:tcPr>
        <w:tcBorders>
          <w:top w:val="single" w:sz="4" w:space="0" w:color="111821" w:themeColor="accent5"/>
          <w:left w:val="single" w:sz="4" w:space="0" w:color="111821" w:themeColor="accent5"/>
          <w:bottom w:val="single" w:sz="4" w:space="0" w:color="111821" w:themeColor="accent5"/>
          <w:right w:val="single" w:sz="4" w:space="0" w:color="111821" w:themeColor="accent5"/>
          <w:insideH w:val="nil"/>
        </w:tcBorders>
        <w:shd w:val="clear" w:color="auto" w:fill="111821" w:themeFill="accent5"/>
      </w:tcPr>
    </w:tblStylePr>
    <w:tblStylePr w:type="lastRow">
      <w:rPr>
        <w:b/>
        <w:bCs/>
      </w:rPr>
      <w:tblPr/>
      <w:tcPr>
        <w:tcBorders>
          <w:top w:val="double" w:sz="4" w:space="0" w:color="4F709A" w:themeColor="accent5" w:themeTint="99"/>
        </w:tcBorders>
      </w:tc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ListTable4-Accent6">
    <w:name w:val="List Table 4 Accent 6"/>
    <w:basedOn w:val="TableNormal"/>
    <w:uiPriority w:val="99"/>
    <w:rsid w:val="00911DE3"/>
    <w:pPr>
      <w:spacing w:line="240" w:lineRule="auto"/>
    </w:pPr>
    <w:tblPr>
      <w:tblStyleRowBandSize w:val="1"/>
      <w:tblStyleColBandSize w:val="1"/>
      <w:tblBorders>
        <w:top w:val="single" w:sz="4" w:space="0" w:color="D8E6F4" w:themeColor="accent6" w:themeTint="99"/>
        <w:left w:val="single" w:sz="4" w:space="0" w:color="D8E6F4" w:themeColor="accent6" w:themeTint="99"/>
        <w:bottom w:val="single" w:sz="4" w:space="0" w:color="D8E6F4" w:themeColor="accent6" w:themeTint="99"/>
        <w:right w:val="single" w:sz="4" w:space="0" w:color="D8E6F4" w:themeColor="accent6" w:themeTint="99"/>
        <w:insideH w:val="single" w:sz="4" w:space="0" w:color="D8E6F4" w:themeColor="accent6" w:themeTint="99"/>
      </w:tblBorders>
    </w:tblPr>
    <w:tblStylePr w:type="firstRow">
      <w:rPr>
        <w:b/>
        <w:bCs/>
        <w:color w:val="FFFFFF" w:themeColor="background1"/>
      </w:rPr>
      <w:tblPr/>
      <w:tcPr>
        <w:tcBorders>
          <w:top w:val="single" w:sz="4" w:space="0" w:color="BFD6ED" w:themeColor="accent6"/>
          <w:left w:val="single" w:sz="4" w:space="0" w:color="BFD6ED" w:themeColor="accent6"/>
          <w:bottom w:val="single" w:sz="4" w:space="0" w:color="BFD6ED" w:themeColor="accent6"/>
          <w:right w:val="single" w:sz="4" w:space="0" w:color="BFD6ED" w:themeColor="accent6"/>
          <w:insideH w:val="nil"/>
        </w:tcBorders>
        <w:shd w:val="clear" w:color="auto" w:fill="BFD6ED" w:themeFill="accent6"/>
      </w:tcPr>
    </w:tblStylePr>
    <w:tblStylePr w:type="lastRow">
      <w:rPr>
        <w:b/>
        <w:bCs/>
      </w:rPr>
      <w:tblPr/>
      <w:tcPr>
        <w:tcBorders>
          <w:top w:val="double" w:sz="4" w:space="0" w:color="D8E6F4" w:themeColor="accent6" w:themeTint="99"/>
        </w:tcBorders>
      </w:tc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ListTable5Dark">
    <w:name w:val="List Table 5 Dark"/>
    <w:basedOn w:val="TableNormal"/>
    <w:uiPriority w:val="99"/>
    <w:rsid w:val="00911DE3"/>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911DE3"/>
    <w:pPr>
      <w:spacing w:line="240" w:lineRule="auto"/>
    </w:pPr>
    <w:rPr>
      <w:color w:val="FFFFFF" w:themeColor="background1"/>
    </w:rPr>
    <w:tblPr>
      <w:tblStyleRowBandSize w:val="1"/>
      <w:tblStyleColBandSize w:val="1"/>
      <w:tblBorders>
        <w:top w:val="single" w:sz="24" w:space="0" w:color="005CB9" w:themeColor="accent1"/>
        <w:left w:val="single" w:sz="24" w:space="0" w:color="005CB9" w:themeColor="accent1"/>
        <w:bottom w:val="single" w:sz="24" w:space="0" w:color="005CB9" w:themeColor="accent1"/>
        <w:right w:val="single" w:sz="24" w:space="0" w:color="005CB9" w:themeColor="accent1"/>
      </w:tblBorders>
    </w:tblPr>
    <w:tcPr>
      <w:shd w:val="clear" w:color="auto" w:fill="005CB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911DE3"/>
    <w:pPr>
      <w:spacing w:line="240" w:lineRule="auto"/>
    </w:pPr>
    <w:rPr>
      <w:color w:val="FFFFFF" w:themeColor="background1"/>
    </w:rPr>
    <w:tblPr>
      <w:tblStyleRowBandSize w:val="1"/>
      <w:tblStyleColBandSize w:val="1"/>
      <w:tblBorders>
        <w:top w:val="single" w:sz="24" w:space="0" w:color="BBBBBB" w:themeColor="accent2"/>
        <w:left w:val="single" w:sz="24" w:space="0" w:color="BBBBBB" w:themeColor="accent2"/>
        <w:bottom w:val="single" w:sz="24" w:space="0" w:color="BBBBBB" w:themeColor="accent2"/>
        <w:right w:val="single" w:sz="24" w:space="0" w:color="BBBBBB" w:themeColor="accent2"/>
      </w:tblBorders>
    </w:tblPr>
    <w:tcPr>
      <w:shd w:val="clear" w:color="auto" w:fill="BBBBB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911DE3"/>
    <w:pPr>
      <w:spacing w:line="240" w:lineRule="auto"/>
    </w:pPr>
    <w:rPr>
      <w:color w:val="FFFFFF" w:themeColor="background1"/>
    </w:rPr>
    <w:tblPr>
      <w:tblStyleRowBandSize w:val="1"/>
      <w:tblStyleColBandSize w:val="1"/>
      <w:tblBorders>
        <w:top w:val="single" w:sz="24" w:space="0" w:color="7FADDC" w:themeColor="accent3"/>
        <w:left w:val="single" w:sz="24" w:space="0" w:color="7FADDC" w:themeColor="accent3"/>
        <w:bottom w:val="single" w:sz="24" w:space="0" w:color="7FADDC" w:themeColor="accent3"/>
        <w:right w:val="single" w:sz="24" w:space="0" w:color="7FADDC" w:themeColor="accent3"/>
      </w:tblBorders>
    </w:tblPr>
    <w:tcPr>
      <w:shd w:val="clear" w:color="auto" w:fill="7FADD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911DE3"/>
    <w:pPr>
      <w:spacing w:line="240" w:lineRule="auto"/>
    </w:pPr>
    <w:rPr>
      <w:color w:val="FFFFFF" w:themeColor="background1"/>
    </w:rPr>
    <w:tblPr>
      <w:tblStyleRowBandSize w:val="1"/>
      <w:tblStyleColBandSize w:val="1"/>
      <w:tblBorders>
        <w:top w:val="single" w:sz="24" w:space="0" w:color="76777B" w:themeColor="accent4"/>
        <w:left w:val="single" w:sz="24" w:space="0" w:color="76777B" w:themeColor="accent4"/>
        <w:bottom w:val="single" w:sz="24" w:space="0" w:color="76777B" w:themeColor="accent4"/>
        <w:right w:val="single" w:sz="24" w:space="0" w:color="76777B" w:themeColor="accent4"/>
      </w:tblBorders>
    </w:tblPr>
    <w:tcPr>
      <w:shd w:val="clear" w:color="auto" w:fill="76777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911DE3"/>
    <w:pPr>
      <w:spacing w:line="240" w:lineRule="auto"/>
    </w:pPr>
    <w:rPr>
      <w:color w:val="FFFFFF" w:themeColor="background1"/>
    </w:rPr>
    <w:tblPr>
      <w:tblStyleRowBandSize w:val="1"/>
      <w:tblStyleColBandSize w:val="1"/>
      <w:tblBorders>
        <w:top w:val="single" w:sz="24" w:space="0" w:color="111821" w:themeColor="accent5"/>
        <w:left w:val="single" w:sz="24" w:space="0" w:color="111821" w:themeColor="accent5"/>
        <w:bottom w:val="single" w:sz="24" w:space="0" w:color="111821" w:themeColor="accent5"/>
        <w:right w:val="single" w:sz="24" w:space="0" w:color="111821" w:themeColor="accent5"/>
      </w:tblBorders>
    </w:tblPr>
    <w:tcPr>
      <w:shd w:val="clear" w:color="auto" w:fill="11182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911DE3"/>
    <w:pPr>
      <w:spacing w:line="240" w:lineRule="auto"/>
    </w:pPr>
    <w:rPr>
      <w:color w:val="FFFFFF" w:themeColor="background1"/>
    </w:rPr>
    <w:tblPr>
      <w:tblStyleRowBandSize w:val="1"/>
      <w:tblStyleColBandSize w:val="1"/>
      <w:tblBorders>
        <w:top w:val="single" w:sz="24" w:space="0" w:color="BFD6ED" w:themeColor="accent6"/>
        <w:left w:val="single" w:sz="24" w:space="0" w:color="BFD6ED" w:themeColor="accent6"/>
        <w:bottom w:val="single" w:sz="24" w:space="0" w:color="BFD6ED" w:themeColor="accent6"/>
        <w:right w:val="single" w:sz="24" w:space="0" w:color="BFD6ED" w:themeColor="accent6"/>
      </w:tblBorders>
    </w:tblPr>
    <w:tcPr>
      <w:shd w:val="clear" w:color="auto" w:fill="BFD6E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911DE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9"/>
    <w:rsid w:val="00911DE3"/>
    <w:pPr>
      <w:spacing w:line="240" w:lineRule="auto"/>
    </w:pPr>
    <w:rPr>
      <w:color w:val="00448A" w:themeColor="accent1" w:themeShade="BF"/>
    </w:rPr>
    <w:tblPr>
      <w:tblStyleRowBandSize w:val="1"/>
      <w:tblStyleColBandSize w:val="1"/>
      <w:tblBorders>
        <w:top w:val="single" w:sz="4" w:space="0" w:color="005CB9" w:themeColor="accent1"/>
        <w:bottom w:val="single" w:sz="4" w:space="0" w:color="005CB9" w:themeColor="accent1"/>
      </w:tblBorders>
    </w:tblPr>
    <w:tblStylePr w:type="firstRow">
      <w:rPr>
        <w:b/>
        <w:bCs/>
      </w:rPr>
      <w:tblPr/>
      <w:tcPr>
        <w:tcBorders>
          <w:bottom w:val="single" w:sz="4" w:space="0" w:color="005CB9" w:themeColor="accent1"/>
        </w:tcBorders>
      </w:tcPr>
    </w:tblStylePr>
    <w:tblStylePr w:type="lastRow">
      <w:rPr>
        <w:b/>
        <w:bCs/>
      </w:rPr>
      <w:tblPr/>
      <w:tcPr>
        <w:tcBorders>
          <w:top w:val="double" w:sz="4" w:space="0" w:color="005CB9" w:themeColor="accent1"/>
        </w:tcBorders>
      </w:tcPr>
    </w:tblStylePr>
    <w:tblStylePr w:type="firstCol">
      <w:rPr>
        <w:b/>
        <w:bCs/>
      </w:rPr>
    </w:tblStylePr>
    <w:tblStylePr w:type="lastCol">
      <w:rPr>
        <w:b/>
        <w:bCs/>
      </w:rPr>
    </w:tblStylePr>
    <w:tblStylePr w:type="band1Vert">
      <w:tblPr/>
      <w:tcPr>
        <w:shd w:val="clear" w:color="auto" w:fill="BEDEFF" w:themeFill="accent1" w:themeFillTint="33"/>
      </w:tcPr>
    </w:tblStylePr>
    <w:tblStylePr w:type="band1Horz">
      <w:tblPr/>
      <w:tcPr>
        <w:shd w:val="clear" w:color="auto" w:fill="BEDEFF" w:themeFill="accent1" w:themeFillTint="33"/>
      </w:tcPr>
    </w:tblStylePr>
  </w:style>
  <w:style w:type="table" w:styleId="ListTable6Colorful-Accent2">
    <w:name w:val="List Table 6 Colorful Accent 2"/>
    <w:basedOn w:val="TableNormal"/>
    <w:uiPriority w:val="99"/>
    <w:rsid w:val="00911DE3"/>
    <w:pPr>
      <w:spacing w:line="240" w:lineRule="auto"/>
    </w:pPr>
    <w:rPr>
      <w:color w:val="8C8C8C" w:themeColor="accent2" w:themeShade="BF"/>
    </w:rPr>
    <w:tblPr>
      <w:tblStyleRowBandSize w:val="1"/>
      <w:tblStyleColBandSize w:val="1"/>
      <w:tblBorders>
        <w:top w:val="single" w:sz="4" w:space="0" w:color="BBBBBB" w:themeColor="accent2"/>
        <w:bottom w:val="single" w:sz="4" w:space="0" w:color="BBBBBB" w:themeColor="accent2"/>
      </w:tblBorders>
    </w:tblPr>
    <w:tblStylePr w:type="firstRow">
      <w:rPr>
        <w:b/>
        <w:bCs/>
      </w:rPr>
      <w:tblPr/>
      <w:tcPr>
        <w:tcBorders>
          <w:bottom w:val="single" w:sz="4" w:space="0" w:color="BBBBBB" w:themeColor="accent2"/>
        </w:tcBorders>
      </w:tcPr>
    </w:tblStylePr>
    <w:tblStylePr w:type="lastRow">
      <w:rPr>
        <w:b/>
        <w:bCs/>
      </w:rPr>
      <w:tblPr/>
      <w:tcPr>
        <w:tcBorders>
          <w:top w:val="double" w:sz="4" w:space="0" w:color="BBBBBB" w:themeColor="accent2"/>
        </w:tcBorders>
      </w:tcPr>
    </w:tblStylePr>
    <w:tblStylePr w:type="firstCol">
      <w:rPr>
        <w:b/>
        <w:bCs/>
      </w:rPr>
    </w:tblStylePr>
    <w:tblStylePr w:type="lastCol">
      <w:rPr>
        <w:b/>
        <w:bCs/>
      </w:rPr>
    </w:tblStylePr>
    <w:tblStylePr w:type="band1Vert">
      <w:tblPr/>
      <w:tcPr>
        <w:shd w:val="clear" w:color="auto" w:fill="F1F1F1" w:themeFill="accent2" w:themeFillTint="33"/>
      </w:tcPr>
    </w:tblStylePr>
    <w:tblStylePr w:type="band1Horz">
      <w:tblPr/>
      <w:tcPr>
        <w:shd w:val="clear" w:color="auto" w:fill="F1F1F1" w:themeFill="accent2" w:themeFillTint="33"/>
      </w:tcPr>
    </w:tblStylePr>
  </w:style>
  <w:style w:type="table" w:styleId="ListTable6Colorful-Accent3">
    <w:name w:val="List Table 6 Colorful Accent 3"/>
    <w:basedOn w:val="TableNormal"/>
    <w:uiPriority w:val="99"/>
    <w:rsid w:val="00911DE3"/>
    <w:pPr>
      <w:spacing w:line="240" w:lineRule="auto"/>
    </w:pPr>
    <w:rPr>
      <w:color w:val="3A80C9" w:themeColor="accent3" w:themeShade="BF"/>
    </w:rPr>
    <w:tblPr>
      <w:tblStyleRowBandSize w:val="1"/>
      <w:tblStyleColBandSize w:val="1"/>
      <w:tblBorders>
        <w:top w:val="single" w:sz="4" w:space="0" w:color="7FADDC" w:themeColor="accent3"/>
        <w:bottom w:val="single" w:sz="4" w:space="0" w:color="7FADDC" w:themeColor="accent3"/>
      </w:tblBorders>
    </w:tblPr>
    <w:tblStylePr w:type="firstRow">
      <w:rPr>
        <w:b/>
        <w:bCs/>
      </w:rPr>
      <w:tblPr/>
      <w:tcPr>
        <w:tcBorders>
          <w:bottom w:val="single" w:sz="4" w:space="0" w:color="7FADDC" w:themeColor="accent3"/>
        </w:tcBorders>
      </w:tcPr>
    </w:tblStylePr>
    <w:tblStylePr w:type="lastRow">
      <w:rPr>
        <w:b/>
        <w:bCs/>
      </w:rPr>
      <w:tblPr/>
      <w:tcPr>
        <w:tcBorders>
          <w:top w:val="double" w:sz="4" w:space="0" w:color="7FADDC" w:themeColor="accent3"/>
        </w:tcBorders>
      </w:tcPr>
    </w:tblStylePr>
    <w:tblStylePr w:type="firstCol">
      <w:rPr>
        <w:b/>
        <w:bCs/>
      </w:rPr>
    </w:tblStylePr>
    <w:tblStylePr w:type="lastCol">
      <w:rPr>
        <w:b/>
        <w:bCs/>
      </w:rPr>
    </w:tblStylePr>
    <w:tblStylePr w:type="band1Vert">
      <w:tblPr/>
      <w:tcPr>
        <w:shd w:val="clear" w:color="auto" w:fill="E5EEF8" w:themeFill="accent3" w:themeFillTint="33"/>
      </w:tcPr>
    </w:tblStylePr>
    <w:tblStylePr w:type="band1Horz">
      <w:tblPr/>
      <w:tcPr>
        <w:shd w:val="clear" w:color="auto" w:fill="E5EEF8" w:themeFill="accent3" w:themeFillTint="33"/>
      </w:tcPr>
    </w:tblStylePr>
  </w:style>
  <w:style w:type="table" w:styleId="ListTable6Colorful-Accent4">
    <w:name w:val="List Table 6 Colorful Accent 4"/>
    <w:basedOn w:val="TableNormal"/>
    <w:uiPriority w:val="99"/>
    <w:rsid w:val="00911DE3"/>
    <w:pPr>
      <w:spacing w:line="240" w:lineRule="auto"/>
    </w:pPr>
    <w:rPr>
      <w:color w:val="58595B" w:themeColor="accent4" w:themeShade="BF"/>
    </w:rPr>
    <w:tblPr>
      <w:tblStyleRowBandSize w:val="1"/>
      <w:tblStyleColBandSize w:val="1"/>
      <w:tblBorders>
        <w:top w:val="single" w:sz="4" w:space="0" w:color="76777B" w:themeColor="accent4"/>
        <w:bottom w:val="single" w:sz="4" w:space="0" w:color="76777B" w:themeColor="accent4"/>
      </w:tblBorders>
    </w:tblPr>
    <w:tblStylePr w:type="firstRow">
      <w:rPr>
        <w:b/>
        <w:bCs/>
      </w:rPr>
      <w:tblPr/>
      <w:tcPr>
        <w:tcBorders>
          <w:bottom w:val="single" w:sz="4" w:space="0" w:color="76777B" w:themeColor="accent4"/>
        </w:tcBorders>
      </w:tcPr>
    </w:tblStylePr>
    <w:tblStylePr w:type="lastRow">
      <w:rPr>
        <w:b/>
        <w:bCs/>
      </w:rPr>
      <w:tblPr/>
      <w:tcPr>
        <w:tcBorders>
          <w:top w:val="double" w:sz="4" w:space="0" w:color="76777B" w:themeColor="accent4"/>
        </w:tcBorders>
      </w:tcPr>
    </w:tblStylePr>
    <w:tblStylePr w:type="firstCol">
      <w:rPr>
        <w:b/>
        <w:bCs/>
      </w:rPr>
    </w:tblStylePr>
    <w:tblStylePr w:type="lastCol">
      <w:rPr>
        <w:b/>
        <w:bCs/>
      </w:rPr>
    </w:tblStylePr>
    <w:tblStylePr w:type="band1Vert">
      <w:tblPr/>
      <w:tcPr>
        <w:shd w:val="clear" w:color="auto" w:fill="E3E3E4" w:themeFill="accent4" w:themeFillTint="33"/>
      </w:tcPr>
    </w:tblStylePr>
    <w:tblStylePr w:type="band1Horz">
      <w:tblPr/>
      <w:tcPr>
        <w:shd w:val="clear" w:color="auto" w:fill="E3E3E4" w:themeFill="accent4" w:themeFillTint="33"/>
      </w:tcPr>
    </w:tblStylePr>
  </w:style>
  <w:style w:type="table" w:styleId="ListTable6Colorful-Accent5">
    <w:name w:val="List Table 6 Colorful Accent 5"/>
    <w:basedOn w:val="TableNormal"/>
    <w:uiPriority w:val="99"/>
    <w:rsid w:val="00911DE3"/>
    <w:pPr>
      <w:spacing w:line="240" w:lineRule="auto"/>
    </w:pPr>
    <w:rPr>
      <w:color w:val="0C1118" w:themeColor="accent5" w:themeShade="BF"/>
    </w:rPr>
    <w:tblPr>
      <w:tblStyleRowBandSize w:val="1"/>
      <w:tblStyleColBandSize w:val="1"/>
      <w:tblBorders>
        <w:top w:val="single" w:sz="4" w:space="0" w:color="111821" w:themeColor="accent5"/>
        <w:bottom w:val="single" w:sz="4" w:space="0" w:color="111821" w:themeColor="accent5"/>
      </w:tblBorders>
    </w:tblPr>
    <w:tblStylePr w:type="firstRow">
      <w:rPr>
        <w:b/>
        <w:bCs/>
      </w:rPr>
      <w:tblPr/>
      <w:tcPr>
        <w:tcBorders>
          <w:bottom w:val="single" w:sz="4" w:space="0" w:color="111821" w:themeColor="accent5"/>
        </w:tcBorders>
      </w:tcPr>
    </w:tblStylePr>
    <w:tblStylePr w:type="lastRow">
      <w:rPr>
        <w:b/>
        <w:bCs/>
      </w:rPr>
      <w:tblPr/>
      <w:tcPr>
        <w:tcBorders>
          <w:top w:val="double" w:sz="4" w:space="0" w:color="111821" w:themeColor="accent5"/>
        </w:tcBorders>
      </w:tcPr>
    </w:tblStylePr>
    <w:tblStylePr w:type="firstCol">
      <w:rPr>
        <w:b/>
        <w:bCs/>
      </w:rPr>
    </w:tblStylePr>
    <w:tblStylePr w:type="lastCol">
      <w:rPr>
        <w:b/>
        <w:bCs/>
      </w:rPr>
    </w:tblStylePr>
    <w:tblStylePr w:type="band1Vert">
      <w:tblPr/>
      <w:tcPr>
        <w:shd w:val="clear" w:color="auto" w:fill="C2CFDF" w:themeFill="accent5" w:themeFillTint="33"/>
      </w:tcPr>
    </w:tblStylePr>
    <w:tblStylePr w:type="band1Horz">
      <w:tblPr/>
      <w:tcPr>
        <w:shd w:val="clear" w:color="auto" w:fill="C2CFDF" w:themeFill="accent5" w:themeFillTint="33"/>
      </w:tcPr>
    </w:tblStylePr>
  </w:style>
  <w:style w:type="table" w:styleId="ListTable6Colorful-Accent6">
    <w:name w:val="List Table 6 Colorful Accent 6"/>
    <w:basedOn w:val="TableNormal"/>
    <w:uiPriority w:val="99"/>
    <w:rsid w:val="00911DE3"/>
    <w:pPr>
      <w:spacing w:line="240" w:lineRule="auto"/>
    </w:pPr>
    <w:rPr>
      <w:color w:val="6A9FD5" w:themeColor="accent6" w:themeShade="BF"/>
    </w:rPr>
    <w:tblPr>
      <w:tblStyleRowBandSize w:val="1"/>
      <w:tblStyleColBandSize w:val="1"/>
      <w:tblBorders>
        <w:top w:val="single" w:sz="4" w:space="0" w:color="BFD6ED" w:themeColor="accent6"/>
        <w:bottom w:val="single" w:sz="4" w:space="0" w:color="BFD6ED" w:themeColor="accent6"/>
      </w:tblBorders>
    </w:tblPr>
    <w:tblStylePr w:type="firstRow">
      <w:rPr>
        <w:b/>
        <w:bCs/>
      </w:rPr>
      <w:tblPr/>
      <w:tcPr>
        <w:tcBorders>
          <w:bottom w:val="single" w:sz="4" w:space="0" w:color="BFD6ED" w:themeColor="accent6"/>
        </w:tcBorders>
      </w:tcPr>
    </w:tblStylePr>
    <w:tblStylePr w:type="lastRow">
      <w:rPr>
        <w:b/>
        <w:bCs/>
      </w:rPr>
      <w:tblPr/>
      <w:tcPr>
        <w:tcBorders>
          <w:top w:val="double" w:sz="4" w:space="0" w:color="BFD6ED" w:themeColor="accent6"/>
        </w:tcBorders>
      </w:tcPr>
    </w:tblStylePr>
    <w:tblStylePr w:type="firstCol">
      <w:rPr>
        <w:b/>
        <w:bCs/>
      </w:rPr>
    </w:tblStylePr>
    <w:tblStylePr w:type="lastCol">
      <w:rPr>
        <w:b/>
        <w:bCs/>
      </w:rPr>
    </w:tblStylePr>
    <w:tblStylePr w:type="band1Vert">
      <w:tblPr/>
      <w:tcPr>
        <w:shd w:val="clear" w:color="auto" w:fill="F1F6FB" w:themeFill="accent6" w:themeFillTint="33"/>
      </w:tcPr>
    </w:tblStylePr>
    <w:tblStylePr w:type="band1Horz">
      <w:tblPr/>
      <w:tcPr>
        <w:shd w:val="clear" w:color="auto" w:fill="F1F6FB" w:themeFill="accent6" w:themeFillTint="33"/>
      </w:tcPr>
    </w:tblStylePr>
  </w:style>
  <w:style w:type="table" w:styleId="ListTable7Colorful">
    <w:name w:val="List Table 7 Colorful"/>
    <w:basedOn w:val="TableNormal"/>
    <w:uiPriority w:val="99"/>
    <w:rsid w:val="00911DE3"/>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911DE3"/>
    <w:pPr>
      <w:spacing w:line="240" w:lineRule="auto"/>
    </w:pPr>
    <w:rPr>
      <w:color w:val="00448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CB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CB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CB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CB9" w:themeColor="accent1"/>
        </w:tcBorders>
        <w:shd w:val="clear" w:color="auto" w:fill="FFFFFF" w:themeFill="background1"/>
      </w:tcPr>
    </w:tblStylePr>
    <w:tblStylePr w:type="band1Vert">
      <w:tblPr/>
      <w:tcPr>
        <w:shd w:val="clear" w:color="auto" w:fill="BEDEFF" w:themeFill="accent1" w:themeFillTint="33"/>
      </w:tcPr>
    </w:tblStylePr>
    <w:tblStylePr w:type="band1Horz">
      <w:tblPr/>
      <w:tcPr>
        <w:shd w:val="clear" w:color="auto" w:fill="BEDE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911DE3"/>
    <w:pPr>
      <w:spacing w:line="240" w:lineRule="auto"/>
    </w:pPr>
    <w:rPr>
      <w:color w:val="8C8C8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BBBB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BBBB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BBBB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BBBBB" w:themeColor="accent2"/>
        </w:tcBorders>
        <w:shd w:val="clear" w:color="auto" w:fill="FFFFFF" w:themeFill="background1"/>
      </w:tcPr>
    </w:tblStylePr>
    <w:tblStylePr w:type="band1Vert">
      <w:tblPr/>
      <w:tcPr>
        <w:shd w:val="clear" w:color="auto" w:fill="F1F1F1" w:themeFill="accent2" w:themeFillTint="33"/>
      </w:tcPr>
    </w:tblStylePr>
    <w:tblStylePr w:type="band1Horz">
      <w:tblPr/>
      <w:tcPr>
        <w:shd w:val="clear" w:color="auto" w:fill="F1F1F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911DE3"/>
    <w:pPr>
      <w:spacing w:line="240" w:lineRule="auto"/>
    </w:pPr>
    <w:rPr>
      <w:color w:val="3A80C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ADD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ADD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ADD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ADDC" w:themeColor="accent3"/>
        </w:tcBorders>
        <w:shd w:val="clear" w:color="auto" w:fill="FFFFFF" w:themeFill="background1"/>
      </w:tcPr>
    </w:tblStylePr>
    <w:tblStylePr w:type="band1Vert">
      <w:tblPr/>
      <w:tcPr>
        <w:shd w:val="clear" w:color="auto" w:fill="E5EEF8" w:themeFill="accent3" w:themeFillTint="33"/>
      </w:tcPr>
    </w:tblStylePr>
    <w:tblStylePr w:type="band1Horz">
      <w:tblPr/>
      <w:tcPr>
        <w:shd w:val="clear" w:color="auto" w:fill="E5EE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911DE3"/>
    <w:pPr>
      <w:spacing w:line="240" w:lineRule="auto"/>
    </w:pPr>
    <w:rPr>
      <w:color w:val="58595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777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777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777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777B" w:themeColor="accent4"/>
        </w:tcBorders>
        <w:shd w:val="clear" w:color="auto" w:fill="FFFFFF" w:themeFill="background1"/>
      </w:tcPr>
    </w:tblStylePr>
    <w:tblStylePr w:type="band1Vert">
      <w:tblPr/>
      <w:tcPr>
        <w:shd w:val="clear" w:color="auto" w:fill="E3E3E4" w:themeFill="accent4" w:themeFillTint="33"/>
      </w:tcPr>
    </w:tblStylePr>
    <w:tblStylePr w:type="band1Horz">
      <w:tblPr/>
      <w:tcPr>
        <w:shd w:val="clear" w:color="auto" w:fill="E3E3E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911DE3"/>
    <w:pPr>
      <w:spacing w:line="240" w:lineRule="auto"/>
    </w:pPr>
    <w:rPr>
      <w:color w:val="0C111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182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182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182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1821" w:themeColor="accent5"/>
        </w:tcBorders>
        <w:shd w:val="clear" w:color="auto" w:fill="FFFFFF" w:themeFill="background1"/>
      </w:tcPr>
    </w:tblStylePr>
    <w:tblStylePr w:type="band1Vert">
      <w:tblPr/>
      <w:tcPr>
        <w:shd w:val="clear" w:color="auto" w:fill="C2CFDF" w:themeFill="accent5" w:themeFillTint="33"/>
      </w:tcPr>
    </w:tblStylePr>
    <w:tblStylePr w:type="band1Horz">
      <w:tblPr/>
      <w:tcPr>
        <w:shd w:val="clear" w:color="auto" w:fill="C2C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911DE3"/>
    <w:pPr>
      <w:spacing w:line="240" w:lineRule="auto"/>
    </w:pPr>
    <w:rPr>
      <w:color w:val="6A9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D6E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D6E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D6E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D6ED" w:themeColor="accent6"/>
        </w:tcBorders>
        <w:shd w:val="clear" w:color="auto" w:fill="FFFFFF" w:themeFill="background1"/>
      </w:tcPr>
    </w:tblStylePr>
    <w:tblStylePr w:type="band1Vert">
      <w:tblPr/>
      <w:tcPr>
        <w:shd w:val="clear" w:color="auto" w:fill="F1F6FB" w:themeFill="accent6" w:themeFillTint="33"/>
      </w:tcPr>
    </w:tblStylePr>
    <w:tblStylePr w:type="band1Horz">
      <w:tblPr/>
      <w:tcPr>
        <w:shd w:val="clear" w:color="auto" w:fill="F1F6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11DE3"/>
    <w:pPr>
      <w:tabs>
        <w:tab w:val="left" w:pos="480"/>
        <w:tab w:val="left" w:pos="960"/>
        <w:tab w:val="left" w:pos="1440"/>
        <w:tab w:val="left" w:pos="1920"/>
        <w:tab w:val="left" w:pos="2400"/>
        <w:tab w:val="left" w:pos="2880"/>
        <w:tab w:val="left" w:pos="3360"/>
        <w:tab w:val="left" w:pos="3840"/>
        <w:tab w:val="left" w:pos="4320"/>
      </w:tabs>
    </w:pPr>
    <w:rPr>
      <w:rFonts w:cs="Arial"/>
      <w:lang w:val="en-US"/>
    </w:rPr>
  </w:style>
  <w:style w:type="character" w:customStyle="1" w:styleId="MacroTextChar">
    <w:name w:val="Macro Text Char"/>
    <w:basedOn w:val="DefaultParagraphFont"/>
    <w:link w:val="MacroText"/>
    <w:uiPriority w:val="99"/>
    <w:semiHidden/>
    <w:rsid w:val="00A44986"/>
    <w:rPr>
      <w:rFonts w:cs="Arial"/>
      <w:lang w:val="en-US"/>
    </w:rPr>
  </w:style>
  <w:style w:type="table" w:styleId="MediumGrid1">
    <w:name w:val="Medium Grid 1"/>
    <w:basedOn w:val="TableNormal"/>
    <w:uiPriority w:val="99"/>
    <w:semiHidden/>
    <w:unhideWhenUsed/>
    <w:rsid w:val="00911DE3"/>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911DE3"/>
    <w:pPr>
      <w:spacing w:line="240" w:lineRule="auto"/>
    </w:pPr>
    <w:tblPr>
      <w:tblStyleRowBandSize w:val="1"/>
      <w:tblStyleColBandSize w:val="1"/>
      <w:tblBorders>
        <w:top w:val="single" w:sz="8" w:space="0" w:color="0B83FF" w:themeColor="accent1" w:themeTint="BF"/>
        <w:left w:val="single" w:sz="8" w:space="0" w:color="0B83FF" w:themeColor="accent1" w:themeTint="BF"/>
        <w:bottom w:val="single" w:sz="8" w:space="0" w:color="0B83FF" w:themeColor="accent1" w:themeTint="BF"/>
        <w:right w:val="single" w:sz="8" w:space="0" w:color="0B83FF" w:themeColor="accent1" w:themeTint="BF"/>
        <w:insideH w:val="single" w:sz="8" w:space="0" w:color="0B83FF" w:themeColor="accent1" w:themeTint="BF"/>
        <w:insideV w:val="single" w:sz="8" w:space="0" w:color="0B83FF" w:themeColor="accent1" w:themeTint="BF"/>
      </w:tblBorders>
    </w:tblPr>
    <w:tcPr>
      <w:shd w:val="clear" w:color="auto" w:fill="AED6FF" w:themeFill="accent1" w:themeFillTint="3F"/>
    </w:tcPr>
    <w:tblStylePr w:type="firstRow">
      <w:rPr>
        <w:b/>
        <w:bCs/>
      </w:rPr>
    </w:tblStylePr>
    <w:tblStylePr w:type="lastRow">
      <w:rPr>
        <w:b/>
        <w:bCs/>
      </w:rPr>
      <w:tblPr/>
      <w:tcPr>
        <w:tcBorders>
          <w:top w:val="single" w:sz="18" w:space="0" w:color="0B83FF" w:themeColor="accent1" w:themeTint="BF"/>
        </w:tcBorders>
      </w:tcPr>
    </w:tblStylePr>
    <w:tblStylePr w:type="firstCol">
      <w:rPr>
        <w:b/>
        <w:bCs/>
      </w:rPr>
    </w:tblStylePr>
    <w:tblStylePr w:type="lastCol">
      <w:rPr>
        <w:b/>
        <w:bCs/>
      </w:rPr>
    </w:tblStylePr>
    <w:tblStylePr w:type="band1Vert">
      <w:tblPr/>
      <w:tcPr>
        <w:shd w:val="clear" w:color="auto" w:fill="5DADFF" w:themeFill="accent1" w:themeFillTint="7F"/>
      </w:tcPr>
    </w:tblStylePr>
    <w:tblStylePr w:type="band1Horz">
      <w:tblPr/>
      <w:tcPr>
        <w:shd w:val="clear" w:color="auto" w:fill="5DADFF" w:themeFill="accent1" w:themeFillTint="7F"/>
      </w:tcPr>
    </w:tblStylePr>
  </w:style>
  <w:style w:type="table" w:styleId="MediumGrid1-Accent2">
    <w:name w:val="Medium Grid 1 Accent 2"/>
    <w:basedOn w:val="TableNormal"/>
    <w:uiPriority w:val="99"/>
    <w:semiHidden/>
    <w:unhideWhenUsed/>
    <w:rsid w:val="00911DE3"/>
    <w:pPr>
      <w:spacing w:line="240" w:lineRule="auto"/>
    </w:pPr>
    <w:tblPr>
      <w:tblStyleRowBandSize w:val="1"/>
      <w:tblStyleColBandSize w:val="1"/>
      <w:tblBorders>
        <w:top w:val="single" w:sz="8" w:space="0" w:color="CCCCCC" w:themeColor="accent2" w:themeTint="BF"/>
        <w:left w:val="single" w:sz="8" w:space="0" w:color="CCCCCC" w:themeColor="accent2" w:themeTint="BF"/>
        <w:bottom w:val="single" w:sz="8" w:space="0" w:color="CCCCCC" w:themeColor="accent2" w:themeTint="BF"/>
        <w:right w:val="single" w:sz="8" w:space="0" w:color="CCCCCC" w:themeColor="accent2" w:themeTint="BF"/>
        <w:insideH w:val="single" w:sz="8" w:space="0" w:color="CCCCCC" w:themeColor="accent2" w:themeTint="BF"/>
        <w:insideV w:val="single" w:sz="8" w:space="0" w:color="CCCCCC" w:themeColor="accent2" w:themeTint="BF"/>
      </w:tblBorders>
    </w:tblPr>
    <w:tcPr>
      <w:shd w:val="clear" w:color="auto" w:fill="EEEEEE" w:themeFill="accent2" w:themeFillTint="3F"/>
    </w:tcPr>
    <w:tblStylePr w:type="firstRow">
      <w:rPr>
        <w:b/>
        <w:bCs/>
      </w:rPr>
    </w:tblStylePr>
    <w:tblStylePr w:type="lastRow">
      <w:rPr>
        <w:b/>
        <w:bCs/>
      </w:rPr>
      <w:tblPr/>
      <w:tcPr>
        <w:tcBorders>
          <w:top w:val="single" w:sz="18" w:space="0" w:color="CCCCCC" w:themeColor="accent2" w:themeTint="BF"/>
        </w:tcBorders>
      </w:tcPr>
    </w:tblStylePr>
    <w:tblStylePr w:type="firstCol">
      <w:rPr>
        <w:b/>
        <w:bCs/>
      </w:rPr>
    </w:tblStylePr>
    <w:tblStylePr w:type="lastCol">
      <w:rPr>
        <w:b/>
        <w:bCs/>
      </w:rPr>
    </w:tblStylePr>
    <w:tblStylePr w:type="band1Vert">
      <w:tblPr/>
      <w:tcPr>
        <w:shd w:val="clear" w:color="auto" w:fill="DDDDDD" w:themeFill="accent2" w:themeFillTint="7F"/>
      </w:tcPr>
    </w:tblStylePr>
    <w:tblStylePr w:type="band1Horz">
      <w:tblPr/>
      <w:tcPr>
        <w:shd w:val="clear" w:color="auto" w:fill="DDDDDD" w:themeFill="accent2" w:themeFillTint="7F"/>
      </w:tcPr>
    </w:tblStylePr>
  </w:style>
  <w:style w:type="table" w:styleId="MediumGrid1-Accent3">
    <w:name w:val="Medium Grid 1 Accent 3"/>
    <w:basedOn w:val="TableNormal"/>
    <w:uiPriority w:val="99"/>
    <w:semiHidden/>
    <w:unhideWhenUsed/>
    <w:rsid w:val="00911DE3"/>
    <w:pPr>
      <w:spacing w:line="240" w:lineRule="auto"/>
    </w:pPr>
    <w:tblPr>
      <w:tblStyleRowBandSize w:val="1"/>
      <w:tblStyleColBandSize w:val="1"/>
      <w:tblBorders>
        <w:top w:val="single" w:sz="8" w:space="0" w:color="9EC1E4" w:themeColor="accent3" w:themeTint="BF"/>
        <w:left w:val="single" w:sz="8" w:space="0" w:color="9EC1E4" w:themeColor="accent3" w:themeTint="BF"/>
        <w:bottom w:val="single" w:sz="8" w:space="0" w:color="9EC1E4" w:themeColor="accent3" w:themeTint="BF"/>
        <w:right w:val="single" w:sz="8" w:space="0" w:color="9EC1E4" w:themeColor="accent3" w:themeTint="BF"/>
        <w:insideH w:val="single" w:sz="8" w:space="0" w:color="9EC1E4" w:themeColor="accent3" w:themeTint="BF"/>
        <w:insideV w:val="single" w:sz="8" w:space="0" w:color="9EC1E4" w:themeColor="accent3" w:themeTint="BF"/>
      </w:tblBorders>
    </w:tblPr>
    <w:tcPr>
      <w:shd w:val="clear" w:color="auto" w:fill="DFEAF6" w:themeFill="accent3" w:themeFillTint="3F"/>
    </w:tcPr>
    <w:tblStylePr w:type="firstRow">
      <w:rPr>
        <w:b/>
        <w:bCs/>
      </w:rPr>
    </w:tblStylePr>
    <w:tblStylePr w:type="lastRow">
      <w:rPr>
        <w:b/>
        <w:bCs/>
      </w:rPr>
      <w:tblPr/>
      <w:tcPr>
        <w:tcBorders>
          <w:top w:val="single" w:sz="18" w:space="0" w:color="9EC1E4" w:themeColor="accent3" w:themeTint="BF"/>
        </w:tcBorders>
      </w:tcPr>
    </w:tblStylePr>
    <w:tblStylePr w:type="firstCol">
      <w:rPr>
        <w:b/>
        <w:bCs/>
      </w:rPr>
    </w:tblStylePr>
    <w:tblStylePr w:type="lastCol">
      <w:rPr>
        <w:b/>
        <w:bCs/>
      </w:rPr>
    </w:tblStylePr>
    <w:tblStylePr w:type="band1Vert">
      <w:tblPr/>
      <w:tcPr>
        <w:shd w:val="clear" w:color="auto" w:fill="BFD6ED" w:themeFill="accent3" w:themeFillTint="7F"/>
      </w:tcPr>
    </w:tblStylePr>
    <w:tblStylePr w:type="band1Horz">
      <w:tblPr/>
      <w:tcPr>
        <w:shd w:val="clear" w:color="auto" w:fill="BFD6ED" w:themeFill="accent3" w:themeFillTint="7F"/>
      </w:tcPr>
    </w:tblStylePr>
  </w:style>
  <w:style w:type="table" w:styleId="MediumGrid1-Accent4">
    <w:name w:val="Medium Grid 1 Accent 4"/>
    <w:basedOn w:val="TableNormal"/>
    <w:uiPriority w:val="99"/>
    <w:semiHidden/>
    <w:unhideWhenUsed/>
    <w:rsid w:val="00911DE3"/>
    <w:pPr>
      <w:spacing w:line="240" w:lineRule="auto"/>
    </w:pPr>
    <w:tblPr>
      <w:tblStyleRowBandSize w:val="1"/>
      <w:tblStyleColBandSize w:val="1"/>
      <w:tblBorders>
        <w:top w:val="single" w:sz="8" w:space="0" w:color="98989C" w:themeColor="accent4" w:themeTint="BF"/>
        <w:left w:val="single" w:sz="8" w:space="0" w:color="98989C" w:themeColor="accent4" w:themeTint="BF"/>
        <w:bottom w:val="single" w:sz="8" w:space="0" w:color="98989C" w:themeColor="accent4" w:themeTint="BF"/>
        <w:right w:val="single" w:sz="8" w:space="0" w:color="98989C" w:themeColor="accent4" w:themeTint="BF"/>
        <w:insideH w:val="single" w:sz="8" w:space="0" w:color="98989C" w:themeColor="accent4" w:themeTint="BF"/>
        <w:insideV w:val="single" w:sz="8" w:space="0" w:color="98989C" w:themeColor="accent4" w:themeTint="BF"/>
      </w:tblBorders>
    </w:tblPr>
    <w:tcPr>
      <w:shd w:val="clear" w:color="auto" w:fill="DCDDDE" w:themeFill="accent4" w:themeFillTint="3F"/>
    </w:tcPr>
    <w:tblStylePr w:type="firstRow">
      <w:rPr>
        <w:b/>
        <w:bCs/>
      </w:rPr>
    </w:tblStylePr>
    <w:tblStylePr w:type="lastRow">
      <w:rPr>
        <w:b/>
        <w:bCs/>
      </w:rPr>
      <w:tblPr/>
      <w:tcPr>
        <w:tcBorders>
          <w:top w:val="single" w:sz="18" w:space="0" w:color="98989C" w:themeColor="accent4" w:themeTint="BF"/>
        </w:tcBorders>
      </w:tcPr>
    </w:tblStylePr>
    <w:tblStylePr w:type="firstCol">
      <w:rPr>
        <w:b/>
        <w:bCs/>
      </w:rPr>
    </w:tblStylePr>
    <w:tblStylePr w:type="lastCol">
      <w:rPr>
        <w:b/>
        <w:bCs/>
      </w:rPr>
    </w:tblStylePr>
    <w:tblStylePr w:type="band1Vert">
      <w:tblPr/>
      <w:tcPr>
        <w:shd w:val="clear" w:color="auto" w:fill="BABBBD" w:themeFill="accent4" w:themeFillTint="7F"/>
      </w:tcPr>
    </w:tblStylePr>
    <w:tblStylePr w:type="band1Horz">
      <w:tblPr/>
      <w:tcPr>
        <w:shd w:val="clear" w:color="auto" w:fill="BABBBD" w:themeFill="accent4" w:themeFillTint="7F"/>
      </w:tcPr>
    </w:tblStylePr>
  </w:style>
  <w:style w:type="table" w:styleId="MediumGrid1-Accent5">
    <w:name w:val="Medium Grid 1 Accent 5"/>
    <w:basedOn w:val="TableNormal"/>
    <w:uiPriority w:val="99"/>
    <w:semiHidden/>
    <w:unhideWhenUsed/>
    <w:rsid w:val="00911DE3"/>
    <w:pPr>
      <w:spacing w:line="240" w:lineRule="auto"/>
    </w:pPr>
    <w:tblPr>
      <w:tblStyleRowBandSize w:val="1"/>
      <w:tblStyleColBandSize w:val="1"/>
      <w:tblBorders>
        <w:top w:val="single" w:sz="8" w:space="0" w:color="384F6D" w:themeColor="accent5" w:themeTint="BF"/>
        <w:left w:val="single" w:sz="8" w:space="0" w:color="384F6D" w:themeColor="accent5" w:themeTint="BF"/>
        <w:bottom w:val="single" w:sz="8" w:space="0" w:color="384F6D" w:themeColor="accent5" w:themeTint="BF"/>
        <w:right w:val="single" w:sz="8" w:space="0" w:color="384F6D" w:themeColor="accent5" w:themeTint="BF"/>
        <w:insideH w:val="single" w:sz="8" w:space="0" w:color="384F6D" w:themeColor="accent5" w:themeTint="BF"/>
        <w:insideV w:val="single" w:sz="8" w:space="0" w:color="384F6D" w:themeColor="accent5" w:themeTint="BF"/>
      </w:tblBorders>
    </w:tblPr>
    <w:tcPr>
      <w:shd w:val="clear" w:color="auto" w:fill="B4C3D8" w:themeFill="accent5" w:themeFillTint="3F"/>
    </w:tcPr>
    <w:tblStylePr w:type="firstRow">
      <w:rPr>
        <w:b/>
        <w:bCs/>
      </w:rPr>
    </w:tblStylePr>
    <w:tblStylePr w:type="lastRow">
      <w:rPr>
        <w:b/>
        <w:bCs/>
      </w:rPr>
      <w:tblPr/>
      <w:tcPr>
        <w:tcBorders>
          <w:top w:val="single" w:sz="18" w:space="0" w:color="384F6D" w:themeColor="accent5" w:themeTint="BF"/>
        </w:tcBorders>
      </w:tcPr>
    </w:tblStylePr>
    <w:tblStylePr w:type="firstCol">
      <w:rPr>
        <w:b/>
        <w:bCs/>
      </w:rPr>
    </w:tblStylePr>
    <w:tblStylePr w:type="lastCol">
      <w:rPr>
        <w:b/>
        <w:bCs/>
      </w:rPr>
    </w:tblStylePr>
    <w:tblStylePr w:type="band1Vert">
      <w:tblPr/>
      <w:tcPr>
        <w:shd w:val="clear" w:color="auto" w:fill="6787B1" w:themeFill="accent5" w:themeFillTint="7F"/>
      </w:tcPr>
    </w:tblStylePr>
    <w:tblStylePr w:type="band1Horz">
      <w:tblPr/>
      <w:tcPr>
        <w:shd w:val="clear" w:color="auto" w:fill="6787B1" w:themeFill="accent5" w:themeFillTint="7F"/>
      </w:tcPr>
    </w:tblStylePr>
  </w:style>
  <w:style w:type="table" w:styleId="MediumGrid1-Accent6">
    <w:name w:val="Medium Grid 1 Accent 6"/>
    <w:basedOn w:val="TableNormal"/>
    <w:uiPriority w:val="99"/>
    <w:semiHidden/>
    <w:unhideWhenUsed/>
    <w:rsid w:val="00911DE3"/>
    <w:pPr>
      <w:spacing w:line="240" w:lineRule="auto"/>
    </w:pPr>
    <w:tblPr>
      <w:tblStyleRowBandSize w:val="1"/>
      <w:tblStyleColBandSize w:val="1"/>
      <w:tblBorders>
        <w:top w:val="single" w:sz="8" w:space="0" w:color="CEE0F1" w:themeColor="accent6" w:themeTint="BF"/>
        <w:left w:val="single" w:sz="8" w:space="0" w:color="CEE0F1" w:themeColor="accent6" w:themeTint="BF"/>
        <w:bottom w:val="single" w:sz="8" w:space="0" w:color="CEE0F1" w:themeColor="accent6" w:themeTint="BF"/>
        <w:right w:val="single" w:sz="8" w:space="0" w:color="CEE0F1" w:themeColor="accent6" w:themeTint="BF"/>
        <w:insideH w:val="single" w:sz="8" w:space="0" w:color="CEE0F1" w:themeColor="accent6" w:themeTint="BF"/>
        <w:insideV w:val="single" w:sz="8" w:space="0" w:color="CEE0F1" w:themeColor="accent6" w:themeTint="BF"/>
      </w:tblBorders>
    </w:tblPr>
    <w:tcPr>
      <w:shd w:val="clear" w:color="auto" w:fill="EFF4FA" w:themeFill="accent6" w:themeFillTint="3F"/>
    </w:tcPr>
    <w:tblStylePr w:type="firstRow">
      <w:rPr>
        <w:b/>
        <w:bCs/>
      </w:rPr>
    </w:tblStylePr>
    <w:tblStylePr w:type="lastRow">
      <w:rPr>
        <w:b/>
        <w:bCs/>
      </w:rPr>
      <w:tblPr/>
      <w:tcPr>
        <w:tcBorders>
          <w:top w:val="single" w:sz="18" w:space="0" w:color="CEE0F1" w:themeColor="accent6" w:themeTint="BF"/>
        </w:tcBorders>
      </w:tcPr>
    </w:tblStylePr>
    <w:tblStylePr w:type="firstCol">
      <w:rPr>
        <w:b/>
        <w:bCs/>
      </w:rPr>
    </w:tblStylePr>
    <w:tblStylePr w:type="lastCol">
      <w:rPr>
        <w:b/>
        <w:bCs/>
      </w:rPr>
    </w:tblStylePr>
    <w:tblStylePr w:type="band1Vert">
      <w:tblPr/>
      <w:tcPr>
        <w:shd w:val="clear" w:color="auto" w:fill="DFEAF6" w:themeFill="accent6" w:themeFillTint="7F"/>
      </w:tcPr>
    </w:tblStylePr>
    <w:tblStylePr w:type="band1Horz">
      <w:tblPr/>
      <w:tcPr>
        <w:shd w:val="clear" w:color="auto" w:fill="DFEAF6" w:themeFill="accent6" w:themeFillTint="7F"/>
      </w:tcPr>
    </w:tblStylePr>
  </w:style>
  <w:style w:type="table" w:styleId="MediumGrid2">
    <w:name w:val="Medium Grid 2"/>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5CB9" w:themeColor="accent1"/>
        <w:left w:val="single" w:sz="8" w:space="0" w:color="005CB9" w:themeColor="accent1"/>
        <w:bottom w:val="single" w:sz="8" w:space="0" w:color="005CB9" w:themeColor="accent1"/>
        <w:right w:val="single" w:sz="8" w:space="0" w:color="005CB9" w:themeColor="accent1"/>
        <w:insideH w:val="single" w:sz="8" w:space="0" w:color="005CB9" w:themeColor="accent1"/>
        <w:insideV w:val="single" w:sz="8" w:space="0" w:color="005CB9" w:themeColor="accent1"/>
      </w:tblBorders>
    </w:tblPr>
    <w:tcPr>
      <w:shd w:val="clear" w:color="auto" w:fill="AED6FF" w:themeFill="accent1" w:themeFillTint="3F"/>
    </w:tcPr>
    <w:tblStylePr w:type="firstRow">
      <w:rPr>
        <w:b/>
        <w:bCs/>
        <w:color w:val="000000" w:themeColor="text1"/>
      </w:rPr>
      <w:tblPr/>
      <w:tcPr>
        <w:shd w:val="clear" w:color="auto" w:fill="DF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DEFF" w:themeFill="accent1" w:themeFillTint="33"/>
      </w:tcPr>
    </w:tblStylePr>
    <w:tblStylePr w:type="band1Vert">
      <w:tblPr/>
      <w:tcPr>
        <w:shd w:val="clear" w:color="auto" w:fill="5DADFF" w:themeFill="accent1" w:themeFillTint="7F"/>
      </w:tcPr>
    </w:tblStylePr>
    <w:tblStylePr w:type="band1Horz">
      <w:tblPr/>
      <w:tcPr>
        <w:tcBorders>
          <w:insideH w:val="single" w:sz="6" w:space="0" w:color="005CB9" w:themeColor="accent1"/>
          <w:insideV w:val="single" w:sz="6" w:space="0" w:color="005CB9" w:themeColor="accent1"/>
        </w:tcBorders>
        <w:shd w:val="clear" w:color="auto" w:fill="5DA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BBBBBB" w:themeColor="accent2"/>
        <w:left w:val="single" w:sz="8" w:space="0" w:color="BBBBBB" w:themeColor="accent2"/>
        <w:bottom w:val="single" w:sz="8" w:space="0" w:color="BBBBBB" w:themeColor="accent2"/>
        <w:right w:val="single" w:sz="8" w:space="0" w:color="BBBBBB" w:themeColor="accent2"/>
        <w:insideH w:val="single" w:sz="8" w:space="0" w:color="BBBBBB" w:themeColor="accent2"/>
        <w:insideV w:val="single" w:sz="8" w:space="0" w:color="BBBBBB" w:themeColor="accent2"/>
      </w:tblBorders>
    </w:tblPr>
    <w:tcPr>
      <w:shd w:val="clear" w:color="auto" w:fill="EEEEEE" w:themeFill="accent2" w:themeFillTint="3F"/>
    </w:tcPr>
    <w:tblStylePr w:type="firstRow">
      <w:rPr>
        <w:b/>
        <w:bCs/>
        <w:color w:val="000000" w:themeColor="text1"/>
      </w:rPr>
      <w:tblPr/>
      <w:tcPr>
        <w:shd w:val="clear" w:color="auto" w:fill="F8F8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1F1" w:themeFill="accent2" w:themeFillTint="33"/>
      </w:tcPr>
    </w:tblStylePr>
    <w:tblStylePr w:type="band1Vert">
      <w:tblPr/>
      <w:tcPr>
        <w:shd w:val="clear" w:color="auto" w:fill="DDDDDD" w:themeFill="accent2" w:themeFillTint="7F"/>
      </w:tcPr>
    </w:tblStylePr>
    <w:tblStylePr w:type="band1Horz">
      <w:tblPr/>
      <w:tcPr>
        <w:tcBorders>
          <w:insideH w:val="single" w:sz="6" w:space="0" w:color="BBBBBB" w:themeColor="accent2"/>
          <w:insideV w:val="single" w:sz="6" w:space="0" w:color="BBBBBB" w:themeColor="accent2"/>
        </w:tcBorders>
        <w:shd w:val="clear" w:color="auto" w:fill="DDDDD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7FADDC" w:themeColor="accent3"/>
        <w:left w:val="single" w:sz="8" w:space="0" w:color="7FADDC" w:themeColor="accent3"/>
        <w:bottom w:val="single" w:sz="8" w:space="0" w:color="7FADDC" w:themeColor="accent3"/>
        <w:right w:val="single" w:sz="8" w:space="0" w:color="7FADDC" w:themeColor="accent3"/>
        <w:insideH w:val="single" w:sz="8" w:space="0" w:color="7FADDC" w:themeColor="accent3"/>
        <w:insideV w:val="single" w:sz="8" w:space="0" w:color="7FADDC" w:themeColor="accent3"/>
      </w:tblBorders>
    </w:tblPr>
    <w:tcPr>
      <w:shd w:val="clear" w:color="auto" w:fill="DFEAF6" w:themeFill="accent3" w:themeFillTint="3F"/>
    </w:tcPr>
    <w:tblStylePr w:type="firstRow">
      <w:rPr>
        <w:b/>
        <w:bCs/>
        <w:color w:val="000000" w:themeColor="text1"/>
      </w:rPr>
      <w:tblPr/>
      <w:tcPr>
        <w:shd w:val="clear" w:color="auto" w:fill="F2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EF8" w:themeFill="accent3" w:themeFillTint="33"/>
      </w:tcPr>
    </w:tblStylePr>
    <w:tblStylePr w:type="band1Vert">
      <w:tblPr/>
      <w:tcPr>
        <w:shd w:val="clear" w:color="auto" w:fill="BFD6ED" w:themeFill="accent3" w:themeFillTint="7F"/>
      </w:tcPr>
    </w:tblStylePr>
    <w:tblStylePr w:type="band1Horz">
      <w:tblPr/>
      <w:tcPr>
        <w:tcBorders>
          <w:insideH w:val="single" w:sz="6" w:space="0" w:color="7FADDC" w:themeColor="accent3"/>
          <w:insideV w:val="single" w:sz="6" w:space="0" w:color="7FADDC" w:themeColor="accent3"/>
        </w:tcBorders>
        <w:shd w:val="clear" w:color="auto" w:fill="BFD6E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76777B" w:themeColor="accent4"/>
        <w:left w:val="single" w:sz="8" w:space="0" w:color="76777B" w:themeColor="accent4"/>
        <w:bottom w:val="single" w:sz="8" w:space="0" w:color="76777B" w:themeColor="accent4"/>
        <w:right w:val="single" w:sz="8" w:space="0" w:color="76777B" w:themeColor="accent4"/>
        <w:insideH w:val="single" w:sz="8" w:space="0" w:color="76777B" w:themeColor="accent4"/>
        <w:insideV w:val="single" w:sz="8" w:space="0" w:color="76777B" w:themeColor="accent4"/>
      </w:tblBorders>
    </w:tblPr>
    <w:tcPr>
      <w:shd w:val="clear" w:color="auto" w:fill="DCDDDE" w:themeFill="accent4" w:themeFillTint="3F"/>
    </w:tcPr>
    <w:tblStylePr w:type="firstRow">
      <w:rPr>
        <w:b/>
        <w:bCs/>
        <w:color w:val="000000" w:themeColor="text1"/>
      </w:rPr>
      <w:tblPr/>
      <w:tcPr>
        <w:shd w:val="clear" w:color="auto" w:fill="F1F1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3E4" w:themeFill="accent4" w:themeFillTint="33"/>
      </w:tcPr>
    </w:tblStylePr>
    <w:tblStylePr w:type="band1Vert">
      <w:tblPr/>
      <w:tcPr>
        <w:shd w:val="clear" w:color="auto" w:fill="BABBBD" w:themeFill="accent4" w:themeFillTint="7F"/>
      </w:tcPr>
    </w:tblStylePr>
    <w:tblStylePr w:type="band1Horz">
      <w:tblPr/>
      <w:tcPr>
        <w:tcBorders>
          <w:insideH w:val="single" w:sz="6" w:space="0" w:color="76777B" w:themeColor="accent4"/>
          <w:insideV w:val="single" w:sz="6" w:space="0" w:color="76777B" w:themeColor="accent4"/>
        </w:tcBorders>
        <w:shd w:val="clear" w:color="auto" w:fill="BABBB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111821" w:themeColor="accent5"/>
        <w:left w:val="single" w:sz="8" w:space="0" w:color="111821" w:themeColor="accent5"/>
        <w:bottom w:val="single" w:sz="8" w:space="0" w:color="111821" w:themeColor="accent5"/>
        <w:right w:val="single" w:sz="8" w:space="0" w:color="111821" w:themeColor="accent5"/>
        <w:insideH w:val="single" w:sz="8" w:space="0" w:color="111821" w:themeColor="accent5"/>
        <w:insideV w:val="single" w:sz="8" w:space="0" w:color="111821" w:themeColor="accent5"/>
      </w:tblBorders>
    </w:tblPr>
    <w:tcPr>
      <w:shd w:val="clear" w:color="auto" w:fill="B4C3D8" w:themeFill="accent5" w:themeFillTint="3F"/>
    </w:tcPr>
    <w:tblStylePr w:type="firstRow">
      <w:rPr>
        <w:b/>
        <w:bCs/>
        <w:color w:val="000000" w:themeColor="text1"/>
      </w:rPr>
      <w:tblPr/>
      <w:tcPr>
        <w:shd w:val="clear" w:color="auto" w:fill="E1E7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CFDF" w:themeFill="accent5" w:themeFillTint="33"/>
      </w:tcPr>
    </w:tblStylePr>
    <w:tblStylePr w:type="band1Vert">
      <w:tblPr/>
      <w:tcPr>
        <w:shd w:val="clear" w:color="auto" w:fill="6787B1" w:themeFill="accent5" w:themeFillTint="7F"/>
      </w:tcPr>
    </w:tblStylePr>
    <w:tblStylePr w:type="band1Horz">
      <w:tblPr/>
      <w:tcPr>
        <w:tcBorders>
          <w:insideH w:val="single" w:sz="6" w:space="0" w:color="111821" w:themeColor="accent5"/>
          <w:insideV w:val="single" w:sz="6" w:space="0" w:color="111821" w:themeColor="accent5"/>
        </w:tcBorders>
        <w:shd w:val="clear" w:color="auto" w:fill="6787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BFD6ED" w:themeColor="accent6"/>
        <w:left w:val="single" w:sz="8" w:space="0" w:color="BFD6ED" w:themeColor="accent6"/>
        <w:bottom w:val="single" w:sz="8" w:space="0" w:color="BFD6ED" w:themeColor="accent6"/>
        <w:right w:val="single" w:sz="8" w:space="0" w:color="BFD6ED" w:themeColor="accent6"/>
        <w:insideH w:val="single" w:sz="8" w:space="0" w:color="BFD6ED" w:themeColor="accent6"/>
        <w:insideV w:val="single" w:sz="8" w:space="0" w:color="BFD6ED" w:themeColor="accent6"/>
      </w:tblBorders>
    </w:tblPr>
    <w:tcPr>
      <w:shd w:val="clear" w:color="auto" w:fill="EFF4FA" w:themeFill="accent6" w:themeFillTint="3F"/>
    </w:tcPr>
    <w:tblStylePr w:type="firstRow">
      <w:rPr>
        <w:b/>
        <w:bCs/>
        <w:color w:val="000000" w:themeColor="text1"/>
      </w:rPr>
      <w:tblPr/>
      <w:tcPr>
        <w:shd w:val="clear" w:color="auto" w:fill="F8FA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6FB" w:themeFill="accent6" w:themeFillTint="33"/>
      </w:tcPr>
    </w:tblStylePr>
    <w:tblStylePr w:type="band1Vert">
      <w:tblPr/>
      <w:tcPr>
        <w:shd w:val="clear" w:color="auto" w:fill="DFEAF6" w:themeFill="accent6" w:themeFillTint="7F"/>
      </w:tcPr>
    </w:tblStylePr>
    <w:tblStylePr w:type="band1Horz">
      <w:tblPr/>
      <w:tcPr>
        <w:tcBorders>
          <w:insideH w:val="single" w:sz="6" w:space="0" w:color="BFD6ED" w:themeColor="accent6"/>
          <w:insideV w:val="single" w:sz="6" w:space="0" w:color="BFD6ED" w:themeColor="accent6"/>
        </w:tcBorders>
        <w:shd w:val="clear" w:color="auto" w:fill="DFEA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D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CB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CB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CB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CB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DA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DADFF" w:themeFill="accent1" w:themeFillTint="7F"/>
      </w:tcPr>
    </w:tblStylePr>
  </w:style>
  <w:style w:type="table" w:styleId="MediumGrid3-Accent2">
    <w:name w:val="Medium Grid 3 Accent 2"/>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EE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BBB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BBB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BBB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BBB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DDD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DDDD" w:themeFill="accent2" w:themeFillTint="7F"/>
      </w:tcPr>
    </w:tblStylePr>
  </w:style>
  <w:style w:type="table" w:styleId="MediumGrid3-Accent3">
    <w:name w:val="Medium Grid 3 Accent 3"/>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A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ADD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ADD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ADD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ADD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6E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6ED" w:themeFill="accent3" w:themeFillTint="7F"/>
      </w:tcPr>
    </w:tblStylePr>
  </w:style>
  <w:style w:type="table" w:styleId="MediumGrid3-Accent4">
    <w:name w:val="Medium Grid 3 Accent 4"/>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DD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777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777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777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777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BB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BBD" w:themeFill="accent4" w:themeFillTint="7F"/>
      </w:tcPr>
    </w:tblStylePr>
  </w:style>
  <w:style w:type="table" w:styleId="MediumGrid3-Accent5">
    <w:name w:val="Medium Grid 3 Accent 5"/>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C3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182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182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182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182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87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87B1" w:themeFill="accent5" w:themeFillTint="7F"/>
      </w:tcPr>
    </w:tblStylePr>
  </w:style>
  <w:style w:type="table" w:styleId="MediumGrid3-Accent6">
    <w:name w:val="Medium Grid 3 Accent 6"/>
    <w:basedOn w:val="TableNormal"/>
    <w:uiPriority w:val="99"/>
    <w:semiHidden/>
    <w:unhideWhenUsed/>
    <w:rsid w:val="00911DE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4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D6E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D6E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D6E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D6E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A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AF6" w:themeFill="accent6" w:themeFillTint="7F"/>
      </w:tcPr>
    </w:tblStylePr>
  </w:style>
  <w:style w:type="table" w:styleId="MediumList1">
    <w:name w:val="Medium List 1"/>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82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005CB9" w:themeColor="accent1"/>
        <w:bottom w:val="single" w:sz="8" w:space="0" w:color="005CB9" w:themeColor="accent1"/>
      </w:tblBorders>
    </w:tblPr>
    <w:tblStylePr w:type="firstRow">
      <w:rPr>
        <w:rFonts w:asciiTheme="majorHAnsi" w:eastAsiaTheme="majorEastAsia" w:hAnsiTheme="majorHAnsi" w:cstheme="majorBidi"/>
      </w:rPr>
      <w:tblPr/>
      <w:tcPr>
        <w:tcBorders>
          <w:top w:val="nil"/>
          <w:bottom w:val="single" w:sz="8" w:space="0" w:color="005CB9" w:themeColor="accent1"/>
        </w:tcBorders>
      </w:tcPr>
    </w:tblStylePr>
    <w:tblStylePr w:type="lastRow">
      <w:rPr>
        <w:b/>
        <w:bCs/>
        <w:color w:val="111821" w:themeColor="text2"/>
      </w:rPr>
      <w:tblPr/>
      <w:tcPr>
        <w:tcBorders>
          <w:top w:val="single" w:sz="8" w:space="0" w:color="005CB9" w:themeColor="accent1"/>
          <w:bottom w:val="single" w:sz="8" w:space="0" w:color="005CB9" w:themeColor="accent1"/>
        </w:tcBorders>
      </w:tcPr>
    </w:tblStylePr>
    <w:tblStylePr w:type="firstCol">
      <w:rPr>
        <w:b/>
        <w:bCs/>
      </w:rPr>
    </w:tblStylePr>
    <w:tblStylePr w:type="lastCol">
      <w:rPr>
        <w:b/>
        <w:bCs/>
      </w:rPr>
      <w:tblPr/>
      <w:tcPr>
        <w:tcBorders>
          <w:top w:val="single" w:sz="8" w:space="0" w:color="005CB9" w:themeColor="accent1"/>
          <w:bottom w:val="single" w:sz="8" w:space="0" w:color="005CB9" w:themeColor="accent1"/>
        </w:tcBorders>
      </w:tcPr>
    </w:tblStylePr>
    <w:tblStylePr w:type="band1Vert">
      <w:tblPr/>
      <w:tcPr>
        <w:shd w:val="clear" w:color="auto" w:fill="AED6FF" w:themeFill="accent1" w:themeFillTint="3F"/>
      </w:tcPr>
    </w:tblStylePr>
    <w:tblStylePr w:type="band1Horz">
      <w:tblPr/>
      <w:tcPr>
        <w:shd w:val="clear" w:color="auto" w:fill="AED6FF" w:themeFill="accent1" w:themeFillTint="3F"/>
      </w:tcPr>
    </w:tblStylePr>
  </w:style>
  <w:style w:type="table" w:styleId="MediumList1-Accent2">
    <w:name w:val="Medium List 1 Accent 2"/>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BBBBBB" w:themeColor="accent2"/>
        <w:bottom w:val="single" w:sz="8" w:space="0" w:color="BBBBBB" w:themeColor="accent2"/>
      </w:tblBorders>
    </w:tblPr>
    <w:tblStylePr w:type="firstRow">
      <w:rPr>
        <w:rFonts w:asciiTheme="majorHAnsi" w:eastAsiaTheme="majorEastAsia" w:hAnsiTheme="majorHAnsi" w:cstheme="majorBidi"/>
      </w:rPr>
      <w:tblPr/>
      <w:tcPr>
        <w:tcBorders>
          <w:top w:val="nil"/>
          <w:bottom w:val="single" w:sz="8" w:space="0" w:color="BBBBBB" w:themeColor="accent2"/>
        </w:tcBorders>
      </w:tcPr>
    </w:tblStylePr>
    <w:tblStylePr w:type="lastRow">
      <w:rPr>
        <w:b/>
        <w:bCs/>
        <w:color w:val="111821" w:themeColor="text2"/>
      </w:rPr>
      <w:tblPr/>
      <w:tcPr>
        <w:tcBorders>
          <w:top w:val="single" w:sz="8" w:space="0" w:color="BBBBBB" w:themeColor="accent2"/>
          <w:bottom w:val="single" w:sz="8" w:space="0" w:color="BBBBBB" w:themeColor="accent2"/>
        </w:tcBorders>
      </w:tcPr>
    </w:tblStylePr>
    <w:tblStylePr w:type="firstCol">
      <w:rPr>
        <w:b/>
        <w:bCs/>
      </w:rPr>
    </w:tblStylePr>
    <w:tblStylePr w:type="lastCol">
      <w:rPr>
        <w:b/>
        <w:bCs/>
      </w:rPr>
      <w:tblPr/>
      <w:tcPr>
        <w:tcBorders>
          <w:top w:val="single" w:sz="8" w:space="0" w:color="BBBBBB" w:themeColor="accent2"/>
          <w:bottom w:val="single" w:sz="8" w:space="0" w:color="BBBBBB" w:themeColor="accent2"/>
        </w:tcBorders>
      </w:tcPr>
    </w:tblStylePr>
    <w:tblStylePr w:type="band1Vert">
      <w:tblPr/>
      <w:tcPr>
        <w:shd w:val="clear" w:color="auto" w:fill="EEEEEE" w:themeFill="accent2" w:themeFillTint="3F"/>
      </w:tcPr>
    </w:tblStylePr>
    <w:tblStylePr w:type="band1Horz">
      <w:tblPr/>
      <w:tcPr>
        <w:shd w:val="clear" w:color="auto" w:fill="EEEEEE" w:themeFill="accent2" w:themeFillTint="3F"/>
      </w:tcPr>
    </w:tblStylePr>
  </w:style>
  <w:style w:type="table" w:styleId="MediumList1-Accent3">
    <w:name w:val="Medium List 1 Accent 3"/>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7FADDC" w:themeColor="accent3"/>
        <w:bottom w:val="single" w:sz="8" w:space="0" w:color="7FADDC" w:themeColor="accent3"/>
      </w:tblBorders>
    </w:tblPr>
    <w:tblStylePr w:type="firstRow">
      <w:rPr>
        <w:rFonts w:asciiTheme="majorHAnsi" w:eastAsiaTheme="majorEastAsia" w:hAnsiTheme="majorHAnsi" w:cstheme="majorBidi"/>
      </w:rPr>
      <w:tblPr/>
      <w:tcPr>
        <w:tcBorders>
          <w:top w:val="nil"/>
          <w:bottom w:val="single" w:sz="8" w:space="0" w:color="7FADDC" w:themeColor="accent3"/>
        </w:tcBorders>
      </w:tcPr>
    </w:tblStylePr>
    <w:tblStylePr w:type="lastRow">
      <w:rPr>
        <w:b/>
        <w:bCs/>
        <w:color w:val="111821" w:themeColor="text2"/>
      </w:rPr>
      <w:tblPr/>
      <w:tcPr>
        <w:tcBorders>
          <w:top w:val="single" w:sz="8" w:space="0" w:color="7FADDC" w:themeColor="accent3"/>
          <w:bottom w:val="single" w:sz="8" w:space="0" w:color="7FADDC" w:themeColor="accent3"/>
        </w:tcBorders>
      </w:tcPr>
    </w:tblStylePr>
    <w:tblStylePr w:type="firstCol">
      <w:rPr>
        <w:b/>
        <w:bCs/>
      </w:rPr>
    </w:tblStylePr>
    <w:tblStylePr w:type="lastCol">
      <w:rPr>
        <w:b/>
        <w:bCs/>
      </w:rPr>
      <w:tblPr/>
      <w:tcPr>
        <w:tcBorders>
          <w:top w:val="single" w:sz="8" w:space="0" w:color="7FADDC" w:themeColor="accent3"/>
          <w:bottom w:val="single" w:sz="8" w:space="0" w:color="7FADDC" w:themeColor="accent3"/>
        </w:tcBorders>
      </w:tcPr>
    </w:tblStylePr>
    <w:tblStylePr w:type="band1Vert">
      <w:tblPr/>
      <w:tcPr>
        <w:shd w:val="clear" w:color="auto" w:fill="DFEAF6" w:themeFill="accent3" w:themeFillTint="3F"/>
      </w:tcPr>
    </w:tblStylePr>
    <w:tblStylePr w:type="band1Horz">
      <w:tblPr/>
      <w:tcPr>
        <w:shd w:val="clear" w:color="auto" w:fill="DFEAF6" w:themeFill="accent3" w:themeFillTint="3F"/>
      </w:tcPr>
    </w:tblStylePr>
  </w:style>
  <w:style w:type="table" w:styleId="MediumList1-Accent4">
    <w:name w:val="Medium List 1 Accent 4"/>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76777B" w:themeColor="accent4"/>
        <w:bottom w:val="single" w:sz="8" w:space="0" w:color="76777B" w:themeColor="accent4"/>
      </w:tblBorders>
    </w:tblPr>
    <w:tblStylePr w:type="firstRow">
      <w:rPr>
        <w:rFonts w:asciiTheme="majorHAnsi" w:eastAsiaTheme="majorEastAsia" w:hAnsiTheme="majorHAnsi" w:cstheme="majorBidi"/>
      </w:rPr>
      <w:tblPr/>
      <w:tcPr>
        <w:tcBorders>
          <w:top w:val="nil"/>
          <w:bottom w:val="single" w:sz="8" w:space="0" w:color="76777B" w:themeColor="accent4"/>
        </w:tcBorders>
      </w:tcPr>
    </w:tblStylePr>
    <w:tblStylePr w:type="lastRow">
      <w:rPr>
        <w:b/>
        <w:bCs/>
        <w:color w:val="111821" w:themeColor="text2"/>
      </w:rPr>
      <w:tblPr/>
      <w:tcPr>
        <w:tcBorders>
          <w:top w:val="single" w:sz="8" w:space="0" w:color="76777B" w:themeColor="accent4"/>
          <w:bottom w:val="single" w:sz="8" w:space="0" w:color="76777B" w:themeColor="accent4"/>
        </w:tcBorders>
      </w:tcPr>
    </w:tblStylePr>
    <w:tblStylePr w:type="firstCol">
      <w:rPr>
        <w:b/>
        <w:bCs/>
      </w:rPr>
    </w:tblStylePr>
    <w:tblStylePr w:type="lastCol">
      <w:rPr>
        <w:b/>
        <w:bCs/>
      </w:rPr>
      <w:tblPr/>
      <w:tcPr>
        <w:tcBorders>
          <w:top w:val="single" w:sz="8" w:space="0" w:color="76777B" w:themeColor="accent4"/>
          <w:bottom w:val="single" w:sz="8" w:space="0" w:color="76777B" w:themeColor="accent4"/>
        </w:tcBorders>
      </w:tcPr>
    </w:tblStylePr>
    <w:tblStylePr w:type="band1Vert">
      <w:tblPr/>
      <w:tcPr>
        <w:shd w:val="clear" w:color="auto" w:fill="DCDDDE" w:themeFill="accent4" w:themeFillTint="3F"/>
      </w:tcPr>
    </w:tblStylePr>
    <w:tblStylePr w:type="band1Horz">
      <w:tblPr/>
      <w:tcPr>
        <w:shd w:val="clear" w:color="auto" w:fill="DCDDDE" w:themeFill="accent4" w:themeFillTint="3F"/>
      </w:tcPr>
    </w:tblStylePr>
  </w:style>
  <w:style w:type="table" w:styleId="MediumList1-Accent5">
    <w:name w:val="Medium List 1 Accent 5"/>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111821" w:themeColor="accent5"/>
        <w:bottom w:val="single" w:sz="8" w:space="0" w:color="111821" w:themeColor="accent5"/>
      </w:tblBorders>
    </w:tblPr>
    <w:tblStylePr w:type="firstRow">
      <w:rPr>
        <w:rFonts w:asciiTheme="majorHAnsi" w:eastAsiaTheme="majorEastAsia" w:hAnsiTheme="majorHAnsi" w:cstheme="majorBidi"/>
      </w:rPr>
      <w:tblPr/>
      <w:tcPr>
        <w:tcBorders>
          <w:top w:val="nil"/>
          <w:bottom w:val="single" w:sz="8" w:space="0" w:color="111821" w:themeColor="accent5"/>
        </w:tcBorders>
      </w:tcPr>
    </w:tblStylePr>
    <w:tblStylePr w:type="lastRow">
      <w:rPr>
        <w:b/>
        <w:bCs/>
        <w:color w:val="111821" w:themeColor="text2"/>
      </w:rPr>
      <w:tblPr/>
      <w:tcPr>
        <w:tcBorders>
          <w:top w:val="single" w:sz="8" w:space="0" w:color="111821" w:themeColor="accent5"/>
          <w:bottom w:val="single" w:sz="8" w:space="0" w:color="111821" w:themeColor="accent5"/>
        </w:tcBorders>
      </w:tcPr>
    </w:tblStylePr>
    <w:tblStylePr w:type="firstCol">
      <w:rPr>
        <w:b/>
        <w:bCs/>
      </w:rPr>
    </w:tblStylePr>
    <w:tblStylePr w:type="lastCol">
      <w:rPr>
        <w:b/>
        <w:bCs/>
      </w:rPr>
      <w:tblPr/>
      <w:tcPr>
        <w:tcBorders>
          <w:top w:val="single" w:sz="8" w:space="0" w:color="111821" w:themeColor="accent5"/>
          <w:bottom w:val="single" w:sz="8" w:space="0" w:color="111821" w:themeColor="accent5"/>
        </w:tcBorders>
      </w:tcPr>
    </w:tblStylePr>
    <w:tblStylePr w:type="band1Vert">
      <w:tblPr/>
      <w:tcPr>
        <w:shd w:val="clear" w:color="auto" w:fill="B4C3D8" w:themeFill="accent5" w:themeFillTint="3F"/>
      </w:tcPr>
    </w:tblStylePr>
    <w:tblStylePr w:type="band1Horz">
      <w:tblPr/>
      <w:tcPr>
        <w:shd w:val="clear" w:color="auto" w:fill="B4C3D8" w:themeFill="accent5" w:themeFillTint="3F"/>
      </w:tcPr>
    </w:tblStylePr>
  </w:style>
  <w:style w:type="table" w:styleId="MediumList1-Accent6">
    <w:name w:val="Medium List 1 Accent 6"/>
    <w:basedOn w:val="TableNormal"/>
    <w:uiPriority w:val="99"/>
    <w:semiHidden/>
    <w:unhideWhenUsed/>
    <w:rsid w:val="00911DE3"/>
    <w:pPr>
      <w:spacing w:line="240" w:lineRule="auto"/>
    </w:pPr>
    <w:rPr>
      <w:color w:val="000000" w:themeColor="text1"/>
    </w:rPr>
    <w:tblPr>
      <w:tblStyleRowBandSize w:val="1"/>
      <w:tblStyleColBandSize w:val="1"/>
      <w:tblBorders>
        <w:top w:val="single" w:sz="8" w:space="0" w:color="BFD6ED" w:themeColor="accent6"/>
        <w:bottom w:val="single" w:sz="8" w:space="0" w:color="BFD6ED" w:themeColor="accent6"/>
      </w:tblBorders>
    </w:tblPr>
    <w:tblStylePr w:type="firstRow">
      <w:rPr>
        <w:rFonts w:asciiTheme="majorHAnsi" w:eastAsiaTheme="majorEastAsia" w:hAnsiTheme="majorHAnsi" w:cstheme="majorBidi"/>
      </w:rPr>
      <w:tblPr/>
      <w:tcPr>
        <w:tcBorders>
          <w:top w:val="nil"/>
          <w:bottom w:val="single" w:sz="8" w:space="0" w:color="BFD6ED" w:themeColor="accent6"/>
        </w:tcBorders>
      </w:tcPr>
    </w:tblStylePr>
    <w:tblStylePr w:type="lastRow">
      <w:rPr>
        <w:b/>
        <w:bCs/>
        <w:color w:val="111821" w:themeColor="text2"/>
      </w:rPr>
      <w:tblPr/>
      <w:tcPr>
        <w:tcBorders>
          <w:top w:val="single" w:sz="8" w:space="0" w:color="BFD6ED" w:themeColor="accent6"/>
          <w:bottom w:val="single" w:sz="8" w:space="0" w:color="BFD6ED" w:themeColor="accent6"/>
        </w:tcBorders>
      </w:tcPr>
    </w:tblStylePr>
    <w:tblStylePr w:type="firstCol">
      <w:rPr>
        <w:b/>
        <w:bCs/>
      </w:rPr>
    </w:tblStylePr>
    <w:tblStylePr w:type="lastCol">
      <w:rPr>
        <w:b/>
        <w:bCs/>
      </w:rPr>
      <w:tblPr/>
      <w:tcPr>
        <w:tcBorders>
          <w:top w:val="single" w:sz="8" w:space="0" w:color="BFD6ED" w:themeColor="accent6"/>
          <w:bottom w:val="single" w:sz="8" w:space="0" w:color="BFD6ED" w:themeColor="accent6"/>
        </w:tcBorders>
      </w:tcPr>
    </w:tblStylePr>
    <w:tblStylePr w:type="band1Vert">
      <w:tblPr/>
      <w:tcPr>
        <w:shd w:val="clear" w:color="auto" w:fill="EFF4FA" w:themeFill="accent6" w:themeFillTint="3F"/>
      </w:tcPr>
    </w:tblStylePr>
    <w:tblStylePr w:type="band1Horz">
      <w:tblPr/>
      <w:tcPr>
        <w:shd w:val="clear" w:color="auto" w:fill="EFF4FA" w:themeFill="accent6" w:themeFillTint="3F"/>
      </w:tcPr>
    </w:tblStylePr>
  </w:style>
  <w:style w:type="table" w:styleId="MediumList2">
    <w:name w:val="Medium List 2"/>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005CB9" w:themeColor="accent1"/>
        <w:left w:val="single" w:sz="8" w:space="0" w:color="005CB9" w:themeColor="accent1"/>
        <w:bottom w:val="single" w:sz="8" w:space="0" w:color="005CB9" w:themeColor="accent1"/>
        <w:right w:val="single" w:sz="8" w:space="0" w:color="005CB9" w:themeColor="accent1"/>
      </w:tblBorders>
    </w:tblPr>
    <w:tblStylePr w:type="firstRow">
      <w:rPr>
        <w:sz w:val="24"/>
        <w:szCs w:val="24"/>
      </w:rPr>
      <w:tblPr/>
      <w:tcPr>
        <w:tcBorders>
          <w:top w:val="nil"/>
          <w:left w:val="nil"/>
          <w:bottom w:val="single" w:sz="24" w:space="0" w:color="005CB9" w:themeColor="accent1"/>
          <w:right w:val="nil"/>
          <w:insideH w:val="nil"/>
          <w:insideV w:val="nil"/>
        </w:tcBorders>
        <w:shd w:val="clear" w:color="auto" w:fill="FFFFFF" w:themeFill="background1"/>
      </w:tcPr>
    </w:tblStylePr>
    <w:tblStylePr w:type="lastRow">
      <w:tblPr/>
      <w:tcPr>
        <w:tcBorders>
          <w:top w:val="single" w:sz="8" w:space="0" w:color="005CB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CB9" w:themeColor="accent1"/>
          <w:insideH w:val="nil"/>
          <w:insideV w:val="nil"/>
        </w:tcBorders>
        <w:shd w:val="clear" w:color="auto" w:fill="FFFFFF" w:themeFill="background1"/>
      </w:tcPr>
    </w:tblStylePr>
    <w:tblStylePr w:type="lastCol">
      <w:tblPr/>
      <w:tcPr>
        <w:tcBorders>
          <w:top w:val="nil"/>
          <w:left w:val="single" w:sz="8" w:space="0" w:color="005CB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D6FF" w:themeFill="accent1" w:themeFillTint="3F"/>
      </w:tcPr>
    </w:tblStylePr>
    <w:tblStylePr w:type="band1Horz">
      <w:tblPr/>
      <w:tcPr>
        <w:tcBorders>
          <w:top w:val="nil"/>
          <w:bottom w:val="nil"/>
          <w:insideH w:val="nil"/>
          <w:insideV w:val="nil"/>
        </w:tcBorders>
        <w:shd w:val="clear" w:color="auto" w:fill="AED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BBBBBB" w:themeColor="accent2"/>
        <w:left w:val="single" w:sz="8" w:space="0" w:color="BBBBBB" w:themeColor="accent2"/>
        <w:bottom w:val="single" w:sz="8" w:space="0" w:color="BBBBBB" w:themeColor="accent2"/>
        <w:right w:val="single" w:sz="8" w:space="0" w:color="BBBBBB" w:themeColor="accent2"/>
      </w:tblBorders>
    </w:tblPr>
    <w:tblStylePr w:type="firstRow">
      <w:rPr>
        <w:sz w:val="24"/>
        <w:szCs w:val="24"/>
      </w:rPr>
      <w:tblPr/>
      <w:tcPr>
        <w:tcBorders>
          <w:top w:val="nil"/>
          <w:left w:val="nil"/>
          <w:bottom w:val="single" w:sz="24" w:space="0" w:color="BBBBBB" w:themeColor="accent2"/>
          <w:right w:val="nil"/>
          <w:insideH w:val="nil"/>
          <w:insideV w:val="nil"/>
        </w:tcBorders>
        <w:shd w:val="clear" w:color="auto" w:fill="FFFFFF" w:themeFill="background1"/>
      </w:tcPr>
    </w:tblStylePr>
    <w:tblStylePr w:type="lastRow">
      <w:tblPr/>
      <w:tcPr>
        <w:tcBorders>
          <w:top w:val="single" w:sz="8" w:space="0" w:color="BBBBB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BBBB" w:themeColor="accent2"/>
          <w:insideH w:val="nil"/>
          <w:insideV w:val="nil"/>
        </w:tcBorders>
        <w:shd w:val="clear" w:color="auto" w:fill="FFFFFF" w:themeFill="background1"/>
      </w:tcPr>
    </w:tblStylePr>
    <w:tblStylePr w:type="lastCol">
      <w:tblPr/>
      <w:tcPr>
        <w:tcBorders>
          <w:top w:val="nil"/>
          <w:left w:val="single" w:sz="8" w:space="0" w:color="BBBBB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EEEE" w:themeFill="accent2" w:themeFillTint="3F"/>
      </w:tcPr>
    </w:tblStylePr>
    <w:tblStylePr w:type="band1Horz">
      <w:tblPr/>
      <w:tcPr>
        <w:tcBorders>
          <w:top w:val="nil"/>
          <w:bottom w:val="nil"/>
          <w:insideH w:val="nil"/>
          <w:insideV w:val="nil"/>
        </w:tcBorders>
        <w:shd w:val="clear" w:color="auto" w:fill="EEEEE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7FADDC" w:themeColor="accent3"/>
        <w:left w:val="single" w:sz="8" w:space="0" w:color="7FADDC" w:themeColor="accent3"/>
        <w:bottom w:val="single" w:sz="8" w:space="0" w:color="7FADDC" w:themeColor="accent3"/>
        <w:right w:val="single" w:sz="8" w:space="0" w:color="7FADDC" w:themeColor="accent3"/>
      </w:tblBorders>
    </w:tblPr>
    <w:tblStylePr w:type="firstRow">
      <w:rPr>
        <w:sz w:val="24"/>
        <w:szCs w:val="24"/>
      </w:rPr>
      <w:tblPr/>
      <w:tcPr>
        <w:tcBorders>
          <w:top w:val="nil"/>
          <w:left w:val="nil"/>
          <w:bottom w:val="single" w:sz="24" w:space="0" w:color="7FADDC" w:themeColor="accent3"/>
          <w:right w:val="nil"/>
          <w:insideH w:val="nil"/>
          <w:insideV w:val="nil"/>
        </w:tcBorders>
        <w:shd w:val="clear" w:color="auto" w:fill="FFFFFF" w:themeFill="background1"/>
      </w:tcPr>
    </w:tblStylePr>
    <w:tblStylePr w:type="lastRow">
      <w:tblPr/>
      <w:tcPr>
        <w:tcBorders>
          <w:top w:val="single" w:sz="8" w:space="0" w:color="7FADD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ADDC" w:themeColor="accent3"/>
          <w:insideH w:val="nil"/>
          <w:insideV w:val="nil"/>
        </w:tcBorders>
        <w:shd w:val="clear" w:color="auto" w:fill="FFFFFF" w:themeFill="background1"/>
      </w:tcPr>
    </w:tblStylePr>
    <w:tblStylePr w:type="lastCol">
      <w:tblPr/>
      <w:tcPr>
        <w:tcBorders>
          <w:top w:val="nil"/>
          <w:left w:val="single" w:sz="8" w:space="0" w:color="7FADD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AF6" w:themeFill="accent3" w:themeFillTint="3F"/>
      </w:tcPr>
    </w:tblStylePr>
    <w:tblStylePr w:type="band1Horz">
      <w:tblPr/>
      <w:tcPr>
        <w:tcBorders>
          <w:top w:val="nil"/>
          <w:bottom w:val="nil"/>
          <w:insideH w:val="nil"/>
          <w:insideV w:val="nil"/>
        </w:tcBorders>
        <w:shd w:val="clear" w:color="auto" w:fill="DFE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76777B" w:themeColor="accent4"/>
        <w:left w:val="single" w:sz="8" w:space="0" w:color="76777B" w:themeColor="accent4"/>
        <w:bottom w:val="single" w:sz="8" w:space="0" w:color="76777B" w:themeColor="accent4"/>
        <w:right w:val="single" w:sz="8" w:space="0" w:color="76777B" w:themeColor="accent4"/>
      </w:tblBorders>
    </w:tblPr>
    <w:tblStylePr w:type="firstRow">
      <w:rPr>
        <w:sz w:val="24"/>
        <w:szCs w:val="24"/>
      </w:rPr>
      <w:tblPr/>
      <w:tcPr>
        <w:tcBorders>
          <w:top w:val="nil"/>
          <w:left w:val="nil"/>
          <w:bottom w:val="single" w:sz="24" w:space="0" w:color="76777B" w:themeColor="accent4"/>
          <w:right w:val="nil"/>
          <w:insideH w:val="nil"/>
          <w:insideV w:val="nil"/>
        </w:tcBorders>
        <w:shd w:val="clear" w:color="auto" w:fill="FFFFFF" w:themeFill="background1"/>
      </w:tcPr>
    </w:tblStylePr>
    <w:tblStylePr w:type="lastRow">
      <w:tblPr/>
      <w:tcPr>
        <w:tcBorders>
          <w:top w:val="single" w:sz="8" w:space="0" w:color="76777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777B" w:themeColor="accent4"/>
          <w:insideH w:val="nil"/>
          <w:insideV w:val="nil"/>
        </w:tcBorders>
        <w:shd w:val="clear" w:color="auto" w:fill="FFFFFF" w:themeFill="background1"/>
      </w:tcPr>
    </w:tblStylePr>
    <w:tblStylePr w:type="lastCol">
      <w:tblPr/>
      <w:tcPr>
        <w:tcBorders>
          <w:top w:val="nil"/>
          <w:left w:val="single" w:sz="8" w:space="0" w:color="76777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DDE" w:themeFill="accent4" w:themeFillTint="3F"/>
      </w:tcPr>
    </w:tblStylePr>
    <w:tblStylePr w:type="band1Horz">
      <w:tblPr/>
      <w:tcPr>
        <w:tcBorders>
          <w:top w:val="nil"/>
          <w:bottom w:val="nil"/>
          <w:insideH w:val="nil"/>
          <w:insideV w:val="nil"/>
        </w:tcBorders>
        <w:shd w:val="clear" w:color="auto" w:fill="DCDDD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111821" w:themeColor="accent5"/>
        <w:left w:val="single" w:sz="8" w:space="0" w:color="111821" w:themeColor="accent5"/>
        <w:bottom w:val="single" w:sz="8" w:space="0" w:color="111821" w:themeColor="accent5"/>
        <w:right w:val="single" w:sz="8" w:space="0" w:color="111821" w:themeColor="accent5"/>
      </w:tblBorders>
    </w:tblPr>
    <w:tblStylePr w:type="firstRow">
      <w:rPr>
        <w:sz w:val="24"/>
        <w:szCs w:val="24"/>
      </w:rPr>
      <w:tblPr/>
      <w:tcPr>
        <w:tcBorders>
          <w:top w:val="nil"/>
          <w:left w:val="nil"/>
          <w:bottom w:val="single" w:sz="24" w:space="0" w:color="111821" w:themeColor="accent5"/>
          <w:right w:val="nil"/>
          <w:insideH w:val="nil"/>
          <w:insideV w:val="nil"/>
        </w:tcBorders>
        <w:shd w:val="clear" w:color="auto" w:fill="FFFFFF" w:themeFill="background1"/>
      </w:tcPr>
    </w:tblStylePr>
    <w:tblStylePr w:type="lastRow">
      <w:tblPr/>
      <w:tcPr>
        <w:tcBorders>
          <w:top w:val="single" w:sz="8" w:space="0" w:color="11182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1821" w:themeColor="accent5"/>
          <w:insideH w:val="nil"/>
          <w:insideV w:val="nil"/>
        </w:tcBorders>
        <w:shd w:val="clear" w:color="auto" w:fill="FFFFFF" w:themeFill="background1"/>
      </w:tcPr>
    </w:tblStylePr>
    <w:tblStylePr w:type="lastCol">
      <w:tblPr/>
      <w:tcPr>
        <w:tcBorders>
          <w:top w:val="nil"/>
          <w:left w:val="single" w:sz="8" w:space="0" w:color="11182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C3D8" w:themeFill="accent5" w:themeFillTint="3F"/>
      </w:tcPr>
    </w:tblStylePr>
    <w:tblStylePr w:type="band1Horz">
      <w:tblPr/>
      <w:tcPr>
        <w:tcBorders>
          <w:top w:val="nil"/>
          <w:bottom w:val="nil"/>
          <w:insideH w:val="nil"/>
          <w:insideV w:val="nil"/>
        </w:tcBorders>
        <w:shd w:val="clear" w:color="auto" w:fill="B4C3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911DE3"/>
    <w:pPr>
      <w:spacing w:line="240" w:lineRule="auto"/>
    </w:pPr>
    <w:rPr>
      <w:rFonts w:eastAsiaTheme="majorEastAsia" w:cs="Arial"/>
      <w:color w:val="000000" w:themeColor="text1"/>
    </w:rPr>
    <w:tblPr>
      <w:tblStyleRowBandSize w:val="1"/>
      <w:tblStyleColBandSize w:val="1"/>
      <w:tblBorders>
        <w:top w:val="single" w:sz="8" w:space="0" w:color="BFD6ED" w:themeColor="accent6"/>
        <w:left w:val="single" w:sz="8" w:space="0" w:color="BFD6ED" w:themeColor="accent6"/>
        <w:bottom w:val="single" w:sz="8" w:space="0" w:color="BFD6ED" w:themeColor="accent6"/>
        <w:right w:val="single" w:sz="8" w:space="0" w:color="BFD6ED" w:themeColor="accent6"/>
      </w:tblBorders>
    </w:tblPr>
    <w:tblStylePr w:type="firstRow">
      <w:rPr>
        <w:sz w:val="24"/>
        <w:szCs w:val="24"/>
      </w:rPr>
      <w:tblPr/>
      <w:tcPr>
        <w:tcBorders>
          <w:top w:val="nil"/>
          <w:left w:val="nil"/>
          <w:bottom w:val="single" w:sz="24" w:space="0" w:color="BFD6ED" w:themeColor="accent6"/>
          <w:right w:val="nil"/>
          <w:insideH w:val="nil"/>
          <w:insideV w:val="nil"/>
        </w:tcBorders>
        <w:shd w:val="clear" w:color="auto" w:fill="FFFFFF" w:themeFill="background1"/>
      </w:tcPr>
    </w:tblStylePr>
    <w:tblStylePr w:type="lastRow">
      <w:tblPr/>
      <w:tcPr>
        <w:tcBorders>
          <w:top w:val="single" w:sz="8" w:space="0" w:color="BFD6E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D6ED" w:themeColor="accent6"/>
          <w:insideH w:val="nil"/>
          <w:insideV w:val="nil"/>
        </w:tcBorders>
        <w:shd w:val="clear" w:color="auto" w:fill="FFFFFF" w:themeFill="background1"/>
      </w:tcPr>
    </w:tblStylePr>
    <w:tblStylePr w:type="lastCol">
      <w:tblPr/>
      <w:tcPr>
        <w:tcBorders>
          <w:top w:val="nil"/>
          <w:left w:val="single" w:sz="8" w:space="0" w:color="BFD6E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4FA" w:themeFill="accent6" w:themeFillTint="3F"/>
      </w:tcPr>
    </w:tblStylePr>
    <w:tblStylePr w:type="band1Horz">
      <w:tblPr/>
      <w:tcPr>
        <w:tcBorders>
          <w:top w:val="nil"/>
          <w:bottom w:val="nil"/>
          <w:insideH w:val="nil"/>
          <w:insideV w:val="nil"/>
        </w:tcBorders>
        <w:shd w:val="clear" w:color="auto" w:fill="EFF4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911DE3"/>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911DE3"/>
    <w:pPr>
      <w:spacing w:line="240" w:lineRule="auto"/>
    </w:pPr>
    <w:tblPr>
      <w:tblStyleRowBandSize w:val="1"/>
      <w:tblStyleColBandSize w:val="1"/>
      <w:tblBorders>
        <w:top w:val="single" w:sz="8" w:space="0" w:color="0B83FF" w:themeColor="accent1" w:themeTint="BF"/>
        <w:left w:val="single" w:sz="8" w:space="0" w:color="0B83FF" w:themeColor="accent1" w:themeTint="BF"/>
        <w:bottom w:val="single" w:sz="8" w:space="0" w:color="0B83FF" w:themeColor="accent1" w:themeTint="BF"/>
        <w:right w:val="single" w:sz="8" w:space="0" w:color="0B83FF" w:themeColor="accent1" w:themeTint="BF"/>
        <w:insideH w:val="single" w:sz="8" w:space="0" w:color="0B83FF" w:themeColor="accent1" w:themeTint="BF"/>
      </w:tblBorders>
    </w:tblPr>
    <w:tblStylePr w:type="firstRow">
      <w:pPr>
        <w:spacing w:before="0" w:after="0" w:line="240" w:lineRule="auto"/>
      </w:pPr>
      <w:rPr>
        <w:b/>
        <w:bCs/>
        <w:color w:val="FFFFFF" w:themeColor="background1"/>
      </w:rPr>
      <w:tblPr/>
      <w:tcPr>
        <w:tcBorders>
          <w:top w:val="single" w:sz="8" w:space="0" w:color="0B83FF" w:themeColor="accent1" w:themeTint="BF"/>
          <w:left w:val="single" w:sz="8" w:space="0" w:color="0B83FF" w:themeColor="accent1" w:themeTint="BF"/>
          <w:bottom w:val="single" w:sz="8" w:space="0" w:color="0B83FF" w:themeColor="accent1" w:themeTint="BF"/>
          <w:right w:val="single" w:sz="8" w:space="0" w:color="0B83FF" w:themeColor="accent1" w:themeTint="BF"/>
          <w:insideH w:val="nil"/>
          <w:insideV w:val="nil"/>
        </w:tcBorders>
        <w:shd w:val="clear" w:color="auto" w:fill="005CB9" w:themeFill="accent1"/>
      </w:tcPr>
    </w:tblStylePr>
    <w:tblStylePr w:type="lastRow">
      <w:pPr>
        <w:spacing w:before="0" w:after="0" w:line="240" w:lineRule="auto"/>
      </w:pPr>
      <w:rPr>
        <w:b/>
        <w:bCs/>
      </w:rPr>
      <w:tblPr/>
      <w:tcPr>
        <w:tcBorders>
          <w:top w:val="double" w:sz="6" w:space="0" w:color="0B83FF" w:themeColor="accent1" w:themeTint="BF"/>
          <w:left w:val="single" w:sz="8" w:space="0" w:color="0B83FF" w:themeColor="accent1" w:themeTint="BF"/>
          <w:bottom w:val="single" w:sz="8" w:space="0" w:color="0B83FF" w:themeColor="accent1" w:themeTint="BF"/>
          <w:right w:val="single" w:sz="8" w:space="0" w:color="0B83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ED6FF" w:themeFill="accent1" w:themeFillTint="3F"/>
      </w:tcPr>
    </w:tblStylePr>
    <w:tblStylePr w:type="band1Horz">
      <w:tblPr/>
      <w:tcPr>
        <w:tcBorders>
          <w:insideH w:val="nil"/>
          <w:insideV w:val="nil"/>
        </w:tcBorders>
        <w:shd w:val="clear" w:color="auto" w:fill="AED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911DE3"/>
    <w:pPr>
      <w:spacing w:line="240" w:lineRule="auto"/>
    </w:pPr>
    <w:tblPr>
      <w:tblStyleRowBandSize w:val="1"/>
      <w:tblStyleColBandSize w:val="1"/>
      <w:tblBorders>
        <w:top w:val="single" w:sz="8" w:space="0" w:color="CCCCCC" w:themeColor="accent2" w:themeTint="BF"/>
        <w:left w:val="single" w:sz="8" w:space="0" w:color="CCCCCC" w:themeColor="accent2" w:themeTint="BF"/>
        <w:bottom w:val="single" w:sz="8" w:space="0" w:color="CCCCCC" w:themeColor="accent2" w:themeTint="BF"/>
        <w:right w:val="single" w:sz="8" w:space="0" w:color="CCCCCC" w:themeColor="accent2" w:themeTint="BF"/>
        <w:insideH w:val="single" w:sz="8" w:space="0" w:color="CCCCCC" w:themeColor="accent2" w:themeTint="BF"/>
      </w:tblBorders>
    </w:tblPr>
    <w:tblStylePr w:type="firstRow">
      <w:pPr>
        <w:spacing w:before="0" w:after="0" w:line="240" w:lineRule="auto"/>
      </w:pPr>
      <w:rPr>
        <w:b/>
        <w:bCs/>
        <w:color w:val="FFFFFF" w:themeColor="background1"/>
      </w:rPr>
      <w:tblPr/>
      <w:tcPr>
        <w:tcBorders>
          <w:top w:val="single" w:sz="8" w:space="0" w:color="CCCCCC" w:themeColor="accent2" w:themeTint="BF"/>
          <w:left w:val="single" w:sz="8" w:space="0" w:color="CCCCCC" w:themeColor="accent2" w:themeTint="BF"/>
          <w:bottom w:val="single" w:sz="8" w:space="0" w:color="CCCCCC" w:themeColor="accent2" w:themeTint="BF"/>
          <w:right w:val="single" w:sz="8" w:space="0" w:color="CCCCCC" w:themeColor="accent2" w:themeTint="BF"/>
          <w:insideH w:val="nil"/>
          <w:insideV w:val="nil"/>
        </w:tcBorders>
        <w:shd w:val="clear" w:color="auto" w:fill="BBBBBB" w:themeFill="accent2"/>
      </w:tcPr>
    </w:tblStylePr>
    <w:tblStylePr w:type="lastRow">
      <w:pPr>
        <w:spacing w:before="0" w:after="0" w:line="240" w:lineRule="auto"/>
      </w:pPr>
      <w:rPr>
        <w:b/>
        <w:bCs/>
      </w:rPr>
      <w:tblPr/>
      <w:tcPr>
        <w:tcBorders>
          <w:top w:val="double" w:sz="6" w:space="0" w:color="CCCCCC" w:themeColor="accent2" w:themeTint="BF"/>
          <w:left w:val="single" w:sz="8" w:space="0" w:color="CCCCCC" w:themeColor="accent2" w:themeTint="BF"/>
          <w:bottom w:val="single" w:sz="8" w:space="0" w:color="CCCCCC" w:themeColor="accent2" w:themeTint="BF"/>
          <w:right w:val="single" w:sz="8" w:space="0" w:color="CCCCC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EEEE" w:themeFill="accent2" w:themeFillTint="3F"/>
      </w:tcPr>
    </w:tblStylePr>
    <w:tblStylePr w:type="band1Horz">
      <w:tblPr/>
      <w:tcPr>
        <w:tcBorders>
          <w:insideH w:val="nil"/>
          <w:insideV w:val="nil"/>
        </w:tcBorders>
        <w:shd w:val="clear" w:color="auto" w:fill="EEEEE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911DE3"/>
    <w:pPr>
      <w:spacing w:line="240" w:lineRule="auto"/>
    </w:pPr>
    <w:tblPr>
      <w:tblStyleRowBandSize w:val="1"/>
      <w:tblStyleColBandSize w:val="1"/>
      <w:tblBorders>
        <w:top w:val="single" w:sz="8" w:space="0" w:color="9EC1E4" w:themeColor="accent3" w:themeTint="BF"/>
        <w:left w:val="single" w:sz="8" w:space="0" w:color="9EC1E4" w:themeColor="accent3" w:themeTint="BF"/>
        <w:bottom w:val="single" w:sz="8" w:space="0" w:color="9EC1E4" w:themeColor="accent3" w:themeTint="BF"/>
        <w:right w:val="single" w:sz="8" w:space="0" w:color="9EC1E4" w:themeColor="accent3" w:themeTint="BF"/>
        <w:insideH w:val="single" w:sz="8" w:space="0" w:color="9EC1E4" w:themeColor="accent3" w:themeTint="BF"/>
      </w:tblBorders>
    </w:tblPr>
    <w:tblStylePr w:type="firstRow">
      <w:pPr>
        <w:spacing w:before="0" w:after="0" w:line="240" w:lineRule="auto"/>
      </w:pPr>
      <w:rPr>
        <w:b/>
        <w:bCs/>
        <w:color w:val="FFFFFF" w:themeColor="background1"/>
      </w:rPr>
      <w:tblPr/>
      <w:tcPr>
        <w:tcBorders>
          <w:top w:val="single" w:sz="8" w:space="0" w:color="9EC1E4" w:themeColor="accent3" w:themeTint="BF"/>
          <w:left w:val="single" w:sz="8" w:space="0" w:color="9EC1E4" w:themeColor="accent3" w:themeTint="BF"/>
          <w:bottom w:val="single" w:sz="8" w:space="0" w:color="9EC1E4" w:themeColor="accent3" w:themeTint="BF"/>
          <w:right w:val="single" w:sz="8" w:space="0" w:color="9EC1E4" w:themeColor="accent3" w:themeTint="BF"/>
          <w:insideH w:val="nil"/>
          <w:insideV w:val="nil"/>
        </w:tcBorders>
        <w:shd w:val="clear" w:color="auto" w:fill="7FADDC" w:themeFill="accent3"/>
      </w:tcPr>
    </w:tblStylePr>
    <w:tblStylePr w:type="lastRow">
      <w:pPr>
        <w:spacing w:before="0" w:after="0" w:line="240" w:lineRule="auto"/>
      </w:pPr>
      <w:rPr>
        <w:b/>
        <w:bCs/>
      </w:rPr>
      <w:tblPr/>
      <w:tcPr>
        <w:tcBorders>
          <w:top w:val="double" w:sz="6" w:space="0" w:color="9EC1E4" w:themeColor="accent3" w:themeTint="BF"/>
          <w:left w:val="single" w:sz="8" w:space="0" w:color="9EC1E4" w:themeColor="accent3" w:themeTint="BF"/>
          <w:bottom w:val="single" w:sz="8" w:space="0" w:color="9EC1E4" w:themeColor="accent3" w:themeTint="BF"/>
          <w:right w:val="single" w:sz="8" w:space="0" w:color="9EC1E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EAF6" w:themeFill="accent3" w:themeFillTint="3F"/>
      </w:tcPr>
    </w:tblStylePr>
    <w:tblStylePr w:type="band1Horz">
      <w:tblPr/>
      <w:tcPr>
        <w:tcBorders>
          <w:insideH w:val="nil"/>
          <w:insideV w:val="nil"/>
        </w:tcBorders>
        <w:shd w:val="clear" w:color="auto" w:fill="DFE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911DE3"/>
    <w:pPr>
      <w:spacing w:line="240" w:lineRule="auto"/>
    </w:pPr>
    <w:tblPr>
      <w:tblStyleRowBandSize w:val="1"/>
      <w:tblStyleColBandSize w:val="1"/>
      <w:tblBorders>
        <w:top w:val="single" w:sz="8" w:space="0" w:color="98989C" w:themeColor="accent4" w:themeTint="BF"/>
        <w:left w:val="single" w:sz="8" w:space="0" w:color="98989C" w:themeColor="accent4" w:themeTint="BF"/>
        <w:bottom w:val="single" w:sz="8" w:space="0" w:color="98989C" w:themeColor="accent4" w:themeTint="BF"/>
        <w:right w:val="single" w:sz="8" w:space="0" w:color="98989C" w:themeColor="accent4" w:themeTint="BF"/>
        <w:insideH w:val="single" w:sz="8" w:space="0" w:color="98989C" w:themeColor="accent4" w:themeTint="BF"/>
      </w:tblBorders>
    </w:tblPr>
    <w:tblStylePr w:type="firstRow">
      <w:pPr>
        <w:spacing w:before="0" w:after="0" w:line="240" w:lineRule="auto"/>
      </w:pPr>
      <w:rPr>
        <w:b/>
        <w:bCs/>
        <w:color w:val="FFFFFF" w:themeColor="background1"/>
      </w:rPr>
      <w:tblPr/>
      <w:tcPr>
        <w:tcBorders>
          <w:top w:val="single" w:sz="8" w:space="0" w:color="98989C" w:themeColor="accent4" w:themeTint="BF"/>
          <w:left w:val="single" w:sz="8" w:space="0" w:color="98989C" w:themeColor="accent4" w:themeTint="BF"/>
          <w:bottom w:val="single" w:sz="8" w:space="0" w:color="98989C" w:themeColor="accent4" w:themeTint="BF"/>
          <w:right w:val="single" w:sz="8" w:space="0" w:color="98989C" w:themeColor="accent4" w:themeTint="BF"/>
          <w:insideH w:val="nil"/>
          <w:insideV w:val="nil"/>
        </w:tcBorders>
        <w:shd w:val="clear" w:color="auto" w:fill="76777B" w:themeFill="accent4"/>
      </w:tcPr>
    </w:tblStylePr>
    <w:tblStylePr w:type="lastRow">
      <w:pPr>
        <w:spacing w:before="0" w:after="0" w:line="240" w:lineRule="auto"/>
      </w:pPr>
      <w:rPr>
        <w:b/>
        <w:bCs/>
      </w:rPr>
      <w:tblPr/>
      <w:tcPr>
        <w:tcBorders>
          <w:top w:val="double" w:sz="6" w:space="0" w:color="98989C" w:themeColor="accent4" w:themeTint="BF"/>
          <w:left w:val="single" w:sz="8" w:space="0" w:color="98989C" w:themeColor="accent4" w:themeTint="BF"/>
          <w:bottom w:val="single" w:sz="8" w:space="0" w:color="98989C" w:themeColor="accent4" w:themeTint="BF"/>
          <w:right w:val="single" w:sz="8" w:space="0" w:color="98989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CDDDE" w:themeFill="accent4" w:themeFillTint="3F"/>
      </w:tcPr>
    </w:tblStylePr>
    <w:tblStylePr w:type="band1Horz">
      <w:tblPr/>
      <w:tcPr>
        <w:tcBorders>
          <w:insideH w:val="nil"/>
          <w:insideV w:val="nil"/>
        </w:tcBorders>
        <w:shd w:val="clear" w:color="auto" w:fill="DCDDD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911DE3"/>
    <w:pPr>
      <w:spacing w:line="240" w:lineRule="auto"/>
    </w:pPr>
    <w:tblPr>
      <w:tblStyleRowBandSize w:val="1"/>
      <w:tblStyleColBandSize w:val="1"/>
      <w:tblBorders>
        <w:top w:val="single" w:sz="8" w:space="0" w:color="384F6D" w:themeColor="accent5" w:themeTint="BF"/>
        <w:left w:val="single" w:sz="8" w:space="0" w:color="384F6D" w:themeColor="accent5" w:themeTint="BF"/>
        <w:bottom w:val="single" w:sz="8" w:space="0" w:color="384F6D" w:themeColor="accent5" w:themeTint="BF"/>
        <w:right w:val="single" w:sz="8" w:space="0" w:color="384F6D" w:themeColor="accent5" w:themeTint="BF"/>
        <w:insideH w:val="single" w:sz="8" w:space="0" w:color="384F6D" w:themeColor="accent5" w:themeTint="BF"/>
      </w:tblBorders>
    </w:tblPr>
    <w:tblStylePr w:type="firstRow">
      <w:pPr>
        <w:spacing w:before="0" w:after="0" w:line="240" w:lineRule="auto"/>
      </w:pPr>
      <w:rPr>
        <w:b/>
        <w:bCs/>
        <w:color w:val="FFFFFF" w:themeColor="background1"/>
      </w:rPr>
      <w:tblPr/>
      <w:tcPr>
        <w:tcBorders>
          <w:top w:val="single" w:sz="8" w:space="0" w:color="384F6D" w:themeColor="accent5" w:themeTint="BF"/>
          <w:left w:val="single" w:sz="8" w:space="0" w:color="384F6D" w:themeColor="accent5" w:themeTint="BF"/>
          <w:bottom w:val="single" w:sz="8" w:space="0" w:color="384F6D" w:themeColor="accent5" w:themeTint="BF"/>
          <w:right w:val="single" w:sz="8" w:space="0" w:color="384F6D" w:themeColor="accent5" w:themeTint="BF"/>
          <w:insideH w:val="nil"/>
          <w:insideV w:val="nil"/>
        </w:tcBorders>
        <w:shd w:val="clear" w:color="auto" w:fill="111821" w:themeFill="accent5"/>
      </w:tcPr>
    </w:tblStylePr>
    <w:tblStylePr w:type="lastRow">
      <w:pPr>
        <w:spacing w:before="0" w:after="0" w:line="240" w:lineRule="auto"/>
      </w:pPr>
      <w:rPr>
        <w:b/>
        <w:bCs/>
      </w:rPr>
      <w:tblPr/>
      <w:tcPr>
        <w:tcBorders>
          <w:top w:val="double" w:sz="6" w:space="0" w:color="384F6D" w:themeColor="accent5" w:themeTint="BF"/>
          <w:left w:val="single" w:sz="8" w:space="0" w:color="384F6D" w:themeColor="accent5" w:themeTint="BF"/>
          <w:bottom w:val="single" w:sz="8" w:space="0" w:color="384F6D" w:themeColor="accent5" w:themeTint="BF"/>
          <w:right w:val="single" w:sz="8" w:space="0" w:color="384F6D" w:themeColor="accent5" w:themeTint="BF"/>
          <w:insideH w:val="nil"/>
          <w:insideV w:val="nil"/>
        </w:tcBorders>
      </w:tcPr>
    </w:tblStylePr>
    <w:tblStylePr w:type="firstCol">
      <w:rPr>
        <w:b/>
        <w:bCs/>
      </w:rPr>
    </w:tblStylePr>
    <w:tblStylePr w:type="lastCol">
      <w:rPr>
        <w:b/>
        <w:bCs/>
      </w:rPr>
    </w:tblStylePr>
    <w:tblStylePr w:type="band1Vert">
      <w:tblPr/>
      <w:tcPr>
        <w:shd w:val="clear" w:color="auto" w:fill="B4C3D8" w:themeFill="accent5" w:themeFillTint="3F"/>
      </w:tcPr>
    </w:tblStylePr>
    <w:tblStylePr w:type="band1Horz">
      <w:tblPr/>
      <w:tcPr>
        <w:tcBorders>
          <w:insideH w:val="nil"/>
          <w:insideV w:val="nil"/>
        </w:tcBorders>
        <w:shd w:val="clear" w:color="auto" w:fill="B4C3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911DE3"/>
    <w:pPr>
      <w:spacing w:line="240" w:lineRule="auto"/>
    </w:pPr>
    <w:tblPr>
      <w:tblStyleRowBandSize w:val="1"/>
      <w:tblStyleColBandSize w:val="1"/>
      <w:tblBorders>
        <w:top w:val="single" w:sz="8" w:space="0" w:color="CEE0F1" w:themeColor="accent6" w:themeTint="BF"/>
        <w:left w:val="single" w:sz="8" w:space="0" w:color="CEE0F1" w:themeColor="accent6" w:themeTint="BF"/>
        <w:bottom w:val="single" w:sz="8" w:space="0" w:color="CEE0F1" w:themeColor="accent6" w:themeTint="BF"/>
        <w:right w:val="single" w:sz="8" w:space="0" w:color="CEE0F1" w:themeColor="accent6" w:themeTint="BF"/>
        <w:insideH w:val="single" w:sz="8" w:space="0" w:color="CEE0F1" w:themeColor="accent6" w:themeTint="BF"/>
      </w:tblBorders>
    </w:tblPr>
    <w:tblStylePr w:type="firstRow">
      <w:pPr>
        <w:spacing w:before="0" w:after="0" w:line="240" w:lineRule="auto"/>
      </w:pPr>
      <w:rPr>
        <w:b/>
        <w:bCs/>
        <w:color w:val="FFFFFF" w:themeColor="background1"/>
      </w:rPr>
      <w:tblPr/>
      <w:tcPr>
        <w:tcBorders>
          <w:top w:val="single" w:sz="8" w:space="0" w:color="CEE0F1" w:themeColor="accent6" w:themeTint="BF"/>
          <w:left w:val="single" w:sz="8" w:space="0" w:color="CEE0F1" w:themeColor="accent6" w:themeTint="BF"/>
          <w:bottom w:val="single" w:sz="8" w:space="0" w:color="CEE0F1" w:themeColor="accent6" w:themeTint="BF"/>
          <w:right w:val="single" w:sz="8" w:space="0" w:color="CEE0F1" w:themeColor="accent6" w:themeTint="BF"/>
          <w:insideH w:val="nil"/>
          <w:insideV w:val="nil"/>
        </w:tcBorders>
        <w:shd w:val="clear" w:color="auto" w:fill="BFD6ED" w:themeFill="accent6"/>
      </w:tcPr>
    </w:tblStylePr>
    <w:tblStylePr w:type="lastRow">
      <w:pPr>
        <w:spacing w:before="0" w:after="0" w:line="240" w:lineRule="auto"/>
      </w:pPr>
      <w:rPr>
        <w:b/>
        <w:bCs/>
      </w:rPr>
      <w:tblPr/>
      <w:tcPr>
        <w:tcBorders>
          <w:top w:val="double" w:sz="6" w:space="0" w:color="CEE0F1" w:themeColor="accent6" w:themeTint="BF"/>
          <w:left w:val="single" w:sz="8" w:space="0" w:color="CEE0F1" w:themeColor="accent6" w:themeTint="BF"/>
          <w:bottom w:val="single" w:sz="8" w:space="0" w:color="CEE0F1" w:themeColor="accent6" w:themeTint="BF"/>
          <w:right w:val="single" w:sz="8" w:space="0" w:color="CEE0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F4FA" w:themeFill="accent6" w:themeFillTint="3F"/>
      </w:tcPr>
    </w:tblStylePr>
    <w:tblStylePr w:type="band1Horz">
      <w:tblPr/>
      <w:tcPr>
        <w:tcBorders>
          <w:insideH w:val="nil"/>
          <w:insideV w:val="nil"/>
        </w:tcBorders>
        <w:shd w:val="clear" w:color="auto" w:fill="EFF4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CB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CB9" w:themeFill="accent1"/>
      </w:tcPr>
    </w:tblStylePr>
    <w:tblStylePr w:type="lastCol">
      <w:rPr>
        <w:b/>
        <w:bCs/>
        <w:color w:val="FFFFFF" w:themeColor="background1"/>
      </w:rPr>
      <w:tblPr/>
      <w:tcPr>
        <w:tcBorders>
          <w:left w:val="nil"/>
          <w:right w:val="nil"/>
          <w:insideH w:val="nil"/>
          <w:insideV w:val="nil"/>
        </w:tcBorders>
        <w:shd w:val="clear" w:color="auto" w:fill="005CB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BBB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BBBB" w:themeFill="accent2"/>
      </w:tcPr>
    </w:tblStylePr>
    <w:tblStylePr w:type="lastCol">
      <w:rPr>
        <w:b/>
        <w:bCs/>
        <w:color w:val="FFFFFF" w:themeColor="background1"/>
      </w:rPr>
      <w:tblPr/>
      <w:tcPr>
        <w:tcBorders>
          <w:left w:val="nil"/>
          <w:right w:val="nil"/>
          <w:insideH w:val="nil"/>
          <w:insideV w:val="nil"/>
        </w:tcBorders>
        <w:shd w:val="clear" w:color="auto" w:fill="BBBBB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ADD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ADDC" w:themeFill="accent3"/>
      </w:tcPr>
    </w:tblStylePr>
    <w:tblStylePr w:type="lastCol">
      <w:rPr>
        <w:b/>
        <w:bCs/>
        <w:color w:val="FFFFFF" w:themeColor="background1"/>
      </w:rPr>
      <w:tblPr/>
      <w:tcPr>
        <w:tcBorders>
          <w:left w:val="nil"/>
          <w:right w:val="nil"/>
          <w:insideH w:val="nil"/>
          <w:insideV w:val="nil"/>
        </w:tcBorders>
        <w:shd w:val="clear" w:color="auto" w:fill="7FADD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777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777B" w:themeFill="accent4"/>
      </w:tcPr>
    </w:tblStylePr>
    <w:tblStylePr w:type="lastCol">
      <w:rPr>
        <w:b/>
        <w:bCs/>
        <w:color w:val="FFFFFF" w:themeColor="background1"/>
      </w:rPr>
      <w:tblPr/>
      <w:tcPr>
        <w:tcBorders>
          <w:left w:val="nil"/>
          <w:right w:val="nil"/>
          <w:insideH w:val="nil"/>
          <w:insideV w:val="nil"/>
        </w:tcBorders>
        <w:shd w:val="clear" w:color="auto" w:fill="76777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182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11821" w:themeFill="accent5"/>
      </w:tcPr>
    </w:tblStylePr>
    <w:tblStylePr w:type="lastCol">
      <w:rPr>
        <w:b/>
        <w:bCs/>
        <w:color w:val="FFFFFF" w:themeColor="background1"/>
      </w:rPr>
      <w:tblPr/>
      <w:tcPr>
        <w:tcBorders>
          <w:left w:val="nil"/>
          <w:right w:val="nil"/>
          <w:insideH w:val="nil"/>
          <w:insideV w:val="nil"/>
        </w:tcBorders>
        <w:shd w:val="clear" w:color="auto" w:fill="11182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D6E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D6ED" w:themeFill="accent6"/>
      </w:tcPr>
    </w:tblStylePr>
    <w:tblStylePr w:type="lastCol">
      <w:rPr>
        <w:b/>
        <w:bCs/>
        <w:color w:val="FFFFFF" w:themeColor="background1"/>
      </w:rPr>
      <w:tblPr/>
      <w:tcPr>
        <w:tcBorders>
          <w:left w:val="nil"/>
          <w:right w:val="nil"/>
          <w:insideH w:val="nil"/>
          <w:insideV w:val="nil"/>
        </w:tcBorders>
        <w:shd w:val="clear" w:color="auto" w:fill="BFD6E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911DE3"/>
    <w:rPr>
      <w:color w:val="2B579A"/>
      <w:shd w:val="clear" w:color="auto" w:fill="E1DFDD"/>
    </w:rPr>
  </w:style>
  <w:style w:type="paragraph" w:styleId="MessageHeader">
    <w:name w:val="Message Header"/>
    <w:basedOn w:val="Normal"/>
    <w:link w:val="MessageHeaderChar"/>
    <w:uiPriority w:val="99"/>
    <w:semiHidden/>
    <w:rsid w:val="00911DE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Arial"/>
      <w:sz w:val="24"/>
      <w:szCs w:val="24"/>
    </w:rPr>
  </w:style>
  <w:style w:type="character" w:customStyle="1" w:styleId="MessageHeaderChar">
    <w:name w:val="Message Header Char"/>
    <w:basedOn w:val="DefaultParagraphFont"/>
    <w:link w:val="MessageHeader"/>
    <w:uiPriority w:val="99"/>
    <w:semiHidden/>
    <w:rsid w:val="00A44986"/>
    <w:rPr>
      <w:rFonts w:asciiTheme="minorHAnsi" w:eastAsiaTheme="majorEastAsia" w:hAnsiTheme="minorHAnsi" w:cs="Arial"/>
      <w:color w:val="000000"/>
      <w:sz w:val="24"/>
      <w:szCs w:val="24"/>
      <w:shd w:val="pct20" w:color="auto" w:fill="auto"/>
      <w:lang w:val="en-US"/>
    </w:rPr>
  </w:style>
  <w:style w:type="paragraph" w:styleId="NoSpacing">
    <w:name w:val="No Spacing"/>
    <w:semiHidden/>
    <w:rsid w:val="00911DE3"/>
    <w:pPr>
      <w:spacing w:line="240" w:lineRule="auto"/>
    </w:pPr>
    <w:rPr>
      <w:lang w:val="en-US"/>
    </w:rPr>
  </w:style>
  <w:style w:type="paragraph" w:styleId="NormalWeb">
    <w:name w:val="Normal (Web)"/>
    <w:basedOn w:val="Normal"/>
    <w:uiPriority w:val="99"/>
    <w:semiHidden/>
    <w:rsid w:val="00911DE3"/>
    <w:rPr>
      <w:rFonts w:cs="Arial"/>
      <w:sz w:val="24"/>
      <w:szCs w:val="24"/>
    </w:rPr>
  </w:style>
  <w:style w:type="paragraph" w:styleId="NormalIndent">
    <w:name w:val="Normal Indent"/>
    <w:basedOn w:val="Normal"/>
    <w:semiHidden/>
    <w:rsid w:val="00757937"/>
    <w:pPr>
      <w:ind w:left="284"/>
    </w:pPr>
  </w:style>
  <w:style w:type="paragraph" w:styleId="NoteHeading">
    <w:name w:val="Note Heading"/>
    <w:basedOn w:val="Normal"/>
    <w:next w:val="Normal"/>
    <w:link w:val="NoteHeadingChar"/>
    <w:uiPriority w:val="99"/>
    <w:semiHidden/>
    <w:rsid w:val="00911DE3"/>
  </w:style>
  <w:style w:type="character" w:customStyle="1" w:styleId="NoteHeadingChar">
    <w:name w:val="Note Heading Char"/>
    <w:basedOn w:val="DefaultParagraphFont"/>
    <w:link w:val="NoteHeading"/>
    <w:uiPriority w:val="99"/>
    <w:semiHidden/>
    <w:rsid w:val="00A44986"/>
    <w:rPr>
      <w:rFonts w:asciiTheme="minorHAnsi" w:eastAsia="Trebuchet MS" w:hAnsiTheme="minorHAnsi" w:cs="Trebuchet MS"/>
      <w:color w:val="000000"/>
      <w:lang w:val="en-US"/>
    </w:rPr>
  </w:style>
  <w:style w:type="character" w:styleId="PageNumber">
    <w:name w:val="page number"/>
    <w:basedOn w:val="DefaultParagraphFont"/>
    <w:uiPriority w:val="99"/>
    <w:semiHidden/>
    <w:rsid w:val="00911DE3"/>
  </w:style>
  <w:style w:type="character" w:styleId="PlaceholderText">
    <w:name w:val="Placeholder Text"/>
    <w:basedOn w:val="DefaultParagraphFont"/>
    <w:uiPriority w:val="99"/>
    <w:semiHidden/>
    <w:rsid w:val="00911DE3"/>
    <w:rPr>
      <w:color w:val="808080"/>
    </w:rPr>
  </w:style>
  <w:style w:type="table" w:styleId="PlainTable1">
    <w:name w:val="Plain Table 1"/>
    <w:basedOn w:val="TableNormal"/>
    <w:uiPriority w:val="99"/>
    <w:rsid w:val="00911DE3"/>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911DE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911DE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911DE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911DE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11DE3"/>
    <w:rPr>
      <w:rFonts w:cs="Arial"/>
      <w:sz w:val="21"/>
      <w:szCs w:val="21"/>
    </w:rPr>
  </w:style>
  <w:style w:type="character" w:customStyle="1" w:styleId="PlainTextChar">
    <w:name w:val="Plain Text Char"/>
    <w:basedOn w:val="DefaultParagraphFont"/>
    <w:link w:val="PlainText"/>
    <w:uiPriority w:val="99"/>
    <w:semiHidden/>
    <w:rsid w:val="00A44986"/>
    <w:rPr>
      <w:rFonts w:asciiTheme="minorHAnsi" w:eastAsia="Trebuchet MS" w:hAnsiTheme="minorHAnsi" w:cs="Arial"/>
      <w:color w:val="000000"/>
      <w:sz w:val="21"/>
      <w:szCs w:val="21"/>
      <w:lang w:val="en-US"/>
    </w:rPr>
  </w:style>
  <w:style w:type="paragraph" w:styleId="Quote">
    <w:name w:val="Quote"/>
    <w:basedOn w:val="Normal"/>
    <w:next w:val="Normal"/>
    <w:link w:val="QuoteChar"/>
    <w:uiPriority w:val="12"/>
    <w:semiHidden/>
    <w:rsid w:val="00847018"/>
    <w:pPr>
      <w:spacing w:line="440" w:lineRule="atLeast"/>
      <w:ind w:left="567" w:right="567"/>
      <w:jc w:val="right"/>
    </w:pPr>
    <w:rPr>
      <w:iCs/>
      <w:color w:val="BBBBBB" w:themeColor="accent2"/>
      <w:sz w:val="36"/>
    </w:rPr>
  </w:style>
  <w:style w:type="character" w:customStyle="1" w:styleId="QuoteChar">
    <w:name w:val="Quote Char"/>
    <w:basedOn w:val="DefaultParagraphFont"/>
    <w:link w:val="Quote"/>
    <w:uiPriority w:val="12"/>
    <w:semiHidden/>
    <w:rsid w:val="008A4999"/>
    <w:rPr>
      <w:iCs/>
      <w:color w:val="BBBBBB" w:themeColor="accent2"/>
      <w:sz w:val="36"/>
      <w:lang w:val="en-US"/>
    </w:rPr>
  </w:style>
  <w:style w:type="paragraph" w:styleId="Salutation">
    <w:name w:val="Salutation"/>
    <w:basedOn w:val="Normal"/>
    <w:next w:val="Normal"/>
    <w:link w:val="SalutationChar"/>
    <w:uiPriority w:val="99"/>
    <w:semiHidden/>
    <w:rsid w:val="00911DE3"/>
  </w:style>
  <w:style w:type="character" w:customStyle="1" w:styleId="SalutationChar">
    <w:name w:val="Salutation Char"/>
    <w:basedOn w:val="DefaultParagraphFont"/>
    <w:link w:val="Salutation"/>
    <w:uiPriority w:val="99"/>
    <w:semiHidden/>
    <w:rsid w:val="00A44986"/>
  </w:style>
  <w:style w:type="paragraph" w:styleId="Signature">
    <w:name w:val="Signature"/>
    <w:basedOn w:val="Normal"/>
    <w:link w:val="SignatureChar"/>
    <w:uiPriority w:val="99"/>
    <w:semiHidden/>
    <w:rsid w:val="00911DE3"/>
    <w:pPr>
      <w:ind w:left="4252"/>
    </w:pPr>
  </w:style>
  <w:style w:type="character" w:customStyle="1" w:styleId="SignatureChar">
    <w:name w:val="Signature Char"/>
    <w:basedOn w:val="DefaultParagraphFont"/>
    <w:link w:val="Signature"/>
    <w:uiPriority w:val="99"/>
    <w:semiHidden/>
    <w:rsid w:val="00A44986"/>
    <w:rPr>
      <w:rFonts w:asciiTheme="minorHAnsi" w:eastAsia="Trebuchet MS" w:hAnsiTheme="minorHAnsi" w:cs="Trebuchet MS"/>
      <w:color w:val="000000"/>
      <w:lang w:val="en-US"/>
    </w:rPr>
  </w:style>
  <w:style w:type="character" w:styleId="SmartHyperlink">
    <w:name w:val="Smart Hyperlink"/>
    <w:basedOn w:val="DefaultParagraphFont"/>
    <w:uiPriority w:val="99"/>
    <w:semiHidden/>
    <w:rsid w:val="00911DE3"/>
    <w:rPr>
      <w:u w:val="dotted"/>
    </w:rPr>
  </w:style>
  <w:style w:type="character" w:styleId="SmartLink">
    <w:name w:val="Smart Link"/>
    <w:basedOn w:val="DefaultParagraphFont"/>
    <w:uiPriority w:val="99"/>
    <w:semiHidden/>
    <w:rsid w:val="00911DE3"/>
    <w:rPr>
      <w:color w:val="0000FF"/>
      <w:u w:val="single"/>
      <w:shd w:val="clear" w:color="auto" w:fill="F3F2F1"/>
    </w:rPr>
  </w:style>
  <w:style w:type="character" w:styleId="Strong">
    <w:name w:val="Strong"/>
    <w:basedOn w:val="DefaultParagraphFont"/>
    <w:uiPriority w:val="8"/>
    <w:semiHidden/>
    <w:qFormat/>
    <w:rsid w:val="00911DE3"/>
    <w:rPr>
      <w:b/>
      <w:bCs/>
    </w:rPr>
  </w:style>
  <w:style w:type="paragraph" w:styleId="Subtitle">
    <w:name w:val="Subtitle"/>
    <w:basedOn w:val="Normal"/>
    <w:next w:val="Normal"/>
    <w:link w:val="SubtitleChar"/>
    <w:uiPriority w:val="99"/>
    <w:semiHidden/>
    <w:qFormat/>
    <w:rsid w:val="00911DE3"/>
    <w:pPr>
      <w:numPr>
        <w:ilvl w:val="1"/>
      </w:numPr>
      <w:spacing w:after="160"/>
    </w:pPr>
    <w:rPr>
      <w:rFonts w:eastAsiaTheme="minorEastAsia" w:cs="Arial"/>
      <w:color w:val="5A5A5A" w:themeColor="text1" w:themeTint="A5"/>
      <w:spacing w:val="15"/>
      <w:sz w:val="22"/>
      <w:szCs w:val="22"/>
    </w:rPr>
  </w:style>
  <w:style w:type="character" w:customStyle="1" w:styleId="SubtitleChar">
    <w:name w:val="Subtitle Char"/>
    <w:basedOn w:val="DefaultParagraphFont"/>
    <w:link w:val="Subtitle"/>
    <w:uiPriority w:val="99"/>
    <w:semiHidden/>
    <w:rsid w:val="00A44986"/>
    <w:rPr>
      <w:rFonts w:eastAsiaTheme="minorEastAsia" w:cs="Arial"/>
      <w:color w:val="5A5A5A" w:themeColor="text1" w:themeTint="A5"/>
      <w:spacing w:val="15"/>
      <w:sz w:val="22"/>
      <w:szCs w:val="22"/>
    </w:rPr>
  </w:style>
  <w:style w:type="character" w:styleId="SubtleEmphasis">
    <w:name w:val="Subtle Emphasis"/>
    <w:basedOn w:val="DefaultParagraphFont"/>
    <w:uiPriority w:val="99"/>
    <w:semiHidden/>
    <w:qFormat/>
    <w:rsid w:val="00911DE3"/>
    <w:rPr>
      <w:i/>
      <w:iCs/>
      <w:color w:val="404040" w:themeColor="text1" w:themeTint="BF"/>
    </w:rPr>
  </w:style>
  <w:style w:type="character" w:styleId="SubtleReference">
    <w:name w:val="Subtle Reference"/>
    <w:basedOn w:val="DefaultParagraphFont"/>
    <w:uiPriority w:val="99"/>
    <w:semiHidden/>
    <w:qFormat/>
    <w:rsid w:val="00911DE3"/>
    <w:rPr>
      <w:smallCaps/>
      <w:color w:val="5A5A5A" w:themeColor="text1" w:themeTint="A5"/>
    </w:rPr>
  </w:style>
  <w:style w:type="table" w:styleId="Table3Deffects1">
    <w:name w:val="Table 3D effects 1"/>
    <w:basedOn w:val="TableNormal"/>
    <w:uiPriority w:val="99"/>
    <w:semiHidden/>
    <w:unhideWhenUsed/>
    <w:rsid w:val="00911D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1D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1D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1D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1D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1D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1D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1D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1D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1D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1D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1D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1D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1D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1D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911D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1D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1D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1D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1D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1D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911DE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11D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1D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1D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1D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11DE3"/>
    <w:pPr>
      <w:ind w:left="200" w:hanging="200"/>
    </w:pPr>
  </w:style>
  <w:style w:type="paragraph" w:styleId="TableofFigures">
    <w:name w:val="table of figures"/>
    <w:basedOn w:val="Normal"/>
    <w:next w:val="Normal"/>
    <w:uiPriority w:val="39"/>
    <w:semiHidden/>
    <w:rsid w:val="00911DE3"/>
  </w:style>
  <w:style w:type="table" w:styleId="TableProfessional">
    <w:name w:val="Table Professional"/>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1D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1D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1D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1D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1D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1D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1D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911DE3"/>
    <w:pPr>
      <w:contextualSpacing/>
    </w:pPr>
    <w:rPr>
      <w:rFonts w:eastAsiaTheme="majorEastAsia" w:cs="Arial"/>
      <w:spacing w:val="-10"/>
      <w:kern w:val="28"/>
      <w:sz w:val="56"/>
      <w:szCs w:val="56"/>
    </w:rPr>
  </w:style>
  <w:style w:type="character" w:customStyle="1" w:styleId="TitleChar">
    <w:name w:val="Title Char"/>
    <w:basedOn w:val="DefaultParagraphFont"/>
    <w:link w:val="Title"/>
    <w:uiPriority w:val="99"/>
    <w:semiHidden/>
    <w:rsid w:val="00A44986"/>
    <w:rPr>
      <w:rFonts w:asciiTheme="minorHAnsi" w:eastAsiaTheme="majorEastAsia" w:hAnsiTheme="minorHAnsi" w:cs="Arial"/>
      <w:color w:val="000000"/>
      <w:spacing w:val="-10"/>
      <w:kern w:val="28"/>
      <w:sz w:val="56"/>
      <w:szCs w:val="56"/>
      <w:lang w:val="en-US"/>
    </w:rPr>
  </w:style>
  <w:style w:type="paragraph" w:styleId="TOAHeading">
    <w:name w:val="toa heading"/>
    <w:basedOn w:val="Normal"/>
    <w:next w:val="Normal"/>
    <w:uiPriority w:val="39"/>
    <w:semiHidden/>
    <w:rsid w:val="00911DE3"/>
    <w:pPr>
      <w:spacing w:before="120"/>
    </w:pPr>
    <w:rPr>
      <w:rFonts w:eastAsiaTheme="majorEastAsia" w:cs="Arial"/>
      <w:b/>
      <w:bCs/>
      <w:sz w:val="24"/>
      <w:szCs w:val="24"/>
    </w:rPr>
  </w:style>
  <w:style w:type="paragraph" w:styleId="TOC1">
    <w:name w:val="toc 1"/>
    <w:basedOn w:val="Normal"/>
    <w:next w:val="Normal"/>
    <w:uiPriority w:val="39"/>
    <w:rsid w:val="00C91844"/>
    <w:pPr>
      <w:spacing w:before="160" w:after="40"/>
      <w:ind w:right="567"/>
      <w:contextualSpacing/>
    </w:pPr>
    <w:rPr>
      <w:b/>
    </w:rPr>
  </w:style>
  <w:style w:type="paragraph" w:styleId="TOC2">
    <w:name w:val="toc 2"/>
    <w:basedOn w:val="Normal"/>
    <w:next w:val="Normal"/>
    <w:uiPriority w:val="39"/>
    <w:semiHidden/>
    <w:rsid w:val="00C91844"/>
    <w:pPr>
      <w:spacing w:after="40"/>
      <w:ind w:right="567"/>
      <w:contextualSpacing/>
    </w:pPr>
  </w:style>
  <w:style w:type="paragraph" w:styleId="TOC3">
    <w:name w:val="toc 3"/>
    <w:basedOn w:val="Normal"/>
    <w:next w:val="Normal"/>
    <w:uiPriority w:val="39"/>
    <w:rsid w:val="00C91844"/>
    <w:pPr>
      <w:spacing w:after="40"/>
      <w:ind w:left="284" w:right="567"/>
      <w:contextualSpacing/>
    </w:pPr>
  </w:style>
  <w:style w:type="paragraph" w:styleId="TOC4">
    <w:name w:val="toc 4"/>
    <w:basedOn w:val="Normal"/>
    <w:next w:val="Normal"/>
    <w:uiPriority w:val="39"/>
    <w:semiHidden/>
    <w:rsid w:val="00C91844"/>
    <w:pPr>
      <w:spacing w:after="40"/>
      <w:ind w:left="567" w:right="567"/>
      <w:contextualSpacing/>
    </w:pPr>
  </w:style>
  <w:style w:type="paragraph" w:styleId="TOC5">
    <w:name w:val="toc 5"/>
    <w:basedOn w:val="Normal"/>
    <w:next w:val="Normal"/>
    <w:uiPriority w:val="39"/>
    <w:semiHidden/>
    <w:rsid w:val="00C91844"/>
    <w:pPr>
      <w:spacing w:after="40"/>
      <w:ind w:left="851" w:right="567"/>
      <w:contextualSpacing/>
    </w:pPr>
  </w:style>
  <w:style w:type="paragraph" w:styleId="TOC6">
    <w:name w:val="toc 6"/>
    <w:basedOn w:val="Normal"/>
    <w:next w:val="Normal"/>
    <w:uiPriority w:val="39"/>
    <w:semiHidden/>
    <w:rsid w:val="00C91844"/>
    <w:pPr>
      <w:spacing w:after="40"/>
      <w:ind w:left="1134" w:right="567"/>
      <w:contextualSpacing/>
    </w:pPr>
  </w:style>
  <w:style w:type="paragraph" w:styleId="TOC7">
    <w:name w:val="toc 7"/>
    <w:basedOn w:val="Normal"/>
    <w:next w:val="Normal"/>
    <w:uiPriority w:val="39"/>
    <w:semiHidden/>
    <w:rsid w:val="00C91844"/>
    <w:pPr>
      <w:spacing w:after="40"/>
      <w:ind w:left="1418" w:right="567"/>
      <w:contextualSpacing/>
    </w:pPr>
  </w:style>
  <w:style w:type="paragraph" w:styleId="TOC8">
    <w:name w:val="toc 8"/>
    <w:basedOn w:val="Normal"/>
    <w:next w:val="Normal"/>
    <w:uiPriority w:val="39"/>
    <w:semiHidden/>
    <w:rsid w:val="00C91844"/>
    <w:pPr>
      <w:spacing w:after="40"/>
      <w:ind w:left="1701" w:right="567"/>
      <w:contextualSpacing/>
    </w:pPr>
  </w:style>
  <w:style w:type="paragraph" w:styleId="TOC9">
    <w:name w:val="toc 9"/>
    <w:basedOn w:val="Normal"/>
    <w:next w:val="Normal"/>
    <w:uiPriority w:val="39"/>
    <w:semiHidden/>
    <w:rsid w:val="00C91844"/>
    <w:pPr>
      <w:spacing w:after="40"/>
      <w:ind w:left="1985" w:right="567"/>
      <w:contextualSpacing/>
    </w:pPr>
  </w:style>
  <w:style w:type="paragraph" w:styleId="TOCHeading">
    <w:name w:val="TOC Heading"/>
    <w:basedOn w:val="Heading1"/>
    <w:next w:val="Normal"/>
    <w:uiPriority w:val="39"/>
    <w:qFormat/>
    <w:rsid w:val="004A1396"/>
    <w:pPr>
      <w:outlineLvl w:val="9"/>
    </w:pPr>
  </w:style>
  <w:style w:type="character" w:styleId="UnresolvedMention">
    <w:name w:val="Unresolved Mention"/>
    <w:basedOn w:val="DefaultParagraphFont"/>
    <w:uiPriority w:val="99"/>
    <w:semiHidden/>
    <w:rsid w:val="00911DE3"/>
    <w:rPr>
      <w:color w:val="605E5C"/>
      <w:shd w:val="clear" w:color="auto" w:fill="E1DFDD"/>
    </w:rPr>
  </w:style>
  <w:style w:type="paragraph" w:customStyle="1" w:styleId="Template">
    <w:name w:val="Template"/>
    <w:uiPriority w:val="15"/>
    <w:semiHidden/>
    <w:rsid w:val="00D1332D"/>
    <w:pPr>
      <w:suppressAutoHyphens/>
    </w:pPr>
    <w:rPr>
      <w:noProof/>
      <w:color w:val="76777B" w:themeColor="accent4"/>
      <w:sz w:val="16"/>
      <w:lang w:val="en-US"/>
    </w:rPr>
  </w:style>
  <w:style w:type="paragraph" w:customStyle="1" w:styleId="Table">
    <w:name w:val="Table"/>
    <w:uiPriority w:val="4"/>
    <w:semiHidden/>
    <w:rsid w:val="00847018"/>
    <w:pPr>
      <w:spacing w:before="40" w:after="40" w:line="200" w:lineRule="atLeast"/>
      <w:ind w:left="113" w:right="113"/>
    </w:pPr>
    <w:rPr>
      <w:sz w:val="16"/>
      <w:lang w:val="en-US"/>
    </w:rPr>
  </w:style>
  <w:style w:type="paragraph" w:customStyle="1" w:styleId="Table-Heading">
    <w:name w:val="Table - Heading"/>
    <w:basedOn w:val="Table"/>
    <w:uiPriority w:val="4"/>
    <w:rsid w:val="000C73D1"/>
    <w:rPr>
      <w:b/>
    </w:rPr>
  </w:style>
  <w:style w:type="paragraph" w:customStyle="1" w:styleId="Table-HeadingRight">
    <w:name w:val="Table - Heading Right"/>
    <w:basedOn w:val="Table-Heading"/>
    <w:uiPriority w:val="4"/>
    <w:rsid w:val="000C73D1"/>
    <w:pPr>
      <w:jc w:val="right"/>
    </w:pPr>
  </w:style>
  <w:style w:type="paragraph" w:customStyle="1" w:styleId="Table-Text">
    <w:name w:val="Table - Text"/>
    <w:basedOn w:val="Table"/>
    <w:uiPriority w:val="4"/>
    <w:rsid w:val="00B96627"/>
  </w:style>
  <w:style w:type="paragraph" w:customStyle="1" w:styleId="Table-TextTotal">
    <w:name w:val="Table - Text Total"/>
    <w:basedOn w:val="Table-Text"/>
    <w:uiPriority w:val="4"/>
    <w:rsid w:val="00B96627"/>
    <w:rPr>
      <w:b/>
    </w:rPr>
  </w:style>
  <w:style w:type="paragraph" w:customStyle="1" w:styleId="Table-Numbers">
    <w:name w:val="Table - Numbers"/>
    <w:basedOn w:val="Table"/>
    <w:uiPriority w:val="4"/>
    <w:rsid w:val="00B96627"/>
    <w:pPr>
      <w:jc w:val="right"/>
    </w:pPr>
  </w:style>
  <w:style w:type="paragraph" w:customStyle="1" w:styleId="Table-NumbersTotal">
    <w:name w:val="Table - Numbers Total"/>
    <w:basedOn w:val="Table-Numbers"/>
    <w:uiPriority w:val="4"/>
    <w:rsid w:val="00B96627"/>
    <w:rPr>
      <w:b/>
    </w:rPr>
  </w:style>
  <w:style w:type="paragraph" w:customStyle="1" w:styleId="Template-CompanyName">
    <w:name w:val="Template - Company Name"/>
    <w:basedOn w:val="Template"/>
    <w:next w:val="Template-Address"/>
    <w:uiPriority w:val="15"/>
    <w:semiHidden/>
    <w:rsid w:val="00B45D26"/>
    <w:pPr>
      <w:spacing w:before="74" w:after="80" w:line="240" w:lineRule="atLeast"/>
    </w:pPr>
    <w:rPr>
      <w:sz w:val="20"/>
    </w:rPr>
  </w:style>
  <w:style w:type="paragraph" w:customStyle="1" w:styleId="Template-Address">
    <w:name w:val="Template - Address"/>
    <w:basedOn w:val="Template"/>
    <w:uiPriority w:val="15"/>
    <w:semiHidden/>
    <w:rsid w:val="009C2901"/>
    <w:pPr>
      <w:tabs>
        <w:tab w:val="left" w:pos="567"/>
      </w:tabs>
      <w:spacing w:before="74" w:after="80" w:line="220" w:lineRule="atLeast"/>
    </w:pPr>
  </w:style>
  <w:style w:type="paragraph" w:customStyle="1" w:styleId="Template-Date">
    <w:name w:val="Template - Date"/>
    <w:basedOn w:val="Recipient-NameandAddress"/>
    <w:uiPriority w:val="15"/>
    <w:semiHidden/>
    <w:rsid w:val="00EB3839"/>
    <w:pPr>
      <w:spacing w:after="440"/>
    </w:pPr>
  </w:style>
  <w:style w:type="paragraph" w:customStyle="1" w:styleId="Recipient-NameandAddress">
    <w:name w:val="Recipient - Name and Address"/>
    <w:basedOn w:val="Normal"/>
    <w:uiPriority w:val="10"/>
    <w:semiHidden/>
    <w:rsid w:val="00757937"/>
  </w:style>
  <w:style w:type="paragraph" w:customStyle="1" w:styleId="DocumentType">
    <w:name w:val="Document Type"/>
    <w:basedOn w:val="Normal"/>
    <w:next w:val="Normal"/>
    <w:uiPriority w:val="8"/>
    <w:semiHidden/>
    <w:rsid w:val="005F2512"/>
    <w:rPr>
      <w:caps/>
      <w:sz w:val="28"/>
    </w:rPr>
  </w:style>
  <w:style w:type="paragraph" w:customStyle="1" w:styleId="Table-ListBullet">
    <w:name w:val="Table - List Bullet"/>
    <w:basedOn w:val="Table"/>
    <w:uiPriority w:val="4"/>
    <w:rsid w:val="00C5707C"/>
    <w:pPr>
      <w:numPr>
        <w:numId w:val="28"/>
      </w:numPr>
    </w:pPr>
  </w:style>
  <w:style w:type="numbering" w:customStyle="1" w:styleId="ListStyle-ListBullet">
    <w:name w:val="_List Style - List Bullet"/>
    <w:uiPriority w:val="99"/>
    <w:rsid w:val="00EB3839"/>
    <w:pPr>
      <w:numPr>
        <w:numId w:val="19"/>
      </w:numPr>
    </w:pPr>
  </w:style>
  <w:style w:type="numbering" w:customStyle="1" w:styleId="ListStyle-ListNumber">
    <w:name w:val="_List Style - List Number"/>
    <w:uiPriority w:val="99"/>
    <w:rsid w:val="00EB3839"/>
    <w:pPr>
      <w:numPr>
        <w:numId w:val="20"/>
      </w:numPr>
    </w:pPr>
  </w:style>
  <w:style w:type="numbering" w:customStyle="1" w:styleId="Liststyle-TableListBullet">
    <w:name w:val="_List style - Table List Bullet"/>
    <w:uiPriority w:val="99"/>
    <w:rsid w:val="005E5522"/>
    <w:pPr>
      <w:numPr>
        <w:numId w:val="13"/>
      </w:numPr>
    </w:pPr>
  </w:style>
  <w:style w:type="paragraph" w:customStyle="1" w:styleId="Table-ListNumber">
    <w:name w:val="Table - List Number"/>
    <w:basedOn w:val="Table"/>
    <w:uiPriority w:val="4"/>
    <w:rsid w:val="00F16D57"/>
    <w:pPr>
      <w:ind w:left="340" w:hanging="227"/>
    </w:pPr>
  </w:style>
  <w:style w:type="numbering" w:customStyle="1" w:styleId="ListStyle-TableListNumber">
    <w:name w:val="_List Style - Table List Number"/>
    <w:uiPriority w:val="99"/>
    <w:rsid w:val="00F16D57"/>
    <w:pPr>
      <w:numPr>
        <w:numId w:val="14"/>
      </w:numPr>
    </w:pPr>
  </w:style>
  <w:style w:type="table" w:customStyle="1" w:styleId="Blank">
    <w:name w:val="Blank"/>
    <w:basedOn w:val="TableNormal"/>
    <w:uiPriority w:val="99"/>
    <w:rsid w:val="00D02A26"/>
    <w:rPr>
      <w:rFonts w:asciiTheme="minorHAnsi" w:hAnsiTheme="minorHAnsi"/>
    </w:rPr>
    <w:tblPr>
      <w:tblCellMar>
        <w:left w:w="0" w:type="dxa"/>
        <w:right w:w="0" w:type="dxa"/>
      </w:tblCellMar>
    </w:tblPr>
  </w:style>
  <w:style w:type="paragraph" w:customStyle="1" w:styleId="FactBox">
    <w:name w:val="Fact Box"/>
    <w:basedOn w:val="Normal"/>
    <w:uiPriority w:val="5"/>
    <w:semiHidden/>
    <w:rsid w:val="00C8103F"/>
    <w:pPr>
      <w:spacing w:before="170" w:after="170"/>
      <w:ind w:left="170" w:right="170"/>
    </w:pPr>
  </w:style>
  <w:style w:type="paragraph" w:customStyle="1" w:styleId="FactBox-Text">
    <w:name w:val="Fact Box - Text"/>
    <w:basedOn w:val="FactBox"/>
    <w:uiPriority w:val="5"/>
    <w:semiHidden/>
    <w:rsid w:val="00271A6B"/>
  </w:style>
  <w:style w:type="paragraph" w:customStyle="1" w:styleId="FactBox-Heading">
    <w:name w:val="Fact Box - Heading"/>
    <w:basedOn w:val="FactBox"/>
    <w:next w:val="FactBox-Text"/>
    <w:uiPriority w:val="5"/>
    <w:semiHidden/>
    <w:rsid w:val="000379BD"/>
    <w:rPr>
      <w:b/>
    </w:rPr>
  </w:style>
  <w:style w:type="paragraph" w:customStyle="1" w:styleId="FactBox-ListBullet">
    <w:name w:val="Fact Box - List Bullet"/>
    <w:basedOn w:val="FactBox"/>
    <w:uiPriority w:val="5"/>
    <w:semiHidden/>
    <w:rsid w:val="00F16D57"/>
    <w:pPr>
      <w:numPr>
        <w:numId w:val="23"/>
      </w:numPr>
    </w:pPr>
  </w:style>
  <w:style w:type="numbering" w:customStyle="1" w:styleId="ListStyle-FactBoxListBullet">
    <w:name w:val="_List Style - Fact Box List Bullet"/>
    <w:uiPriority w:val="99"/>
    <w:rsid w:val="00F16D57"/>
    <w:pPr>
      <w:numPr>
        <w:numId w:val="16"/>
      </w:numPr>
    </w:pPr>
  </w:style>
  <w:style w:type="paragraph" w:customStyle="1" w:styleId="Footer-PageNumber">
    <w:name w:val="Footer - Page Number"/>
    <w:basedOn w:val="Footer"/>
    <w:next w:val="Footer"/>
    <w:uiPriority w:val="13"/>
    <w:semiHidden/>
    <w:rsid w:val="00B45D26"/>
    <w:rPr>
      <w:color w:val="76777B" w:themeColor="accent4"/>
    </w:rPr>
  </w:style>
  <w:style w:type="numbering" w:customStyle="1" w:styleId="ListStyle-AppendixHeading">
    <w:name w:val="_List Style - Appendix Heading"/>
    <w:uiPriority w:val="99"/>
    <w:rsid w:val="00F16D57"/>
    <w:pPr>
      <w:numPr>
        <w:numId w:val="15"/>
      </w:numPr>
    </w:pPr>
  </w:style>
  <w:style w:type="paragraph" w:customStyle="1" w:styleId="ListAlphabet">
    <w:name w:val="List Alphabet"/>
    <w:basedOn w:val="Normal"/>
    <w:uiPriority w:val="2"/>
    <w:semiHidden/>
    <w:rsid w:val="00F16D57"/>
    <w:pPr>
      <w:numPr>
        <w:numId w:val="25"/>
      </w:numPr>
    </w:pPr>
  </w:style>
  <w:style w:type="numbering" w:customStyle="1" w:styleId="ListStyle-ListAlphabet">
    <w:name w:val="_List Style - List Alphabet"/>
    <w:uiPriority w:val="99"/>
    <w:rsid w:val="00F16D57"/>
    <w:pPr>
      <w:numPr>
        <w:numId w:val="18"/>
      </w:numPr>
    </w:pPr>
  </w:style>
  <w:style w:type="paragraph" w:customStyle="1" w:styleId="ListAlphabet2">
    <w:name w:val="List Alphabet 2"/>
    <w:basedOn w:val="Normal"/>
    <w:uiPriority w:val="2"/>
    <w:semiHidden/>
    <w:rsid w:val="00F16D57"/>
    <w:pPr>
      <w:numPr>
        <w:ilvl w:val="1"/>
        <w:numId w:val="25"/>
      </w:numPr>
    </w:pPr>
  </w:style>
  <w:style w:type="paragraph" w:customStyle="1" w:styleId="ListAlphabet3">
    <w:name w:val="List Alphabet 3"/>
    <w:basedOn w:val="Normal"/>
    <w:uiPriority w:val="2"/>
    <w:semiHidden/>
    <w:rsid w:val="00F16D57"/>
    <w:pPr>
      <w:numPr>
        <w:ilvl w:val="2"/>
        <w:numId w:val="25"/>
      </w:numPr>
    </w:pPr>
  </w:style>
  <w:style w:type="table" w:customStyle="1" w:styleId="CustomernameTableStyle">
    <w:name w:val="[Customer name] (Table Style)"/>
    <w:basedOn w:val="TableNormal"/>
    <w:uiPriority w:val="99"/>
    <w:rsid w:val="00D02A26"/>
    <w:rPr>
      <w:rFonts w:asciiTheme="minorHAnsi" w:hAnsiTheme="minorHAnsi"/>
    </w:rPr>
    <w:tblPr>
      <w:tblCellMar>
        <w:left w:w="0" w:type="dxa"/>
        <w:right w:w="0" w:type="dxa"/>
      </w:tblCellMar>
    </w:tblPr>
  </w:style>
  <w:style w:type="paragraph" w:customStyle="1" w:styleId="FactBox-ListNumber">
    <w:name w:val="Fact Box - List Number"/>
    <w:basedOn w:val="FactBox"/>
    <w:uiPriority w:val="5"/>
    <w:semiHidden/>
    <w:rsid w:val="00F16D57"/>
    <w:pPr>
      <w:numPr>
        <w:numId w:val="24"/>
      </w:numPr>
    </w:pPr>
  </w:style>
  <w:style w:type="numbering" w:customStyle="1" w:styleId="ListStyle-FactBoxListNumber">
    <w:name w:val="_List Style - Fact Box List Number"/>
    <w:uiPriority w:val="99"/>
    <w:rsid w:val="00F16D57"/>
    <w:pPr>
      <w:numPr>
        <w:numId w:val="17"/>
      </w:numPr>
    </w:pPr>
  </w:style>
  <w:style w:type="numbering" w:customStyle="1" w:styleId="ListStyle-TableListBullet0">
    <w:name w:val="_List Style - Table List Bullet"/>
    <w:uiPriority w:val="99"/>
    <w:rsid w:val="00C5707C"/>
    <w:pPr>
      <w:numPr>
        <w:numId w:val="21"/>
      </w:numPr>
    </w:pPr>
  </w:style>
  <w:style w:type="paragraph" w:customStyle="1" w:styleId="AppendixHeading">
    <w:name w:val="Appendix Heading"/>
    <w:basedOn w:val="Heading1"/>
    <w:next w:val="Normal"/>
    <w:uiPriority w:val="9"/>
    <w:semiHidden/>
    <w:rsid w:val="00F16D57"/>
    <w:pPr>
      <w:pageBreakBefore/>
      <w:numPr>
        <w:numId w:val="22"/>
      </w:numPr>
      <w:spacing w:line="380" w:lineRule="atLeast"/>
      <w:outlineLvl w:val="8"/>
    </w:pPr>
    <w:rPr>
      <w:sz w:val="34"/>
    </w:rPr>
  </w:style>
  <w:style w:type="paragraph" w:customStyle="1" w:styleId="Webaddress">
    <w:name w:val="Web address"/>
    <w:basedOn w:val="Footer"/>
    <w:uiPriority w:val="99"/>
    <w:semiHidden/>
    <w:qFormat/>
    <w:rsid w:val="00E06C5B"/>
    <w:pPr>
      <w:spacing w:before="40"/>
      <w:jc w:val="right"/>
    </w:pPr>
    <w:rPr>
      <w:color w:val="76777B" w:themeColor="accent4"/>
    </w:rPr>
  </w:style>
  <w:style w:type="paragraph" w:customStyle="1" w:styleId="HeaderSpacer">
    <w:name w:val="Header Spacer"/>
    <w:basedOn w:val="Header"/>
    <w:uiPriority w:val="13"/>
    <w:semiHidden/>
    <w:qFormat/>
    <w:rsid w:val="009C2901"/>
    <w:pPr>
      <w:spacing w:after="820"/>
    </w:pPr>
  </w:style>
  <w:style w:type="paragraph" w:customStyle="1" w:styleId="Note">
    <w:name w:val="Note"/>
    <w:basedOn w:val="Normal"/>
    <w:uiPriority w:val="8"/>
    <w:qFormat/>
    <w:rsid w:val="00847018"/>
    <w:pPr>
      <w:spacing w:line="200" w:lineRule="atLeast"/>
    </w:pPr>
    <w:rPr>
      <w:sz w:val="16"/>
    </w:rPr>
  </w:style>
  <w:style w:type="paragraph" w:customStyle="1" w:styleId="Note-NumberBullet">
    <w:name w:val="Note - Number Bullet"/>
    <w:basedOn w:val="Note"/>
    <w:uiPriority w:val="8"/>
    <w:qFormat/>
    <w:rsid w:val="00847018"/>
    <w:pPr>
      <w:numPr>
        <w:numId w:val="29"/>
      </w:numPr>
      <w:spacing w:line="240" w:lineRule="atLeast"/>
    </w:pPr>
    <w:rPr>
      <w:sz w:val="12"/>
    </w:rPr>
  </w:style>
  <w:style w:type="paragraph" w:customStyle="1" w:styleId="Note-Bullet">
    <w:name w:val="Note - Bullet"/>
    <w:basedOn w:val="Note-NumberBullet"/>
    <w:uiPriority w:val="8"/>
    <w:qFormat/>
    <w:rsid w:val="00847018"/>
    <w:pPr>
      <w:numPr>
        <w:numId w:val="30"/>
      </w:numPr>
    </w:pPr>
  </w:style>
  <w:style w:type="paragraph" w:customStyle="1" w:styleId="QuoteSmall">
    <w:name w:val="Quote Small"/>
    <w:basedOn w:val="Quote"/>
    <w:uiPriority w:val="12"/>
    <w:semiHidden/>
    <w:qFormat/>
    <w:rsid w:val="00847018"/>
    <w:pPr>
      <w:spacing w:before="200" w:line="200" w:lineRule="atLeast"/>
      <w:ind w:left="0" w:right="0"/>
    </w:pPr>
    <w:rPr>
      <w:sz w:val="16"/>
    </w:rPr>
  </w:style>
  <w:style w:type="paragraph" w:customStyle="1" w:styleId="paragraph">
    <w:name w:val="paragraph"/>
    <w:basedOn w:val="Normal"/>
    <w:rsid w:val="00C23816"/>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23816"/>
  </w:style>
  <w:style w:type="character" w:customStyle="1" w:styleId="tabchar">
    <w:name w:val="tabchar"/>
    <w:basedOn w:val="DefaultParagraphFont"/>
    <w:rsid w:val="00C23816"/>
  </w:style>
  <w:style w:type="character" w:customStyle="1" w:styleId="eop">
    <w:name w:val="eop"/>
    <w:basedOn w:val="DefaultParagraphFont"/>
    <w:rsid w:val="00C23816"/>
  </w:style>
  <w:style w:type="paragraph" w:styleId="Revision">
    <w:name w:val="Revision"/>
    <w:hidden/>
    <w:uiPriority w:val="99"/>
    <w:semiHidden/>
    <w:rsid w:val="004A3D3D"/>
    <w:pPr>
      <w:spacing w:line="240" w:lineRule="auto"/>
    </w:pPr>
    <w:rPr>
      <w:lang w:val="en-US"/>
    </w:rPr>
  </w:style>
  <w:style w:type="table" w:customStyle="1" w:styleId="TableGrid10">
    <w:name w:val="Table Grid1"/>
    <w:basedOn w:val="TableNormal"/>
    <w:next w:val="TableGrid"/>
    <w:uiPriority w:val="59"/>
    <w:rsid w:val="00157364"/>
    <w:pPr>
      <w:spacing w:line="240" w:lineRule="auto"/>
    </w:pPr>
    <w:rPr>
      <w:rFonts w:ascii="Inter" w:eastAsia="Inter" w:hAnsi="Inter" w:cs="Inter"/>
      <w:color w:val="1F1F1F"/>
      <w:sz w:val="22"/>
      <w:szCs w:val="22"/>
      <w:lang w:val="e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
    <w:basedOn w:val="TableNormal"/>
    <w:next w:val="TableGrid"/>
    <w:uiPriority w:val="59"/>
    <w:rsid w:val="00B45CAB"/>
    <w:pPr>
      <w:spacing w:line="240" w:lineRule="auto"/>
    </w:pPr>
    <w:rPr>
      <w:rFonts w:ascii="Inter" w:eastAsia="Inter" w:hAnsi="Inter" w:cs="Inter"/>
      <w:color w:val="1F1F1F"/>
      <w:sz w:val="22"/>
      <w:szCs w:val="22"/>
      <w:lang w:val="e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nTOCHeading">
    <w:name w:val="Non TOC Heading"/>
    <w:basedOn w:val="Normal"/>
    <w:link w:val="NonTOCHeadingChar"/>
    <w:qFormat/>
    <w:rsid w:val="008B0A5B"/>
    <w:pPr>
      <w:spacing w:before="120" w:after="120"/>
    </w:pPr>
    <w:rPr>
      <w:sz w:val="32"/>
    </w:rPr>
  </w:style>
  <w:style w:type="character" w:customStyle="1" w:styleId="NonTOCHeadingChar">
    <w:name w:val="Non TOC Heading Char"/>
    <w:basedOn w:val="DefaultParagraphFont"/>
    <w:link w:val="NonTOCHeading"/>
    <w:rsid w:val="008B0A5B"/>
    <w:rPr>
      <w:rFonts w:asciiTheme="minorHAnsi" w:eastAsia="Trebuchet MS" w:hAnsiTheme="minorHAnsi" w:cs="Trebuchet MS"/>
      <w:color w:val="000000"/>
      <w:sz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29201">
      <w:bodyDiv w:val="1"/>
      <w:marLeft w:val="0"/>
      <w:marRight w:val="0"/>
      <w:marTop w:val="0"/>
      <w:marBottom w:val="0"/>
      <w:divBdr>
        <w:top w:val="none" w:sz="0" w:space="0" w:color="auto"/>
        <w:left w:val="none" w:sz="0" w:space="0" w:color="auto"/>
        <w:bottom w:val="none" w:sz="0" w:space="0" w:color="auto"/>
        <w:right w:val="none" w:sz="0" w:space="0" w:color="auto"/>
      </w:divBdr>
    </w:div>
    <w:div w:id="11729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pository.library.brown.edu/studio/item/bdr:99ckb2aq/" TargetMode="External"/><Relationship Id="rId117" Type="http://schemas.openxmlformats.org/officeDocument/2006/relationships/hyperlink" Target="https://jamanetwork.com/journals/jamanetworkopen/fullarticle/2837769" TargetMode="External"/><Relationship Id="rId21" Type="http://schemas.openxmlformats.org/officeDocument/2006/relationships/header" Target="header6.xml"/><Relationship Id="rId42" Type="http://schemas.openxmlformats.org/officeDocument/2006/relationships/hyperlink" Target="https://www.mathematica.org/publications/analysis-of-the-colorado-option" TargetMode="External"/><Relationship Id="rId47" Type="http://schemas.openxmlformats.org/officeDocument/2006/relationships/hyperlink" Target="https://www.cms.gov/files/document/nevada-section-1332-waiver-fact-sheet.pdf" TargetMode="External"/><Relationship Id="rId63" Type="http://schemas.openxmlformats.org/officeDocument/2006/relationships/hyperlink" Target="https://www.arnoldventures.org/stories/state-policy-win-snapshot-indiana-takes-a-step-forward-on-site-neutral-payments/" TargetMode="External"/><Relationship Id="rId68" Type="http://schemas.openxmlformats.org/officeDocument/2006/relationships/hyperlink" Target="https://www.federalregister.gov/documents/2026/05/20/2026-10050/patient-protection-and-affordable-care-act-hhs-notice-of-benefit-and-payment-parameters-for-2027-and" TargetMode="External"/><Relationship Id="rId84" Type="http://schemas.openxmlformats.org/officeDocument/2006/relationships/hyperlink" Target="https://cahpr.sph.brown.edu/tools/simulator" TargetMode="External"/><Relationship Id="rId89" Type="http://schemas.openxmlformats.org/officeDocument/2006/relationships/hyperlink" Target="https://www.nejm.org/doi/full/10.1056/NEJMsa1700087" TargetMode="External"/><Relationship Id="rId112" Type="http://schemas.openxmlformats.org/officeDocument/2006/relationships/hyperlink" Target="https://civicarx.org/wp-content/uploads/2023/07/Civica-and-California-Partnership-PR-FINAL_3.20-.pdf" TargetMode="External"/><Relationship Id="rId16" Type="http://schemas.openxmlformats.org/officeDocument/2006/relationships/hyperlink" Target="https://www.caqh.org/hubfs/drupal/2024-01/CAQH_IndexReport_2023_FINAL.pdf?utm_source=chatgpt.com" TargetMode="External"/><Relationship Id="rId107" Type="http://schemas.openxmlformats.org/officeDocument/2006/relationships/hyperlink" Target="https://www.cms.gov/priorities/key-initiatives/hospital-price-transparency" TargetMode="External"/><Relationship Id="rId11" Type="http://schemas.openxmlformats.org/officeDocument/2006/relationships/footer" Target="footer2.xml"/><Relationship Id="rId32" Type="http://schemas.openxmlformats.org/officeDocument/2006/relationships/hyperlink" Target="https://www.milbank.org/wp-content/uploads/2026/02/RecapRoundtable_Report_final.pdf" TargetMode="External"/><Relationship Id="rId37" Type="http://schemas.openxmlformats.org/officeDocument/2006/relationships/header" Target="header8.xml"/><Relationship Id="rId53" Type="http://schemas.openxmlformats.org/officeDocument/2006/relationships/hyperlink" Target="https://tcf.org/content/report/how-to-create-a-public-health-insurance-plan-lessons-from-states/" TargetMode="External"/><Relationship Id="rId58" Type="http://schemas.openxmlformats.org/officeDocument/2006/relationships/hyperlink" Target="https://www.urban.org/research/publication/there-potential-public-plans-reduce-premiums-competing-insurers" TargetMode="External"/><Relationship Id="rId74" Type="http://schemas.openxmlformats.org/officeDocument/2006/relationships/hyperlink" Target="https://www.milbank.org/publications/how-payment-caps-can-reduce-hospital-prices-and-spending-lessons-from-the-oregon-state-employee-plan/" TargetMode="External"/><Relationship Id="rId79" Type="http://schemas.openxmlformats.org/officeDocument/2006/relationships/hyperlink" Target="https://sourceonhealthcare.org/vermont-enacts-significant-legislation-addressing-healthcare-costs-and-hospital-budgets/?print=pdf" TargetMode="External"/><Relationship Id="rId102" Type="http://schemas.openxmlformats.org/officeDocument/2006/relationships/hyperlink" Target="https://www.frontiersin.org/journals/health-services/articles/10.3389/frhs.2024.1379416/full" TargetMode="External"/><Relationship Id="rId123" Type="http://schemas.openxmlformats.org/officeDocument/2006/relationships/header" Target="header12.xml"/><Relationship Id="rId128" Type="http://schemas.openxmlformats.org/officeDocument/2006/relationships/customXml" Target="../customXml/item3.xml"/><Relationship Id="rId5" Type="http://schemas.openxmlformats.org/officeDocument/2006/relationships/footnotes" Target="footnotes.xml"/><Relationship Id="rId90" Type="http://schemas.openxmlformats.org/officeDocument/2006/relationships/hyperlink" Target="https://www.brookings.edu/articles/the-hospital-price-transparency-rule-is-working-but-patients-still-need-help-using-it/" TargetMode="External"/><Relationship Id="rId95" Type="http://schemas.openxmlformats.org/officeDocument/2006/relationships/hyperlink" Target="https://healthcostinstitute.org/all-hcci-reports/trends-in-utilization-and-prices-for-site-neutral-services-in-hospital-outpatient-and-physician-office-settings" TargetMode="External"/><Relationship Id="rId22" Type="http://schemas.openxmlformats.org/officeDocument/2006/relationships/footer" Target="footer5.xml"/><Relationship Id="rId27" Type="http://schemas.openxmlformats.org/officeDocument/2006/relationships/hyperlink" Target="https://georgetown.app.box.com/s/rtmi4pbcyz2wav084pphsmvof9085ibp" TargetMode="External"/><Relationship Id="rId43" Type="http://schemas.openxmlformats.org/officeDocument/2006/relationships/hyperlink" Target="https://chir.georgetown.edu/colorado-announces-premium-rate-reduction-targets-public-option-plans/" TargetMode="External"/><Relationship Id="rId48" Type="http://schemas.openxmlformats.org/officeDocument/2006/relationships/hyperlink" Target="https://chir.georgetown.edu/nevada-actuarial-study-projects-significant-savings-public-option-plans" TargetMode="External"/><Relationship Id="rId64" Type="http://schemas.openxmlformats.org/officeDocument/2006/relationships/hyperlink" Target="https://www.calpers.ca.gov/sites/default/files/spf/docs/board-agendas/201306/pension/item-7.pdf" TargetMode="External"/><Relationship Id="rId69" Type="http://schemas.openxmlformats.org/officeDocument/2006/relationships/hyperlink" Target="https://nihcr.org/wp-content/uploads/2015/03/HSC_Research_Brief_No._30.pdf" TargetMode="External"/><Relationship Id="rId113" Type="http://schemas.openxmlformats.org/officeDocument/2006/relationships/hyperlink" Target="https://leg.colorado.gov/bills/SB26-167" TargetMode="External"/><Relationship Id="rId118" Type="http://schemas.openxmlformats.org/officeDocument/2006/relationships/hyperlink" Target="https://jamanetwork.com/journals/jama/article-abstract/2809735" TargetMode="External"/><Relationship Id="rId80" Type="http://schemas.openxmlformats.org/officeDocument/2006/relationships/hyperlink" Target="https://www.versanconsulting.com/post/the-undoing-of-success-multipart-series-on-the-undoing-of-montana-s-successful-rbp-program" TargetMode="External"/><Relationship Id="rId85" Type="http://schemas.openxmlformats.org/officeDocument/2006/relationships/hyperlink" Target="https://www.healthaffairs.org/doi/abs/10.1377/hlthaff.2013.0188?journalCode=hlthaff" TargetMode="External"/><Relationship Id="rId12" Type="http://schemas.openxmlformats.org/officeDocument/2006/relationships/header" Target="header3.xml"/><Relationship Id="rId17" Type="http://schemas.openxmlformats.org/officeDocument/2006/relationships/hyperlink" Target="https://www.ahip.org/news/articles/health-plans-take-next-step-to-streamline-and-simplify-prior-authorization-for-patients-and-providers" TargetMode="External"/><Relationship Id="rId33" Type="http://schemas.openxmlformats.org/officeDocument/2006/relationships/hyperlink" Target="https://chir.georgetown.edu/state-spotlight-oregons-multi-pronged-approach-to-corporate-influence-in-physician-practices/" TargetMode="External"/><Relationship Id="rId38" Type="http://schemas.openxmlformats.org/officeDocument/2006/relationships/hyperlink" Target="https://www.mathematica.org/publications/analysis-of-the-colorado-option" TargetMode="External"/><Relationship Id="rId59" Type="http://schemas.openxmlformats.org/officeDocument/2006/relationships/hyperlink" Target="https://americashealthcarefuture.org/wp-content/uploads/2024/04/FINAL-REPORT.pdf" TargetMode="External"/><Relationship Id="rId103" Type="http://schemas.openxmlformats.org/officeDocument/2006/relationships/hyperlink" Target="https://chir.georgetown.edu/leveraging-data-to-control-health-care-costs/" TargetMode="External"/><Relationship Id="rId108" Type="http://schemas.openxmlformats.org/officeDocument/2006/relationships/hyperlink" Target="https://tool.nashp.org/" TargetMode="External"/><Relationship Id="rId124" Type="http://schemas.openxmlformats.org/officeDocument/2006/relationships/fontTable" Target="fontTable.xml"/><Relationship Id="rId54" Type="http://schemas.openxmlformats.org/officeDocument/2006/relationships/hyperlink" Target="https://www.chcf.org/wp-content/uploads/2021/03/StatePublicOptionsComparingModelsAcrossCountry.pdf" TargetMode="External"/><Relationship Id="rId70" Type="http://schemas.openxmlformats.org/officeDocument/2006/relationships/hyperlink" Target="https://gmcboard.vermont.gov/FY25-HB-Guidance" TargetMode="External"/><Relationship Id="rId75" Type="http://schemas.openxmlformats.org/officeDocument/2006/relationships/hyperlink" Target="https://nashp.org/independent-analysis-finds-montana-has-saved-millions-by-moving-hospital-rate-negotiations-to-reference-based-pricing/" TargetMode="External"/><Relationship Id="rId91" Type="http://schemas.openxmlformats.org/officeDocument/2006/relationships/hyperlink" Target="https://www.cms.gov/files/document/highlights.pdf" TargetMode="External"/><Relationship Id="rId96" Type="http://schemas.openxmlformats.org/officeDocument/2006/relationships/hyperlink" Target="https://iga.in.gov/publications/agency_report/2025-Annual-Report---All-Payer-Claims-Database.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app.powerbi.com/view?r=eyJrIjoiNDNlNTJjNzItNjQyNS00NjVmLTk4MjItZDYzZjBlNTQ0ZDA2IiwidCI6IjM4MmZiOGIwLTRkYzMtNDEwNy04MGJkLTM1OTViMjQzMmZhZSIsImMiOjZ9" TargetMode="External"/><Relationship Id="rId28" Type="http://schemas.openxmlformats.org/officeDocument/2006/relationships/hyperlink" Target="https://georgetown.app.box.com/s/0rhf697ed42mydxjw13ibmt5x0h65ihd" TargetMode="External"/><Relationship Id="rId49" Type="http://schemas.openxmlformats.org/officeDocument/2006/relationships/hyperlink" Target="https://assets-us-01.kc-usercontent.com/9fd8e81d-74db-00ef-d0b1-5d17c12fdda9/1e579355-646a-43f9-a5d7-f338c05d38e7/Manatt-Health_Nevada-Concurrent-Resolution-No-10-Public-Option-Study_January-17-2021.pdf" TargetMode="External"/><Relationship Id="rId114" Type="http://schemas.openxmlformats.org/officeDocument/2006/relationships/hyperlink" Target="https://mgaleg.maryland.gov/mgawebsite/Laws/StatuteText?article=gin&amp;section=15-118.1&amp;enactments=false" TargetMode="External"/><Relationship Id="rId119" Type="http://schemas.openxmlformats.org/officeDocument/2006/relationships/hyperlink" Target="https://www.acpjournals.org/doi/10.7326/M22-0756" TargetMode="External"/><Relationship Id="rId44" Type="http://schemas.openxmlformats.org/officeDocument/2006/relationships/hyperlink" Target="https://www.commonwealthfund.org/blog/2022/update-state-public-option-style-laws-getting-more-affordable-coverage" TargetMode="External"/><Relationship Id="rId60" Type="http://schemas.openxmlformats.org/officeDocument/2006/relationships/header" Target="header9.xml"/><Relationship Id="rId65" Type="http://schemas.openxmlformats.org/officeDocument/2006/relationships/hyperlink" Target="https://sph.brown.edu/news/2025-12-02/hospital-price-caps" TargetMode="External"/><Relationship Id="rId81" Type="http://schemas.openxmlformats.org/officeDocument/2006/relationships/hyperlink" Target="https://www.hca.wa.gov/assets/program/cost-board-leg-presentation-20241209.pdf" TargetMode="External"/><Relationship Id="rId86" Type="http://schemas.openxmlformats.org/officeDocument/2006/relationships/hyperlink" Target="https://pmc.ncbi.nlm.nih.gov/articles/PMC10830326/" TargetMode="External"/><Relationship Id="rId13" Type="http://schemas.openxmlformats.org/officeDocument/2006/relationships/footer" Target="footer3.xml"/><Relationship Id="rId18" Type="http://schemas.openxmlformats.org/officeDocument/2006/relationships/hyperlink" Target="https://www.ahip.org/news/articles/health-plans-reduce-prior-authorization-support-continuity-of-care-and-enhanced-consumer-communications" TargetMode="External"/><Relationship Id="rId39" Type="http://schemas.openxmlformats.org/officeDocument/2006/relationships/hyperlink" Target="https://www.healthaffairs.org/content/forefront/can-public-option-plans-improve-affordability-insights-colorado" TargetMode="External"/><Relationship Id="rId109" Type="http://schemas.openxmlformats.org/officeDocument/2006/relationships/hyperlink" Target="https://amneal.com" TargetMode="External"/><Relationship Id="rId34" Type="http://schemas.openxmlformats.org/officeDocument/2006/relationships/hyperlink" Target="https://chir.georgetown.edu/state-spotlight-new-massachusetts-law-enhances-oversight-of-private-equity-in-health-care/" TargetMode="External"/><Relationship Id="rId50" Type="http://schemas.openxmlformats.org/officeDocument/2006/relationships/hyperlink" Target="https://pmc.ncbi.nlm.nih.gov/articles/PMC8932631/?utm_source=chatgpt.com" TargetMode="External"/><Relationship Id="rId55" Type="http://schemas.openxmlformats.org/officeDocument/2006/relationships/hyperlink" Target="https://www.rand.org/pubs/research_briefs/RB10120.html?" TargetMode="External"/><Relationship Id="rId76" Type="http://schemas.openxmlformats.org/officeDocument/2006/relationships/hyperlink" Target="https://nashp.org/state-tracker/overview-of-states-hospital-reference-based-pricing-to-medicare-initiatives/?utm_source=copilot.com" TargetMode="External"/><Relationship Id="rId97" Type="http://schemas.openxmlformats.org/officeDocument/2006/relationships/hyperlink" Target="https://pmc.ncbi.nlm.nih.gov/articles/PMC11015359/pdf/jmir_v26i1e50629.pdf" TargetMode="External"/><Relationship Id="rId104" Type="http://schemas.openxmlformats.org/officeDocument/2006/relationships/hyperlink" Target="https://www.census.gov/library/publications/2025/demo/p60-288.html" TargetMode="External"/><Relationship Id="rId120" Type="http://schemas.openxmlformats.org/officeDocument/2006/relationships/hyperlink" Target="https://jamanetwork.com/journals/jamanetworkopen/fullarticle/2837772" TargetMode="External"/><Relationship Id="rId125"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https://www.healthaffairs.org/doi/10.1377/hlthaff.2024.01146" TargetMode="External"/><Relationship Id="rId92" Type="http://schemas.openxmlformats.org/officeDocument/2006/relationships/hyperlink" Target="https://cahpr.sph.brown.edu/sites/default/files/documents/Policy%20Briefs/Healthcare%20Price%20Transparency%20Policy%20Brief%20(1).pdf" TargetMode="External"/><Relationship Id="rId2" Type="http://schemas.openxmlformats.org/officeDocument/2006/relationships/styles" Target="styles.xml"/><Relationship Id="rId29" Type="http://schemas.openxmlformats.org/officeDocument/2006/relationships/hyperlink" Target="https://digitalcommons.law.umaryland.edu/cgi/viewcontent.cgi?article=1462&amp;context=jhclp" TargetMode="External"/><Relationship Id="rId24" Type="http://schemas.openxmlformats.org/officeDocument/2006/relationships/hyperlink" Target="https://www.healthaffairs.org/content/forefront/insurers-own-providers-can-game-medical-loss-ratio-rules" TargetMode="External"/><Relationship Id="rId40" Type="http://schemas.openxmlformats.org/officeDocument/2006/relationships/hyperlink" Target="https://cahpr.sph.brown.edu/sites/default/files/documents/Policy%20Brief_%20Colorado%20Option%20Premiums%20%281%29.pdf" TargetMode="External"/><Relationship Id="rId45" Type="http://schemas.openxmlformats.org/officeDocument/2006/relationships/hyperlink" Target="https://www.commonwealthfund.org/blog/2021/state-public-option-style-laws-what-policymakers-need-know" TargetMode="External"/><Relationship Id="rId66" Type="http://schemas.openxmlformats.org/officeDocument/2006/relationships/hyperlink" Target="https://www.cms.gov/cciio/resources/fact-sheets-and-faqs/aca_implementation_faqs19" TargetMode="External"/><Relationship Id="rId87" Type="http://schemas.openxmlformats.org/officeDocument/2006/relationships/hyperlink" Target="https://bcht.berkeley.edu/sites/default/files/using_data_to_lower_costs_ca_reference-based_payment_other_states_10.18_.pdf" TargetMode="External"/><Relationship Id="rId110" Type="http://schemas.openxmlformats.org/officeDocument/2006/relationships/hyperlink" Target="https://calrx.ca.gov/biosimilar-insulin-initiative/" TargetMode="External"/><Relationship Id="rId115" Type="http://schemas.openxmlformats.org/officeDocument/2006/relationships/hyperlink" Target="https://www.ncsl.org/health/copayment-adjustment-programs" TargetMode="External"/><Relationship Id="rId61" Type="http://schemas.openxmlformats.org/officeDocument/2006/relationships/header" Target="header10.xml"/><Relationship Id="rId82" Type="http://schemas.openxmlformats.org/officeDocument/2006/relationships/hyperlink" Target="https://ajmc.s3.amazonaws.com/_media/_pdf/AJMC_02_2019_Sinaiko%20final.pdf" TargetMode="External"/><Relationship Id="rId19" Type="http://schemas.openxmlformats.org/officeDocument/2006/relationships/hyperlink" Target="https://www.cms.gov/priorities/burden-reduction/overview/interoperability/implementation-guides-standards/application-programming-interfaces-apis-relevant-standards-implementation-guides-igs" TargetMode="External"/><Relationship Id="rId14" Type="http://schemas.openxmlformats.org/officeDocument/2006/relationships/header" Target="header4.xml"/><Relationship Id="rId30" Type="http://schemas.openxmlformats.org/officeDocument/2006/relationships/hyperlink" Target="https://jamanetwork.com/journals/jama/article-abstract/2832535" TargetMode="External"/><Relationship Id="rId35" Type="http://schemas.openxmlformats.org/officeDocument/2006/relationships/hyperlink" Target="https://chir.georgetown.edu/beyond-benchmarks-strengthening-state-strategies-to-contain-health-care-prices/" TargetMode="External"/><Relationship Id="rId56" Type="http://schemas.openxmlformats.org/officeDocument/2006/relationships/hyperlink" Target="https://www.rand.org/pubs/research_reports/RR3153.html" TargetMode="External"/><Relationship Id="rId77" Type="http://schemas.openxmlformats.org/officeDocument/2006/relationships/hyperlink" Target="https://www.news-medical.net/news/20251202/Hospital-payment-caps-linked-to-savings-and-stable-care-in-Oregon.aspx" TargetMode="External"/><Relationship Id="rId100" Type="http://schemas.openxmlformats.org/officeDocument/2006/relationships/hyperlink" Target="https://sourceonhealthcare.org/spotlight-on-2025-state-price-transparency-actions/" TargetMode="External"/><Relationship Id="rId105" Type="http://schemas.openxmlformats.org/officeDocument/2006/relationships/hyperlink" Target="https://oig.hhs.gov/documents/audit/10042/A-07-22-06108.pdf" TargetMode="External"/><Relationship Id="rId126" Type="http://schemas.openxmlformats.org/officeDocument/2006/relationships/customXml" Target="../customXml/item1.xml"/><Relationship Id="rId8" Type="http://schemas.openxmlformats.org/officeDocument/2006/relationships/header" Target="header1.xml"/><Relationship Id="rId51" Type="http://schemas.openxmlformats.org/officeDocument/2006/relationships/hyperlink" Target="https://nevadashealthcarefuture.org/wp-content/uploads/2023/10/Wakely-Nevada-Public-Option-Actuarial-Analysis.pdf" TargetMode="External"/><Relationship Id="rId72" Type="http://schemas.openxmlformats.org/officeDocument/2006/relationships/hyperlink" Target="https://www.in.gov/idoi/files/2023-Annual-Report.pdf" TargetMode="External"/><Relationship Id="rId93" Type="http://schemas.openxmlformats.org/officeDocument/2006/relationships/hyperlink" Target="https://www.congress.gov/crs-product/R48570" TargetMode="External"/><Relationship Id="rId98" Type="http://schemas.openxmlformats.org/officeDocument/2006/relationships/hyperlink" Target="https://www.analysisgroup.com/globalassets/insights/publishing/2024_aba_article_relationship_between_pricing_transparency.pdf" TargetMode="External"/><Relationship Id="rId121" Type="http://schemas.openxmlformats.org/officeDocument/2006/relationships/hyperlink" Target="https://pmc.ncbi.nlm.nih.gov/articles/PMC11347552/" TargetMode="External"/><Relationship Id="rId3" Type="http://schemas.openxmlformats.org/officeDocument/2006/relationships/settings" Target="settings.xml"/><Relationship Id="rId25" Type="http://schemas.openxmlformats.org/officeDocument/2006/relationships/hyperlink" Target="https://chir.georgetown.edu/vertical-integration-in-health-care-implications-for-consumers-employers-and-clinicians/" TargetMode="External"/><Relationship Id="rId46" Type="http://schemas.openxmlformats.org/officeDocument/2006/relationships/hyperlink" Target="https://www.commonwealthfund.org/blog/2023/state-public-option-plans-are-making-progress-reducing-consumer-costs" TargetMode="External"/><Relationship Id="rId67" Type="http://schemas.openxmlformats.org/officeDocument/2006/relationships/hyperlink" Target="https://www.cms.gov/cciio/resources/fact-sheets-and-faqs/downloads/reference_pricing_faq_101014.pdf" TargetMode="External"/><Relationship Id="rId116" Type="http://schemas.openxmlformats.org/officeDocument/2006/relationships/hyperlink" Target="https://portal.ct.gov/cid/-/media/cid/1_notices/prescription-drug-credit-notice.pdf" TargetMode="External"/><Relationship Id="rId20" Type="http://schemas.openxmlformats.org/officeDocument/2006/relationships/header" Target="header5.xml"/><Relationship Id="rId41" Type="http://schemas.openxmlformats.org/officeDocument/2006/relationships/hyperlink" Target="https://cahpr.sph.brown.edu/sites/default/files/documents/Policy%20Briefs/2025/Policy%20Brief_%20Colorado%20Option%20Prices.pdf" TargetMode="External"/><Relationship Id="rId62" Type="http://schemas.openxmlformats.org/officeDocument/2006/relationships/hyperlink" Target="https://alaskabeacon.com/briefs/alaska-judge-rules-in-states-favor-on-repeal-of-a-rule-intended-to-limit-health-care-costs/" TargetMode="External"/><Relationship Id="rId83" Type="http://schemas.openxmlformats.org/officeDocument/2006/relationships/hyperlink" Target="https://ideas.repec.org/a/ucp/amjhec/v5y2019i2p227-249.html" TargetMode="External"/><Relationship Id="rId88" Type="http://schemas.openxmlformats.org/officeDocument/2006/relationships/hyperlink" Target="https://pubmed.ncbi.nlm.nih.gov/26348851/" TargetMode="External"/><Relationship Id="rId111" Type="http://schemas.openxmlformats.org/officeDocument/2006/relationships/hyperlink" Target="https://calrx.ca.gov/naloxone/" TargetMode="External"/><Relationship Id="rId15" Type="http://schemas.openxmlformats.org/officeDocument/2006/relationships/footer" Target="footer4.xml"/><Relationship Id="rId36" Type="http://schemas.openxmlformats.org/officeDocument/2006/relationships/header" Target="header7.xml"/><Relationship Id="rId57" Type="http://schemas.openxmlformats.org/officeDocument/2006/relationships/hyperlink" Target="https://www.urban.org/sites/default/files/2022-05/estimating-the-impact-of-a-public-option-or-capping-provider-payment-rates.pdf" TargetMode="External"/><Relationship Id="rId106" Type="http://schemas.openxmlformats.org/officeDocument/2006/relationships/hyperlink" Target="https://pubmed.ncbi.nlm.nih.gov/37011313/" TargetMode="External"/><Relationship Id="rId127" Type="http://schemas.openxmlformats.org/officeDocument/2006/relationships/customXml" Target="../customXml/item2.xml"/><Relationship Id="rId10" Type="http://schemas.openxmlformats.org/officeDocument/2006/relationships/header" Target="header2.xml"/><Relationship Id="rId31" Type="http://schemas.openxmlformats.org/officeDocument/2006/relationships/hyperlink" Target="https://www.nejm.org/doi/abs/10.1056/NEJMp2405438" TargetMode="External"/><Relationship Id="rId52" Type="http://schemas.openxmlformats.org/officeDocument/2006/relationships/hyperlink" Target="https://unitedstatesofcare.org/wp-content/uploads/2024/02/2024-Comparison-Chart-of-State-Public-Options.pdf" TargetMode="External"/><Relationship Id="rId73" Type="http://schemas.openxmlformats.org/officeDocument/2006/relationships/hyperlink" Target="https://www.indianasenaterepublicans.com/charbonneau-database-to-provide-health-care-cost-transparency-launched/" TargetMode="External"/><Relationship Id="rId78" Type="http://schemas.openxmlformats.org/officeDocument/2006/relationships/hyperlink" Target="https://employernewsak.premera.com/alaska-out-of-network-reimbursement-update/" TargetMode="External"/><Relationship Id="rId94" Type="http://schemas.openxmlformats.org/officeDocument/2006/relationships/hyperlink" Target="https://turquoise.health/resources/blog/examining-rate-trends-by-annualized-rate-change-over-time" TargetMode="External"/><Relationship Id="rId99" Type="http://schemas.openxmlformats.org/officeDocument/2006/relationships/hyperlink" Target="https://jhmhp.amegroups.org/article/view/8144/html" TargetMode="External"/><Relationship Id="rId101" Type="http://schemas.openxmlformats.org/officeDocument/2006/relationships/hyperlink" Target="https://www.healthaffairs.org/content/forefront/state-efforts-improve-pricetransparency" TargetMode="External"/><Relationship Id="rId122"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gao.gov/assets/gao-25-107450.pdf" TargetMode="External"/><Relationship Id="rId13" Type="http://schemas.openxmlformats.org/officeDocument/2006/relationships/hyperlink" Target="https://chir.georgetown.edu/vertical-integration-in-health-care-implications-for-consumers-employers-and-clinicians/" TargetMode="External"/><Relationship Id="rId18" Type="http://schemas.openxmlformats.org/officeDocument/2006/relationships/hyperlink" Target="https://www.ama-assn.org/system/files/i22-cms-report-03.pdf" TargetMode="External"/><Relationship Id="rId3" Type="http://schemas.openxmlformats.org/officeDocument/2006/relationships/hyperlink" Target="https://www.ftc.gov/system/files/ftc_gov/pdf/pharmacy-benefit-managers-staff-report.pdf" TargetMode="External"/><Relationship Id="rId21" Type="http://schemas.openxmlformats.org/officeDocument/2006/relationships/hyperlink" Target="https://www.mathematica.org/publications/analysis-of-the-colorado-option" TargetMode="External"/><Relationship Id="rId7" Type="http://schemas.openxmlformats.org/officeDocument/2006/relationships/hyperlink" Target="https://www.cvshealth.com/news/pbm/cvs-health-launches-cordavis.html" TargetMode="External"/><Relationship Id="rId12" Type="http://schemas.openxmlformats.org/officeDocument/2006/relationships/hyperlink" Target="https://www.sciencedirect.com/science/article/pii/S104314892400037X" TargetMode="External"/><Relationship Id="rId17" Type="http://schemas.openxmlformats.org/officeDocument/2006/relationships/hyperlink" Target="https://www.healthaffairs.org/doi/10.1377/hlthaff.2021.00727" TargetMode="External"/><Relationship Id="rId2" Type="http://schemas.openxmlformats.org/officeDocument/2006/relationships/hyperlink" Target="https://implementationsciencecomms.biomedcentral.com/articles/10.1186/s43058-020-00070-0" TargetMode="External"/><Relationship Id="rId16" Type="http://schemas.openxmlformats.org/officeDocument/2006/relationships/hyperlink" Target="https://www.nber.org/papers/w34039" TargetMode="External"/><Relationship Id="rId20" Type="http://schemas.openxmlformats.org/officeDocument/2006/relationships/hyperlink" Target="https://dora.colorado.gov/press-release/colorado-option-lowers-premiums-and-saves-coloradans-money-findings-from-brown" TargetMode="External"/><Relationship Id="rId1" Type="http://schemas.openxmlformats.org/officeDocument/2006/relationships/hyperlink" Target="https://content.naic.org/sites/default/files/inline-files/PA%20white%20paper%20Adopted%2012.10.2025%20by%20Cmte.pdf" TargetMode="External"/><Relationship Id="rId6" Type="http://schemas.openxmlformats.org/officeDocument/2006/relationships/hyperlink" Target="https://content.naic.org/sites/default/files/call_materials/ERISA%20preemption%20post%20Rutledge_V17-REDLINE%20only.docx" TargetMode="External"/><Relationship Id="rId11" Type="http://schemas.openxmlformats.org/officeDocument/2006/relationships/hyperlink" Target="https://academic.oup.com/healthaffairsscholar/article/2/11/qxae140/7862591" TargetMode="External"/><Relationship Id="rId5" Type="http://schemas.openxmlformats.org/officeDocument/2006/relationships/hyperlink" Target="https://schaeffer.usc.edu/wp-content/uploads/2026/01/2026-01-pbm-profitability.pdf" TargetMode="External"/><Relationship Id="rId15" Type="http://schemas.openxmlformats.org/officeDocument/2006/relationships/hyperlink" Target="https://georgetown.app.box.com/s/rtmi4pbcyz2wav084pphsmvof9085ibp" TargetMode="External"/><Relationship Id="rId10" Type="http://schemas.openxmlformats.org/officeDocument/2006/relationships/hyperlink" Target="https://academic.oup.com/healthaffairsscholar/article/2/11/qxae140/7862591" TargetMode="External"/><Relationship Id="rId19" Type="http://schemas.openxmlformats.org/officeDocument/2006/relationships/hyperlink" Target="https://councilreports.ama-assn.org/councilreports/downloadreport?uri=/councilreports/i22_cms_report_3.pdf" TargetMode="External"/><Relationship Id="rId4" Type="http://schemas.openxmlformats.org/officeDocument/2006/relationships/hyperlink" Target="https://www.ftc.gov/news-events/news/press-releases/2024/07/ftc-releases-interim-staff-report-prescription-drug-middlemen" TargetMode="External"/><Relationship Id="rId9" Type="http://schemas.openxmlformats.org/officeDocument/2006/relationships/hyperlink" Target="https://www.gao.gov/assets/gao-25-107450.pdf" TargetMode="External"/><Relationship Id="rId14" Type="http://schemas.openxmlformats.org/officeDocument/2006/relationships/hyperlink" Target="https://jamanetwork.com/journals/jama-health-forum/fullarticle/2808890" TargetMode="External"/></Relationships>
</file>

<file path=word/theme/theme1.xml><?xml version="1.0" encoding="utf-8"?>
<a:theme xmlns:a="http://schemas.openxmlformats.org/drawingml/2006/main" name="Office Theme">
  <a:themeElements>
    <a:clrScheme name="NAIC">
      <a:dk1>
        <a:sysClr val="windowText" lastClr="000000"/>
      </a:dk1>
      <a:lt1>
        <a:sysClr val="window" lastClr="FFFFFF"/>
      </a:lt1>
      <a:dk2>
        <a:srgbClr val="111821"/>
      </a:dk2>
      <a:lt2>
        <a:srgbClr val="FFFFFF"/>
      </a:lt2>
      <a:accent1>
        <a:srgbClr val="005CB9"/>
      </a:accent1>
      <a:accent2>
        <a:srgbClr val="BBBBBB"/>
      </a:accent2>
      <a:accent3>
        <a:srgbClr val="7FADDC"/>
      </a:accent3>
      <a:accent4>
        <a:srgbClr val="76777B"/>
      </a:accent4>
      <a:accent5>
        <a:srgbClr val="111821"/>
      </a:accent5>
      <a:accent6>
        <a:srgbClr val="BFD6ED"/>
      </a:accent6>
      <a:hlink>
        <a:srgbClr val="0563C1"/>
      </a:hlink>
      <a:folHlink>
        <a:srgbClr val="954F72"/>
      </a:folHlink>
    </a:clrScheme>
    <a:fontScheme name="NAI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Props1.xml><?xml version="1.0" encoding="utf-8"?>
<ds:datastoreItem xmlns:ds="http://schemas.openxmlformats.org/officeDocument/2006/customXml" ds:itemID="{939CEF8D-4123-40CA-A4B1-BC485A77A01D}"/>
</file>

<file path=customXml/itemProps2.xml><?xml version="1.0" encoding="utf-8"?>
<ds:datastoreItem xmlns:ds="http://schemas.openxmlformats.org/officeDocument/2006/customXml" ds:itemID="{0ACFE51E-A66D-4ECA-BA4C-A37B474EC0E9}"/>
</file>

<file path=customXml/itemProps3.xml><?xml version="1.0" encoding="utf-8"?>
<ds:datastoreItem xmlns:ds="http://schemas.openxmlformats.org/officeDocument/2006/customXml" ds:itemID="{DD3AC5B3-092A-424B-9B5F-B72A47417E66}"/>
</file>

<file path=docMetadata/LabelInfo.xml><?xml version="1.0" encoding="utf-8"?>
<clbl:labelList xmlns:clbl="http://schemas.microsoft.com/office/2020/mipLabelMetadata">
  <clbl:label id="{61f7c44d-d510-4321-9258-956e71d8b56e}" enabled="0" method="" siteId="{61f7c44d-d510-4321-9258-956e71d8b56e}" removed="1"/>
  <clbl:label id="{da6c0fa7-142e-447a-b3ac-44b771c52917}" enabled="0" method="" siteId="{da6c0fa7-142e-447a-b3ac-44b771c5291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22846</Words>
  <Characters>147129</Characters>
  <Application>Microsoft Office Word</Application>
  <DocSecurity>0</DocSecurity>
  <Lines>3421</Lines>
  <Paragraphs>1205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168770</CharactersWithSpaces>
  <SharedDoc>false</SharedDoc>
  <HLinks>
    <vt:vector size="762" baseType="variant">
      <vt:variant>
        <vt:i4>3276833</vt:i4>
      </vt:variant>
      <vt:variant>
        <vt:i4>339</vt:i4>
      </vt:variant>
      <vt:variant>
        <vt:i4>0</vt:i4>
      </vt:variant>
      <vt:variant>
        <vt:i4>5</vt:i4>
      </vt:variant>
      <vt:variant>
        <vt:lpwstr>https://pmc.ncbi.nlm.nih.gov/articles/PMC11347552/</vt:lpwstr>
      </vt:variant>
      <vt:variant>
        <vt:lpwstr/>
      </vt:variant>
      <vt:variant>
        <vt:i4>655449</vt:i4>
      </vt:variant>
      <vt:variant>
        <vt:i4>336</vt:i4>
      </vt:variant>
      <vt:variant>
        <vt:i4>0</vt:i4>
      </vt:variant>
      <vt:variant>
        <vt:i4>5</vt:i4>
      </vt:variant>
      <vt:variant>
        <vt:lpwstr>https://jamanetwork.com/journals/jamanetworkopen/fullarticle/2837772</vt:lpwstr>
      </vt:variant>
      <vt:variant>
        <vt:lpwstr/>
      </vt:variant>
      <vt:variant>
        <vt:i4>65563</vt:i4>
      </vt:variant>
      <vt:variant>
        <vt:i4>333</vt:i4>
      </vt:variant>
      <vt:variant>
        <vt:i4>0</vt:i4>
      </vt:variant>
      <vt:variant>
        <vt:i4>5</vt:i4>
      </vt:variant>
      <vt:variant>
        <vt:lpwstr>https://www.acpjournals.org/doi/10.7326/M22-0756</vt:lpwstr>
      </vt:variant>
      <vt:variant>
        <vt:lpwstr/>
      </vt:variant>
      <vt:variant>
        <vt:i4>6357096</vt:i4>
      </vt:variant>
      <vt:variant>
        <vt:i4>330</vt:i4>
      </vt:variant>
      <vt:variant>
        <vt:i4>0</vt:i4>
      </vt:variant>
      <vt:variant>
        <vt:i4>5</vt:i4>
      </vt:variant>
      <vt:variant>
        <vt:lpwstr>https://jamanetwork.com/journals/jama/article-abstract/2809735</vt:lpwstr>
      </vt:variant>
      <vt:variant>
        <vt:lpwstr/>
      </vt:variant>
      <vt:variant>
        <vt:i4>65624</vt:i4>
      </vt:variant>
      <vt:variant>
        <vt:i4>327</vt:i4>
      </vt:variant>
      <vt:variant>
        <vt:i4>0</vt:i4>
      </vt:variant>
      <vt:variant>
        <vt:i4>5</vt:i4>
      </vt:variant>
      <vt:variant>
        <vt:lpwstr>https://jamanetwork.com/journals/jamanetworkopen/fullarticle/2837769</vt:lpwstr>
      </vt:variant>
      <vt:variant>
        <vt:lpwstr/>
      </vt:variant>
      <vt:variant>
        <vt:i4>1900667</vt:i4>
      </vt:variant>
      <vt:variant>
        <vt:i4>324</vt:i4>
      </vt:variant>
      <vt:variant>
        <vt:i4>0</vt:i4>
      </vt:variant>
      <vt:variant>
        <vt:i4>5</vt:i4>
      </vt:variant>
      <vt:variant>
        <vt:lpwstr>https://portal.ct.gov/cid/-/media/cid/1_notices/prescription-drug-credit-notice.pdf</vt:lpwstr>
      </vt:variant>
      <vt:variant>
        <vt:lpwstr/>
      </vt:variant>
      <vt:variant>
        <vt:i4>4784150</vt:i4>
      </vt:variant>
      <vt:variant>
        <vt:i4>321</vt:i4>
      </vt:variant>
      <vt:variant>
        <vt:i4>0</vt:i4>
      </vt:variant>
      <vt:variant>
        <vt:i4>5</vt:i4>
      </vt:variant>
      <vt:variant>
        <vt:lpwstr>https://www.ncsl.org/health/copayment-adjustment-programs</vt:lpwstr>
      </vt:variant>
      <vt:variant>
        <vt:lpwstr/>
      </vt:variant>
      <vt:variant>
        <vt:i4>393236</vt:i4>
      </vt:variant>
      <vt:variant>
        <vt:i4>318</vt:i4>
      </vt:variant>
      <vt:variant>
        <vt:i4>0</vt:i4>
      </vt:variant>
      <vt:variant>
        <vt:i4>5</vt:i4>
      </vt:variant>
      <vt:variant>
        <vt:lpwstr>https://mgaleg.maryland.gov/mgawebsite/Laws/StatuteText?article=gin&amp;section=15-118.1&amp;enactments=false</vt:lpwstr>
      </vt:variant>
      <vt:variant>
        <vt:lpwstr/>
      </vt:variant>
      <vt:variant>
        <vt:i4>6422643</vt:i4>
      </vt:variant>
      <vt:variant>
        <vt:i4>315</vt:i4>
      </vt:variant>
      <vt:variant>
        <vt:i4>0</vt:i4>
      </vt:variant>
      <vt:variant>
        <vt:i4>5</vt:i4>
      </vt:variant>
      <vt:variant>
        <vt:lpwstr>https://leg.colorado.gov/bills/SB26-167</vt:lpwstr>
      </vt:variant>
      <vt:variant>
        <vt:lpwstr/>
      </vt:variant>
      <vt:variant>
        <vt:i4>1572960</vt:i4>
      </vt:variant>
      <vt:variant>
        <vt:i4>312</vt:i4>
      </vt:variant>
      <vt:variant>
        <vt:i4>0</vt:i4>
      </vt:variant>
      <vt:variant>
        <vt:i4>5</vt:i4>
      </vt:variant>
      <vt:variant>
        <vt:lpwstr>https://civicarx.org/wp-content/uploads/2023/07/Civica-and-California-Partnership-PR-FINAL_3.20-.pdf</vt:lpwstr>
      </vt:variant>
      <vt:variant>
        <vt:lpwstr/>
      </vt:variant>
      <vt:variant>
        <vt:i4>6750270</vt:i4>
      </vt:variant>
      <vt:variant>
        <vt:i4>309</vt:i4>
      </vt:variant>
      <vt:variant>
        <vt:i4>0</vt:i4>
      </vt:variant>
      <vt:variant>
        <vt:i4>5</vt:i4>
      </vt:variant>
      <vt:variant>
        <vt:lpwstr>https://calrx.ca.gov/naloxone/</vt:lpwstr>
      </vt:variant>
      <vt:variant>
        <vt:lpwstr/>
      </vt:variant>
      <vt:variant>
        <vt:i4>3473440</vt:i4>
      </vt:variant>
      <vt:variant>
        <vt:i4>306</vt:i4>
      </vt:variant>
      <vt:variant>
        <vt:i4>0</vt:i4>
      </vt:variant>
      <vt:variant>
        <vt:i4>5</vt:i4>
      </vt:variant>
      <vt:variant>
        <vt:lpwstr>https://calrx.ca.gov/biosimilar-insulin-initiative/</vt:lpwstr>
      </vt:variant>
      <vt:variant>
        <vt:lpwstr/>
      </vt:variant>
      <vt:variant>
        <vt:i4>8061039</vt:i4>
      </vt:variant>
      <vt:variant>
        <vt:i4>303</vt:i4>
      </vt:variant>
      <vt:variant>
        <vt:i4>0</vt:i4>
      </vt:variant>
      <vt:variant>
        <vt:i4>5</vt:i4>
      </vt:variant>
      <vt:variant>
        <vt:lpwstr>https://amneal.com/</vt:lpwstr>
      </vt:variant>
      <vt:variant>
        <vt:lpwstr/>
      </vt:variant>
      <vt:variant>
        <vt:i4>7798816</vt:i4>
      </vt:variant>
      <vt:variant>
        <vt:i4>300</vt:i4>
      </vt:variant>
      <vt:variant>
        <vt:i4>0</vt:i4>
      </vt:variant>
      <vt:variant>
        <vt:i4>5</vt:i4>
      </vt:variant>
      <vt:variant>
        <vt:lpwstr>https://tool.nashp.org/</vt:lpwstr>
      </vt:variant>
      <vt:variant>
        <vt:lpwstr/>
      </vt:variant>
      <vt:variant>
        <vt:i4>2359422</vt:i4>
      </vt:variant>
      <vt:variant>
        <vt:i4>297</vt:i4>
      </vt:variant>
      <vt:variant>
        <vt:i4>0</vt:i4>
      </vt:variant>
      <vt:variant>
        <vt:i4>5</vt:i4>
      </vt:variant>
      <vt:variant>
        <vt:lpwstr>https://www.cms.gov/priorities/key-initiatives/hospital-price-transparency</vt:lpwstr>
      </vt:variant>
      <vt:variant>
        <vt:lpwstr/>
      </vt:variant>
      <vt:variant>
        <vt:i4>786436</vt:i4>
      </vt:variant>
      <vt:variant>
        <vt:i4>294</vt:i4>
      </vt:variant>
      <vt:variant>
        <vt:i4>0</vt:i4>
      </vt:variant>
      <vt:variant>
        <vt:i4>5</vt:i4>
      </vt:variant>
      <vt:variant>
        <vt:lpwstr>https://pubmed.ncbi.nlm.nih.gov/37011313/</vt:lpwstr>
      </vt:variant>
      <vt:variant>
        <vt:lpwstr/>
      </vt:variant>
      <vt:variant>
        <vt:i4>2424944</vt:i4>
      </vt:variant>
      <vt:variant>
        <vt:i4>291</vt:i4>
      </vt:variant>
      <vt:variant>
        <vt:i4>0</vt:i4>
      </vt:variant>
      <vt:variant>
        <vt:i4>5</vt:i4>
      </vt:variant>
      <vt:variant>
        <vt:lpwstr>https://oig.hhs.gov/documents/audit/10042/A-07-22-06108.pdf</vt:lpwstr>
      </vt:variant>
      <vt:variant>
        <vt:lpwstr/>
      </vt:variant>
      <vt:variant>
        <vt:i4>3014760</vt:i4>
      </vt:variant>
      <vt:variant>
        <vt:i4>288</vt:i4>
      </vt:variant>
      <vt:variant>
        <vt:i4>0</vt:i4>
      </vt:variant>
      <vt:variant>
        <vt:i4>5</vt:i4>
      </vt:variant>
      <vt:variant>
        <vt:lpwstr>https://www.census.gov/library/publications/2025/demo/p60-288.html</vt:lpwstr>
      </vt:variant>
      <vt:variant>
        <vt:lpwstr/>
      </vt:variant>
      <vt:variant>
        <vt:i4>1769485</vt:i4>
      </vt:variant>
      <vt:variant>
        <vt:i4>285</vt:i4>
      </vt:variant>
      <vt:variant>
        <vt:i4>0</vt:i4>
      </vt:variant>
      <vt:variant>
        <vt:i4>5</vt:i4>
      </vt:variant>
      <vt:variant>
        <vt:lpwstr>https://chir.georgetown.edu/leveraging-data-to-control-health-care-costs/</vt:lpwstr>
      </vt:variant>
      <vt:variant>
        <vt:lpwstr/>
      </vt:variant>
      <vt:variant>
        <vt:i4>196615</vt:i4>
      </vt:variant>
      <vt:variant>
        <vt:i4>282</vt:i4>
      </vt:variant>
      <vt:variant>
        <vt:i4>0</vt:i4>
      </vt:variant>
      <vt:variant>
        <vt:i4>5</vt:i4>
      </vt:variant>
      <vt:variant>
        <vt:lpwstr>https://www.frontiersin.org/journals/health-services/articles/10.3389/frhs.2024.1379416/full</vt:lpwstr>
      </vt:variant>
      <vt:variant>
        <vt:lpwstr/>
      </vt:variant>
      <vt:variant>
        <vt:i4>6619191</vt:i4>
      </vt:variant>
      <vt:variant>
        <vt:i4>279</vt:i4>
      </vt:variant>
      <vt:variant>
        <vt:i4>0</vt:i4>
      </vt:variant>
      <vt:variant>
        <vt:i4>5</vt:i4>
      </vt:variant>
      <vt:variant>
        <vt:lpwstr>https://www.healthaffairs.org/content/forefront/state-efforts-improve-pricetransparency</vt:lpwstr>
      </vt:variant>
      <vt:variant>
        <vt:lpwstr/>
      </vt:variant>
      <vt:variant>
        <vt:i4>2228271</vt:i4>
      </vt:variant>
      <vt:variant>
        <vt:i4>276</vt:i4>
      </vt:variant>
      <vt:variant>
        <vt:i4>0</vt:i4>
      </vt:variant>
      <vt:variant>
        <vt:i4>5</vt:i4>
      </vt:variant>
      <vt:variant>
        <vt:lpwstr>https://sourceonhealthcare.org/spotlight-on-2025-state-price-transparency-actions/</vt:lpwstr>
      </vt:variant>
      <vt:variant>
        <vt:lpwstr/>
      </vt:variant>
      <vt:variant>
        <vt:i4>2359392</vt:i4>
      </vt:variant>
      <vt:variant>
        <vt:i4>273</vt:i4>
      </vt:variant>
      <vt:variant>
        <vt:i4>0</vt:i4>
      </vt:variant>
      <vt:variant>
        <vt:i4>5</vt:i4>
      </vt:variant>
      <vt:variant>
        <vt:lpwstr>https://jhmhp.amegroups.org/article/view/8144/html</vt:lpwstr>
      </vt:variant>
      <vt:variant>
        <vt:lpwstr/>
      </vt:variant>
      <vt:variant>
        <vt:i4>7733358</vt:i4>
      </vt:variant>
      <vt:variant>
        <vt:i4>270</vt:i4>
      </vt:variant>
      <vt:variant>
        <vt:i4>0</vt:i4>
      </vt:variant>
      <vt:variant>
        <vt:i4>5</vt:i4>
      </vt:variant>
      <vt:variant>
        <vt:lpwstr>https://www.analysisgroup.com/globalassets/insights/publishing/2024_aba_article_relationship_between_pricing_transparency.pdf</vt:lpwstr>
      </vt:variant>
      <vt:variant>
        <vt:lpwstr/>
      </vt:variant>
      <vt:variant>
        <vt:i4>3801109</vt:i4>
      </vt:variant>
      <vt:variant>
        <vt:i4>267</vt:i4>
      </vt:variant>
      <vt:variant>
        <vt:i4>0</vt:i4>
      </vt:variant>
      <vt:variant>
        <vt:i4>5</vt:i4>
      </vt:variant>
      <vt:variant>
        <vt:lpwstr>https://pmc.ncbi.nlm.nih.gov/articles/PMC11015359/pdf/jmir_v26i1e50629.pdf</vt:lpwstr>
      </vt:variant>
      <vt:variant>
        <vt:lpwstr/>
      </vt:variant>
      <vt:variant>
        <vt:i4>589924</vt:i4>
      </vt:variant>
      <vt:variant>
        <vt:i4>264</vt:i4>
      </vt:variant>
      <vt:variant>
        <vt:i4>0</vt:i4>
      </vt:variant>
      <vt:variant>
        <vt:i4>5</vt:i4>
      </vt:variant>
      <vt:variant>
        <vt:lpwstr>https://iga.in.gov/publications/agency_report/2025-Annual-Report---All-Payer-Claims-Database.pdf</vt:lpwstr>
      </vt:variant>
      <vt:variant>
        <vt:lpwstr/>
      </vt:variant>
      <vt:variant>
        <vt:i4>4784133</vt:i4>
      </vt:variant>
      <vt:variant>
        <vt:i4>261</vt:i4>
      </vt:variant>
      <vt:variant>
        <vt:i4>0</vt:i4>
      </vt:variant>
      <vt:variant>
        <vt:i4>5</vt:i4>
      </vt:variant>
      <vt:variant>
        <vt:lpwstr>https://healthcostinstitute.org/all-hcci-reports/trends-in-utilization-and-prices-for-site-neutral-services-in-hospital-outpatient-and-physician-office-settings</vt:lpwstr>
      </vt:variant>
      <vt:variant>
        <vt:lpwstr/>
      </vt:variant>
      <vt:variant>
        <vt:i4>196691</vt:i4>
      </vt:variant>
      <vt:variant>
        <vt:i4>258</vt:i4>
      </vt:variant>
      <vt:variant>
        <vt:i4>0</vt:i4>
      </vt:variant>
      <vt:variant>
        <vt:i4>5</vt:i4>
      </vt:variant>
      <vt:variant>
        <vt:lpwstr>https://turquoise.health/resources/blog/examining-rate-trends-by-annualized-rate-change-over-time</vt:lpwstr>
      </vt:variant>
      <vt:variant>
        <vt:lpwstr/>
      </vt:variant>
      <vt:variant>
        <vt:i4>3407910</vt:i4>
      </vt:variant>
      <vt:variant>
        <vt:i4>255</vt:i4>
      </vt:variant>
      <vt:variant>
        <vt:i4>0</vt:i4>
      </vt:variant>
      <vt:variant>
        <vt:i4>5</vt:i4>
      </vt:variant>
      <vt:variant>
        <vt:lpwstr>https://www.congress.gov/crs-product/R48570</vt:lpwstr>
      </vt:variant>
      <vt:variant>
        <vt:lpwstr/>
      </vt:variant>
      <vt:variant>
        <vt:i4>7536756</vt:i4>
      </vt:variant>
      <vt:variant>
        <vt:i4>252</vt:i4>
      </vt:variant>
      <vt:variant>
        <vt:i4>0</vt:i4>
      </vt:variant>
      <vt:variant>
        <vt:i4>5</vt:i4>
      </vt:variant>
      <vt:variant>
        <vt:lpwstr>https://cahpr.sph.brown.edu/sites/default/files/documents/Policy Briefs/Healthcare Price Transparency Policy Brief (1).pdf</vt:lpwstr>
      </vt:variant>
      <vt:variant>
        <vt:lpwstr/>
      </vt:variant>
      <vt:variant>
        <vt:i4>5832720</vt:i4>
      </vt:variant>
      <vt:variant>
        <vt:i4>249</vt:i4>
      </vt:variant>
      <vt:variant>
        <vt:i4>0</vt:i4>
      </vt:variant>
      <vt:variant>
        <vt:i4>5</vt:i4>
      </vt:variant>
      <vt:variant>
        <vt:lpwstr>https://www.cms.gov/files/document/highlights.pdf</vt:lpwstr>
      </vt:variant>
      <vt:variant>
        <vt:lpwstr/>
      </vt:variant>
      <vt:variant>
        <vt:i4>1835020</vt:i4>
      </vt:variant>
      <vt:variant>
        <vt:i4>246</vt:i4>
      </vt:variant>
      <vt:variant>
        <vt:i4>0</vt:i4>
      </vt:variant>
      <vt:variant>
        <vt:i4>5</vt:i4>
      </vt:variant>
      <vt:variant>
        <vt:lpwstr>https://www.brookings.edu/articles/the-hospital-price-transparency-rule-is-working-but-patients-still-need-help-using-it/</vt:lpwstr>
      </vt:variant>
      <vt:variant>
        <vt:lpwstr/>
      </vt:variant>
      <vt:variant>
        <vt:i4>2949169</vt:i4>
      </vt:variant>
      <vt:variant>
        <vt:i4>243</vt:i4>
      </vt:variant>
      <vt:variant>
        <vt:i4>0</vt:i4>
      </vt:variant>
      <vt:variant>
        <vt:i4>5</vt:i4>
      </vt:variant>
      <vt:variant>
        <vt:lpwstr>https://www.nejm.org/doi/full/10.1056/NEJMsa1700087</vt:lpwstr>
      </vt:variant>
      <vt:variant>
        <vt:lpwstr/>
      </vt:variant>
      <vt:variant>
        <vt:i4>65547</vt:i4>
      </vt:variant>
      <vt:variant>
        <vt:i4>240</vt:i4>
      </vt:variant>
      <vt:variant>
        <vt:i4>0</vt:i4>
      </vt:variant>
      <vt:variant>
        <vt:i4>5</vt:i4>
      </vt:variant>
      <vt:variant>
        <vt:lpwstr>https://pubmed.ncbi.nlm.nih.gov/26348851/</vt:lpwstr>
      </vt:variant>
      <vt:variant>
        <vt:lpwstr/>
      </vt:variant>
      <vt:variant>
        <vt:i4>3670033</vt:i4>
      </vt:variant>
      <vt:variant>
        <vt:i4>237</vt:i4>
      </vt:variant>
      <vt:variant>
        <vt:i4>0</vt:i4>
      </vt:variant>
      <vt:variant>
        <vt:i4>5</vt:i4>
      </vt:variant>
      <vt:variant>
        <vt:lpwstr>https://bcht.berkeley.edu/sites/default/files/using_data_to_lower_costs_ca_reference-based_payment_other_states_10.18_.pdf</vt:lpwstr>
      </vt:variant>
      <vt:variant>
        <vt:lpwstr/>
      </vt:variant>
      <vt:variant>
        <vt:i4>3735589</vt:i4>
      </vt:variant>
      <vt:variant>
        <vt:i4>234</vt:i4>
      </vt:variant>
      <vt:variant>
        <vt:i4>0</vt:i4>
      </vt:variant>
      <vt:variant>
        <vt:i4>5</vt:i4>
      </vt:variant>
      <vt:variant>
        <vt:lpwstr>https://pmc.ncbi.nlm.nih.gov/articles/PMC10830326/</vt:lpwstr>
      </vt:variant>
      <vt:variant>
        <vt:lpwstr/>
      </vt:variant>
      <vt:variant>
        <vt:i4>6750329</vt:i4>
      </vt:variant>
      <vt:variant>
        <vt:i4>231</vt:i4>
      </vt:variant>
      <vt:variant>
        <vt:i4>0</vt:i4>
      </vt:variant>
      <vt:variant>
        <vt:i4>5</vt:i4>
      </vt:variant>
      <vt:variant>
        <vt:lpwstr>https://www.healthaffairs.org/doi/abs/10.1377/hlthaff.2013.0188?journalCode=hlthaff</vt:lpwstr>
      </vt:variant>
      <vt:variant>
        <vt:lpwstr/>
      </vt:variant>
      <vt:variant>
        <vt:i4>3014719</vt:i4>
      </vt:variant>
      <vt:variant>
        <vt:i4>228</vt:i4>
      </vt:variant>
      <vt:variant>
        <vt:i4>0</vt:i4>
      </vt:variant>
      <vt:variant>
        <vt:i4>5</vt:i4>
      </vt:variant>
      <vt:variant>
        <vt:lpwstr>https://cahpr.sph.brown.edu/tools/simulator</vt:lpwstr>
      </vt:variant>
      <vt:variant>
        <vt:lpwstr/>
      </vt:variant>
      <vt:variant>
        <vt:i4>7536685</vt:i4>
      </vt:variant>
      <vt:variant>
        <vt:i4>225</vt:i4>
      </vt:variant>
      <vt:variant>
        <vt:i4>0</vt:i4>
      </vt:variant>
      <vt:variant>
        <vt:i4>5</vt:i4>
      </vt:variant>
      <vt:variant>
        <vt:lpwstr>https://ideas.repec.org/a/ucp/amjhec/v5y2019i2p227-249.html</vt:lpwstr>
      </vt:variant>
      <vt:variant>
        <vt:lpwstr/>
      </vt:variant>
      <vt:variant>
        <vt:i4>6226036</vt:i4>
      </vt:variant>
      <vt:variant>
        <vt:i4>222</vt:i4>
      </vt:variant>
      <vt:variant>
        <vt:i4>0</vt:i4>
      </vt:variant>
      <vt:variant>
        <vt:i4>5</vt:i4>
      </vt:variant>
      <vt:variant>
        <vt:lpwstr>https://ajmc.s3.amazonaws.com/_media/_pdf/AJMC_02_2019_Sinaiko final.pdf</vt:lpwstr>
      </vt:variant>
      <vt:variant>
        <vt:lpwstr/>
      </vt:variant>
      <vt:variant>
        <vt:i4>3866674</vt:i4>
      </vt:variant>
      <vt:variant>
        <vt:i4>219</vt:i4>
      </vt:variant>
      <vt:variant>
        <vt:i4>0</vt:i4>
      </vt:variant>
      <vt:variant>
        <vt:i4>5</vt:i4>
      </vt:variant>
      <vt:variant>
        <vt:lpwstr>https://www.hca.wa.gov/assets/program/cost-board-leg-presentation-20241209.pdf</vt:lpwstr>
      </vt:variant>
      <vt:variant>
        <vt:lpwstr/>
      </vt:variant>
      <vt:variant>
        <vt:i4>327761</vt:i4>
      </vt:variant>
      <vt:variant>
        <vt:i4>216</vt:i4>
      </vt:variant>
      <vt:variant>
        <vt:i4>0</vt:i4>
      </vt:variant>
      <vt:variant>
        <vt:i4>5</vt:i4>
      </vt:variant>
      <vt:variant>
        <vt:lpwstr>https://www.versanconsulting.com/post/the-undoing-of-success-multipart-series-on-the-undoing-of-montana-s-successful-rbp-program</vt:lpwstr>
      </vt:variant>
      <vt:variant>
        <vt:lpwstr/>
      </vt:variant>
      <vt:variant>
        <vt:i4>852038</vt:i4>
      </vt:variant>
      <vt:variant>
        <vt:i4>213</vt:i4>
      </vt:variant>
      <vt:variant>
        <vt:i4>0</vt:i4>
      </vt:variant>
      <vt:variant>
        <vt:i4>5</vt:i4>
      </vt:variant>
      <vt:variant>
        <vt:lpwstr>https://sourceonhealthcare.org/vermont-enacts-significant-legislation-addressing-healthcare-costs-and-hospital-budgets/?print=pdf</vt:lpwstr>
      </vt:variant>
      <vt:variant>
        <vt:lpwstr/>
      </vt:variant>
      <vt:variant>
        <vt:i4>2752564</vt:i4>
      </vt:variant>
      <vt:variant>
        <vt:i4>210</vt:i4>
      </vt:variant>
      <vt:variant>
        <vt:i4>0</vt:i4>
      </vt:variant>
      <vt:variant>
        <vt:i4>5</vt:i4>
      </vt:variant>
      <vt:variant>
        <vt:lpwstr>https://employernewsak.premera.com/alaska-out-of-network-reimbursement-update/</vt:lpwstr>
      </vt:variant>
      <vt:variant>
        <vt:lpwstr/>
      </vt:variant>
      <vt:variant>
        <vt:i4>5439555</vt:i4>
      </vt:variant>
      <vt:variant>
        <vt:i4>207</vt:i4>
      </vt:variant>
      <vt:variant>
        <vt:i4>0</vt:i4>
      </vt:variant>
      <vt:variant>
        <vt:i4>5</vt:i4>
      </vt:variant>
      <vt:variant>
        <vt:lpwstr>https://www.news-medical.net/news/20251202/Hospital-payment-caps-linked-to-savings-and-stable-care-in-Oregon.aspx</vt:lpwstr>
      </vt:variant>
      <vt:variant>
        <vt:lpwstr/>
      </vt:variant>
      <vt:variant>
        <vt:i4>3276819</vt:i4>
      </vt:variant>
      <vt:variant>
        <vt:i4>204</vt:i4>
      </vt:variant>
      <vt:variant>
        <vt:i4>0</vt:i4>
      </vt:variant>
      <vt:variant>
        <vt:i4>5</vt:i4>
      </vt:variant>
      <vt:variant>
        <vt:lpwstr>https://nashp.org/state-tracker/overview-of-states-hospital-reference-based-pricing-to-medicare-initiatives/?utm_source=copilot.com</vt:lpwstr>
      </vt:variant>
      <vt:variant>
        <vt:lpwstr/>
      </vt:variant>
      <vt:variant>
        <vt:i4>262236</vt:i4>
      </vt:variant>
      <vt:variant>
        <vt:i4>201</vt:i4>
      </vt:variant>
      <vt:variant>
        <vt:i4>0</vt:i4>
      </vt:variant>
      <vt:variant>
        <vt:i4>5</vt:i4>
      </vt:variant>
      <vt:variant>
        <vt:lpwstr>https://nashp.org/independent-analysis-finds-montana-has-saved-millions-by-moving-hospital-rate-negotiations-to-reference-based-pricing/</vt:lpwstr>
      </vt:variant>
      <vt:variant>
        <vt:lpwstr/>
      </vt:variant>
      <vt:variant>
        <vt:i4>3735648</vt:i4>
      </vt:variant>
      <vt:variant>
        <vt:i4>198</vt:i4>
      </vt:variant>
      <vt:variant>
        <vt:i4>0</vt:i4>
      </vt:variant>
      <vt:variant>
        <vt:i4>5</vt:i4>
      </vt:variant>
      <vt:variant>
        <vt:lpwstr>https://www.milbank.org/publications/how-payment-caps-can-reduce-hospital-prices-and-spending-lessons-from-the-oregon-state-employee-plan/</vt:lpwstr>
      </vt:variant>
      <vt:variant>
        <vt:lpwstr/>
      </vt:variant>
      <vt:variant>
        <vt:i4>4390941</vt:i4>
      </vt:variant>
      <vt:variant>
        <vt:i4>195</vt:i4>
      </vt:variant>
      <vt:variant>
        <vt:i4>0</vt:i4>
      </vt:variant>
      <vt:variant>
        <vt:i4>5</vt:i4>
      </vt:variant>
      <vt:variant>
        <vt:lpwstr>https://www.indianasenaterepublicans.com/charbonneau-database-to-provide-health-care-cost-transparency-launched/</vt:lpwstr>
      </vt:variant>
      <vt:variant>
        <vt:lpwstr/>
      </vt:variant>
      <vt:variant>
        <vt:i4>1376339</vt:i4>
      </vt:variant>
      <vt:variant>
        <vt:i4>192</vt:i4>
      </vt:variant>
      <vt:variant>
        <vt:i4>0</vt:i4>
      </vt:variant>
      <vt:variant>
        <vt:i4>5</vt:i4>
      </vt:variant>
      <vt:variant>
        <vt:lpwstr>https://www.in.gov/idoi/files/2023-Annual-Report.pdf</vt:lpwstr>
      </vt:variant>
      <vt:variant>
        <vt:lpwstr/>
      </vt:variant>
      <vt:variant>
        <vt:i4>589838</vt:i4>
      </vt:variant>
      <vt:variant>
        <vt:i4>189</vt:i4>
      </vt:variant>
      <vt:variant>
        <vt:i4>0</vt:i4>
      </vt:variant>
      <vt:variant>
        <vt:i4>5</vt:i4>
      </vt:variant>
      <vt:variant>
        <vt:lpwstr>https://www.healthaffairs.org/doi/10.1377/hlthaff.2024.01146</vt:lpwstr>
      </vt:variant>
      <vt:variant>
        <vt:lpwstr/>
      </vt:variant>
      <vt:variant>
        <vt:i4>131081</vt:i4>
      </vt:variant>
      <vt:variant>
        <vt:i4>186</vt:i4>
      </vt:variant>
      <vt:variant>
        <vt:i4>0</vt:i4>
      </vt:variant>
      <vt:variant>
        <vt:i4>5</vt:i4>
      </vt:variant>
      <vt:variant>
        <vt:lpwstr>https://gmcboard.vermont.gov/FY25-HB-Guidance</vt:lpwstr>
      </vt:variant>
      <vt:variant>
        <vt:lpwstr/>
      </vt:variant>
      <vt:variant>
        <vt:i4>1638416</vt:i4>
      </vt:variant>
      <vt:variant>
        <vt:i4>183</vt:i4>
      </vt:variant>
      <vt:variant>
        <vt:i4>0</vt:i4>
      </vt:variant>
      <vt:variant>
        <vt:i4>5</vt:i4>
      </vt:variant>
      <vt:variant>
        <vt:lpwstr>https://nihcr.org/wp-content/uploads/2015/03/HSC_Research_Brief_No._30.pdf</vt:lpwstr>
      </vt:variant>
      <vt:variant>
        <vt:lpwstr/>
      </vt:variant>
      <vt:variant>
        <vt:i4>3342398</vt:i4>
      </vt:variant>
      <vt:variant>
        <vt:i4>180</vt:i4>
      </vt:variant>
      <vt:variant>
        <vt:i4>0</vt:i4>
      </vt:variant>
      <vt:variant>
        <vt:i4>5</vt:i4>
      </vt:variant>
      <vt:variant>
        <vt:lpwstr>https://www.federalregister.gov/documents/2026/05/20/2026-10050/patient-protection-and-affordable-care-act-hhs-notice-of-benefit-and-payment-parameters-for-2027-and</vt:lpwstr>
      </vt:variant>
      <vt:variant>
        <vt:lpwstr>page-29875</vt:lpwstr>
      </vt:variant>
      <vt:variant>
        <vt:i4>2883597</vt:i4>
      </vt:variant>
      <vt:variant>
        <vt:i4>177</vt:i4>
      </vt:variant>
      <vt:variant>
        <vt:i4>0</vt:i4>
      </vt:variant>
      <vt:variant>
        <vt:i4>5</vt:i4>
      </vt:variant>
      <vt:variant>
        <vt:lpwstr>https://www.cms.gov/cciio/resources/fact-sheets-and-faqs/downloads/reference_pricing_faq_101014.pdf</vt:lpwstr>
      </vt:variant>
      <vt:variant>
        <vt:lpwstr/>
      </vt:variant>
      <vt:variant>
        <vt:i4>5570645</vt:i4>
      </vt:variant>
      <vt:variant>
        <vt:i4>174</vt:i4>
      </vt:variant>
      <vt:variant>
        <vt:i4>0</vt:i4>
      </vt:variant>
      <vt:variant>
        <vt:i4>5</vt:i4>
      </vt:variant>
      <vt:variant>
        <vt:lpwstr>https://www.cms.gov/cciio/resources/fact-sheets-and-faqs/aca_implementation_faqs19</vt:lpwstr>
      </vt:variant>
      <vt:variant>
        <vt:lpwstr/>
      </vt:variant>
      <vt:variant>
        <vt:i4>5308502</vt:i4>
      </vt:variant>
      <vt:variant>
        <vt:i4>171</vt:i4>
      </vt:variant>
      <vt:variant>
        <vt:i4>0</vt:i4>
      </vt:variant>
      <vt:variant>
        <vt:i4>5</vt:i4>
      </vt:variant>
      <vt:variant>
        <vt:lpwstr>https://sph.brown.edu/news/2025-12-02/hospital-price-caps</vt:lpwstr>
      </vt:variant>
      <vt:variant>
        <vt:lpwstr/>
      </vt:variant>
      <vt:variant>
        <vt:i4>7733296</vt:i4>
      </vt:variant>
      <vt:variant>
        <vt:i4>168</vt:i4>
      </vt:variant>
      <vt:variant>
        <vt:i4>0</vt:i4>
      </vt:variant>
      <vt:variant>
        <vt:i4>5</vt:i4>
      </vt:variant>
      <vt:variant>
        <vt:lpwstr>https://www.calpers.ca.gov/sites/default/files/spf/docs/board-agendas/201306/pension/item-7.pdf</vt:lpwstr>
      </vt:variant>
      <vt:variant>
        <vt:lpwstr/>
      </vt:variant>
      <vt:variant>
        <vt:i4>3670138</vt:i4>
      </vt:variant>
      <vt:variant>
        <vt:i4>165</vt:i4>
      </vt:variant>
      <vt:variant>
        <vt:i4>0</vt:i4>
      </vt:variant>
      <vt:variant>
        <vt:i4>5</vt:i4>
      </vt:variant>
      <vt:variant>
        <vt:lpwstr>https://www.arnoldventures.org/stories/state-policy-win-snapshot-indiana-takes-a-step-forward-on-site-neutral-payments/</vt:lpwstr>
      </vt:variant>
      <vt:variant>
        <vt:lpwstr/>
      </vt:variant>
      <vt:variant>
        <vt:i4>2162739</vt:i4>
      </vt:variant>
      <vt:variant>
        <vt:i4>162</vt:i4>
      </vt:variant>
      <vt:variant>
        <vt:i4>0</vt:i4>
      </vt:variant>
      <vt:variant>
        <vt:i4>5</vt:i4>
      </vt:variant>
      <vt:variant>
        <vt:lpwstr>https://alaskabeacon.com/briefs/alaska-judge-rules-in-states-favor-on-repeal-of-a-rule-intended-to-limit-health-care-costs/</vt:lpwstr>
      </vt:variant>
      <vt:variant>
        <vt:lpwstr/>
      </vt:variant>
      <vt:variant>
        <vt:i4>1310737</vt:i4>
      </vt:variant>
      <vt:variant>
        <vt:i4>159</vt:i4>
      </vt:variant>
      <vt:variant>
        <vt:i4>0</vt:i4>
      </vt:variant>
      <vt:variant>
        <vt:i4>5</vt:i4>
      </vt:variant>
      <vt:variant>
        <vt:lpwstr>https://americashealthcarefuture.org/wp-content/uploads/2024/04/FINAL-REPORT.pdf</vt:lpwstr>
      </vt:variant>
      <vt:variant>
        <vt:lpwstr/>
      </vt:variant>
      <vt:variant>
        <vt:i4>2162800</vt:i4>
      </vt:variant>
      <vt:variant>
        <vt:i4>156</vt:i4>
      </vt:variant>
      <vt:variant>
        <vt:i4>0</vt:i4>
      </vt:variant>
      <vt:variant>
        <vt:i4>5</vt:i4>
      </vt:variant>
      <vt:variant>
        <vt:lpwstr>https://www.urban.org/research/publication/there-potential-public-plans-reduce-premiums-competing-insurers</vt:lpwstr>
      </vt:variant>
      <vt:variant>
        <vt:lpwstr/>
      </vt:variant>
      <vt:variant>
        <vt:i4>1966157</vt:i4>
      </vt:variant>
      <vt:variant>
        <vt:i4>153</vt:i4>
      </vt:variant>
      <vt:variant>
        <vt:i4>0</vt:i4>
      </vt:variant>
      <vt:variant>
        <vt:i4>5</vt:i4>
      </vt:variant>
      <vt:variant>
        <vt:lpwstr>https://www.urban.org/sites/default/files/2022-05/estimating-the-impact-of-a-public-option-or-capping-provider-payment-rates.pdf</vt:lpwstr>
      </vt:variant>
      <vt:variant>
        <vt:lpwstr/>
      </vt:variant>
      <vt:variant>
        <vt:i4>2293841</vt:i4>
      </vt:variant>
      <vt:variant>
        <vt:i4>150</vt:i4>
      </vt:variant>
      <vt:variant>
        <vt:i4>0</vt:i4>
      </vt:variant>
      <vt:variant>
        <vt:i4>5</vt:i4>
      </vt:variant>
      <vt:variant>
        <vt:lpwstr>https://www.rand.org/pubs/research_reports/RR3153.html</vt:lpwstr>
      </vt:variant>
      <vt:variant>
        <vt:lpwstr/>
      </vt:variant>
      <vt:variant>
        <vt:i4>7733334</vt:i4>
      </vt:variant>
      <vt:variant>
        <vt:i4>147</vt:i4>
      </vt:variant>
      <vt:variant>
        <vt:i4>0</vt:i4>
      </vt:variant>
      <vt:variant>
        <vt:i4>5</vt:i4>
      </vt:variant>
      <vt:variant>
        <vt:lpwstr>https://www.rand.org/pubs/research_briefs/RB10120.html?</vt:lpwstr>
      </vt:variant>
      <vt:variant>
        <vt:lpwstr/>
      </vt:variant>
      <vt:variant>
        <vt:i4>7536748</vt:i4>
      </vt:variant>
      <vt:variant>
        <vt:i4>144</vt:i4>
      </vt:variant>
      <vt:variant>
        <vt:i4>0</vt:i4>
      </vt:variant>
      <vt:variant>
        <vt:i4>5</vt:i4>
      </vt:variant>
      <vt:variant>
        <vt:lpwstr>https://www.chcf.org/wp-content/uploads/2021/03/StatePublicOptionsComparingModelsAcrossCountry.pdf</vt:lpwstr>
      </vt:variant>
      <vt:variant>
        <vt:lpwstr/>
      </vt:variant>
      <vt:variant>
        <vt:i4>917518</vt:i4>
      </vt:variant>
      <vt:variant>
        <vt:i4>141</vt:i4>
      </vt:variant>
      <vt:variant>
        <vt:i4>0</vt:i4>
      </vt:variant>
      <vt:variant>
        <vt:i4>5</vt:i4>
      </vt:variant>
      <vt:variant>
        <vt:lpwstr>https://tcf.org/content/report/how-to-create-a-public-health-insurance-plan-lessons-from-states/</vt:lpwstr>
      </vt:variant>
      <vt:variant>
        <vt:lpwstr/>
      </vt:variant>
      <vt:variant>
        <vt:i4>3407984</vt:i4>
      </vt:variant>
      <vt:variant>
        <vt:i4>138</vt:i4>
      </vt:variant>
      <vt:variant>
        <vt:i4>0</vt:i4>
      </vt:variant>
      <vt:variant>
        <vt:i4>5</vt:i4>
      </vt:variant>
      <vt:variant>
        <vt:lpwstr>https://unitedstatesofcare.org/wp-content/uploads/2024/02/2024-Comparison-Chart-of-State-Public-Options.pdf</vt:lpwstr>
      </vt:variant>
      <vt:variant>
        <vt:lpwstr/>
      </vt:variant>
      <vt:variant>
        <vt:i4>4259931</vt:i4>
      </vt:variant>
      <vt:variant>
        <vt:i4>135</vt:i4>
      </vt:variant>
      <vt:variant>
        <vt:i4>0</vt:i4>
      </vt:variant>
      <vt:variant>
        <vt:i4>5</vt:i4>
      </vt:variant>
      <vt:variant>
        <vt:lpwstr>https://nevadashealthcarefuture.org/wp-content/uploads/2023/10/Wakely-Nevada-Public-Option-Actuarial-Analysis.pdf</vt:lpwstr>
      </vt:variant>
      <vt:variant>
        <vt:lpwstr/>
      </vt:variant>
      <vt:variant>
        <vt:i4>6422617</vt:i4>
      </vt:variant>
      <vt:variant>
        <vt:i4>132</vt:i4>
      </vt:variant>
      <vt:variant>
        <vt:i4>0</vt:i4>
      </vt:variant>
      <vt:variant>
        <vt:i4>5</vt:i4>
      </vt:variant>
      <vt:variant>
        <vt:lpwstr>https://pmc.ncbi.nlm.nih.gov/articles/PMC8932631/?utm_source=chatgpt.com</vt:lpwstr>
      </vt:variant>
      <vt:variant>
        <vt:lpwstr/>
      </vt:variant>
      <vt:variant>
        <vt:i4>5636111</vt:i4>
      </vt:variant>
      <vt:variant>
        <vt:i4>129</vt:i4>
      </vt:variant>
      <vt:variant>
        <vt:i4>0</vt:i4>
      </vt:variant>
      <vt:variant>
        <vt:i4>5</vt:i4>
      </vt:variant>
      <vt:variant>
        <vt:lpwstr>https://assets-us-01.kc-usercontent.com/9fd8e81d-74db-00ef-d0b1-5d17c12fdda9/1e579355-646a-43f9-a5d7-f338c05d38e7/Manatt-Health_Nevada-Concurrent-Resolution-No-10-Public-Option-Study_January-17-2021.pdf</vt:lpwstr>
      </vt:variant>
      <vt:variant>
        <vt:lpwstr/>
      </vt:variant>
      <vt:variant>
        <vt:i4>6815842</vt:i4>
      </vt:variant>
      <vt:variant>
        <vt:i4>126</vt:i4>
      </vt:variant>
      <vt:variant>
        <vt:i4>0</vt:i4>
      </vt:variant>
      <vt:variant>
        <vt:i4>5</vt:i4>
      </vt:variant>
      <vt:variant>
        <vt:lpwstr>https://chir.georgetown.edu/nevada-actuarial-study-projects-significant-savings-public-option-plans</vt:lpwstr>
      </vt:variant>
      <vt:variant>
        <vt:lpwstr/>
      </vt:variant>
      <vt:variant>
        <vt:i4>5701700</vt:i4>
      </vt:variant>
      <vt:variant>
        <vt:i4>123</vt:i4>
      </vt:variant>
      <vt:variant>
        <vt:i4>0</vt:i4>
      </vt:variant>
      <vt:variant>
        <vt:i4>5</vt:i4>
      </vt:variant>
      <vt:variant>
        <vt:lpwstr>https://www.cms.gov/files/document/nevada-section-1332-waiver-fact-sheet.pdf</vt:lpwstr>
      </vt:variant>
      <vt:variant>
        <vt:lpwstr/>
      </vt:variant>
      <vt:variant>
        <vt:i4>6094859</vt:i4>
      </vt:variant>
      <vt:variant>
        <vt:i4>120</vt:i4>
      </vt:variant>
      <vt:variant>
        <vt:i4>0</vt:i4>
      </vt:variant>
      <vt:variant>
        <vt:i4>5</vt:i4>
      </vt:variant>
      <vt:variant>
        <vt:lpwstr>https://www.commonwealthfund.org/blog/2023/state-public-option-plans-are-making-progress-reducing-consumer-costs</vt:lpwstr>
      </vt:variant>
      <vt:variant>
        <vt:lpwstr/>
      </vt:variant>
      <vt:variant>
        <vt:i4>5177422</vt:i4>
      </vt:variant>
      <vt:variant>
        <vt:i4>117</vt:i4>
      </vt:variant>
      <vt:variant>
        <vt:i4>0</vt:i4>
      </vt:variant>
      <vt:variant>
        <vt:i4>5</vt:i4>
      </vt:variant>
      <vt:variant>
        <vt:lpwstr>https://www.commonwealthfund.org/blog/2021/state-public-option-style-laws-what-policymakers-need-know</vt:lpwstr>
      </vt:variant>
      <vt:variant>
        <vt:lpwstr/>
      </vt:variant>
      <vt:variant>
        <vt:i4>5767169</vt:i4>
      </vt:variant>
      <vt:variant>
        <vt:i4>114</vt:i4>
      </vt:variant>
      <vt:variant>
        <vt:i4>0</vt:i4>
      </vt:variant>
      <vt:variant>
        <vt:i4>5</vt:i4>
      </vt:variant>
      <vt:variant>
        <vt:lpwstr>https://www.commonwealthfund.org/blog/2022/update-state-public-option-style-laws-getting-more-affordable-coverage</vt:lpwstr>
      </vt:variant>
      <vt:variant>
        <vt:lpwstr/>
      </vt:variant>
      <vt:variant>
        <vt:i4>2818166</vt:i4>
      </vt:variant>
      <vt:variant>
        <vt:i4>111</vt:i4>
      </vt:variant>
      <vt:variant>
        <vt:i4>0</vt:i4>
      </vt:variant>
      <vt:variant>
        <vt:i4>5</vt:i4>
      </vt:variant>
      <vt:variant>
        <vt:lpwstr>https://chir.georgetown.edu/colorado-announces-premium-rate-reduction-targets-public-option-plans/</vt:lpwstr>
      </vt:variant>
      <vt:variant>
        <vt:lpwstr/>
      </vt:variant>
      <vt:variant>
        <vt:i4>5439504</vt:i4>
      </vt:variant>
      <vt:variant>
        <vt:i4>108</vt:i4>
      </vt:variant>
      <vt:variant>
        <vt:i4>0</vt:i4>
      </vt:variant>
      <vt:variant>
        <vt:i4>5</vt:i4>
      </vt:variant>
      <vt:variant>
        <vt:lpwstr>https://www.mathematica.org/publications/analysis-of-the-colorado-option</vt:lpwstr>
      </vt:variant>
      <vt:variant>
        <vt:lpwstr/>
      </vt:variant>
      <vt:variant>
        <vt:i4>2359366</vt:i4>
      </vt:variant>
      <vt:variant>
        <vt:i4>105</vt:i4>
      </vt:variant>
      <vt:variant>
        <vt:i4>0</vt:i4>
      </vt:variant>
      <vt:variant>
        <vt:i4>5</vt:i4>
      </vt:variant>
      <vt:variant>
        <vt:lpwstr>https://cahpr.sph.brown.edu/sites/default/files/documents/Policy Briefs/2025/Policy Brief_ Colorado Option Prices.pdf</vt:lpwstr>
      </vt:variant>
      <vt:variant>
        <vt:lpwstr/>
      </vt:variant>
      <vt:variant>
        <vt:i4>1376315</vt:i4>
      </vt:variant>
      <vt:variant>
        <vt:i4>102</vt:i4>
      </vt:variant>
      <vt:variant>
        <vt:i4>0</vt:i4>
      </vt:variant>
      <vt:variant>
        <vt:i4>5</vt:i4>
      </vt:variant>
      <vt:variant>
        <vt:lpwstr>https://cahpr.sph.brown.edu/sites/default/files/documents/Policy Brief_ Colorado Option Premiums %281%29.pdf</vt:lpwstr>
      </vt:variant>
      <vt:variant>
        <vt:lpwstr/>
      </vt:variant>
      <vt:variant>
        <vt:i4>7798824</vt:i4>
      </vt:variant>
      <vt:variant>
        <vt:i4>99</vt:i4>
      </vt:variant>
      <vt:variant>
        <vt:i4>0</vt:i4>
      </vt:variant>
      <vt:variant>
        <vt:i4>5</vt:i4>
      </vt:variant>
      <vt:variant>
        <vt:lpwstr>https://www.healthaffairs.org/content/forefront/can-public-option-plans-improve-affordability-insights-colorado</vt:lpwstr>
      </vt:variant>
      <vt:variant>
        <vt:lpwstr/>
      </vt:variant>
      <vt:variant>
        <vt:i4>5439504</vt:i4>
      </vt:variant>
      <vt:variant>
        <vt:i4>96</vt:i4>
      </vt:variant>
      <vt:variant>
        <vt:i4>0</vt:i4>
      </vt:variant>
      <vt:variant>
        <vt:i4>5</vt:i4>
      </vt:variant>
      <vt:variant>
        <vt:lpwstr>https://www.mathematica.org/publications/analysis-of-the-colorado-option</vt:lpwstr>
      </vt:variant>
      <vt:variant>
        <vt:lpwstr/>
      </vt:variant>
      <vt:variant>
        <vt:i4>2949180</vt:i4>
      </vt:variant>
      <vt:variant>
        <vt:i4>93</vt:i4>
      </vt:variant>
      <vt:variant>
        <vt:i4>0</vt:i4>
      </vt:variant>
      <vt:variant>
        <vt:i4>5</vt:i4>
      </vt:variant>
      <vt:variant>
        <vt:lpwstr>https://chir.georgetown.edu/beyond-benchmarks-strengthening-state-strategies-to-contain-health-care-prices/</vt:lpwstr>
      </vt:variant>
      <vt:variant>
        <vt:lpwstr>:~:text=</vt:lpwstr>
      </vt:variant>
      <vt:variant>
        <vt:i4>2818169</vt:i4>
      </vt:variant>
      <vt:variant>
        <vt:i4>90</vt:i4>
      </vt:variant>
      <vt:variant>
        <vt:i4>0</vt:i4>
      </vt:variant>
      <vt:variant>
        <vt:i4>5</vt:i4>
      </vt:variant>
      <vt:variant>
        <vt:lpwstr>https://chir.georgetown.edu/state-spotlight-new-massachusetts-law-enhances-oversight-of-private-equity-in-health-care/</vt:lpwstr>
      </vt:variant>
      <vt:variant>
        <vt:lpwstr/>
      </vt:variant>
      <vt:variant>
        <vt:i4>1704008</vt:i4>
      </vt:variant>
      <vt:variant>
        <vt:i4>87</vt:i4>
      </vt:variant>
      <vt:variant>
        <vt:i4>0</vt:i4>
      </vt:variant>
      <vt:variant>
        <vt:i4>5</vt:i4>
      </vt:variant>
      <vt:variant>
        <vt:lpwstr>https://chir.georgetown.edu/state-spotlight-oregons-multi-pronged-approach-to-corporate-influence-in-physician-practices/</vt:lpwstr>
      </vt:variant>
      <vt:variant>
        <vt:lpwstr/>
      </vt:variant>
      <vt:variant>
        <vt:i4>5898321</vt:i4>
      </vt:variant>
      <vt:variant>
        <vt:i4>84</vt:i4>
      </vt:variant>
      <vt:variant>
        <vt:i4>0</vt:i4>
      </vt:variant>
      <vt:variant>
        <vt:i4>5</vt:i4>
      </vt:variant>
      <vt:variant>
        <vt:lpwstr>https://www.milbank.org/wp-content/uploads/2026/02/RecapRoundtable_Report_final.pdf</vt:lpwstr>
      </vt:variant>
      <vt:variant>
        <vt:lpwstr/>
      </vt:variant>
      <vt:variant>
        <vt:i4>524319</vt:i4>
      </vt:variant>
      <vt:variant>
        <vt:i4>81</vt:i4>
      </vt:variant>
      <vt:variant>
        <vt:i4>0</vt:i4>
      </vt:variant>
      <vt:variant>
        <vt:i4>5</vt:i4>
      </vt:variant>
      <vt:variant>
        <vt:lpwstr>https://www.nejm.org/doi/abs/10.1056/NEJMp2405438</vt:lpwstr>
      </vt:variant>
      <vt:variant>
        <vt:lpwstr/>
      </vt:variant>
      <vt:variant>
        <vt:i4>6291555</vt:i4>
      </vt:variant>
      <vt:variant>
        <vt:i4>78</vt:i4>
      </vt:variant>
      <vt:variant>
        <vt:i4>0</vt:i4>
      </vt:variant>
      <vt:variant>
        <vt:i4>5</vt:i4>
      </vt:variant>
      <vt:variant>
        <vt:lpwstr>https://jamanetwork.com/journals/jama/article-abstract/2832535</vt:lpwstr>
      </vt:variant>
      <vt:variant>
        <vt:lpwstr/>
      </vt:variant>
      <vt:variant>
        <vt:i4>6684706</vt:i4>
      </vt:variant>
      <vt:variant>
        <vt:i4>75</vt:i4>
      </vt:variant>
      <vt:variant>
        <vt:i4>0</vt:i4>
      </vt:variant>
      <vt:variant>
        <vt:i4>5</vt:i4>
      </vt:variant>
      <vt:variant>
        <vt:lpwstr>https://digitalcommons.law.umaryland.edu/cgi/viewcontent.cgi?article=1462&amp;context=jhclp</vt:lpwstr>
      </vt:variant>
      <vt:variant>
        <vt:lpwstr/>
      </vt:variant>
      <vt:variant>
        <vt:i4>327682</vt:i4>
      </vt:variant>
      <vt:variant>
        <vt:i4>72</vt:i4>
      </vt:variant>
      <vt:variant>
        <vt:i4>0</vt:i4>
      </vt:variant>
      <vt:variant>
        <vt:i4>5</vt:i4>
      </vt:variant>
      <vt:variant>
        <vt:lpwstr>https://georgetown.app.box.com/s/0rhf697ed42mydxjw13ibmt5x0h65ihd</vt:lpwstr>
      </vt:variant>
      <vt:variant>
        <vt:lpwstr/>
      </vt:variant>
      <vt:variant>
        <vt:i4>458829</vt:i4>
      </vt:variant>
      <vt:variant>
        <vt:i4>69</vt:i4>
      </vt:variant>
      <vt:variant>
        <vt:i4>0</vt:i4>
      </vt:variant>
      <vt:variant>
        <vt:i4>5</vt:i4>
      </vt:variant>
      <vt:variant>
        <vt:lpwstr>https://georgetown.app.box.com/s/rtmi4pbcyz2wav084pphsmvof9085ibp</vt:lpwstr>
      </vt:variant>
      <vt:variant>
        <vt:lpwstr/>
      </vt:variant>
      <vt:variant>
        <vt:i4>4063277</vt:i4>
      </vt:variant>
      <vt:variant>
        <vt:i4>66</vt:i4>
      </vt:variant>
      <vt:variant>
        <vt:i4>0</vt:i4>
      </vt:variant>
      <vt:variant>
        <vt:i4>5</vt:i4>
      </vt:variant>
      <vt:variant>
        <vt:lpwstr>https://repository.library.brown.edu/studio/item/bdr:99ckb2aq/</vt:lpwstr>
      </vt:variant>
      <vt:variant>
        <vt:lpwstr/>
      </vt:variant>
      <vt:variant>
        <vt:i4>4915219</vt:i4>
      </vt:variant>
      <vt:variant>
        <vt:i4>63</vt:i4>
      </vt:variant>
      <vt:variant>
        <vt:i4>0</vt:i4>
      </vt:variant>
      <vt:variant>
        <vt:i4>5</vt:i4>
      </vt:variant>
      <vt:variant>
        <vt:lpwstr>https://chir.georgetown.edu/vertical-integration-in-health-care-implications-for-consumers-employers-and-clinicians/</vt:lpwstr>
      </vt:variant>
      <vt:variant>
        <vt:lpwstr/>
      </vt:variant>
      <vt:variant>
        <vt:i4>5374022</vt:i4>
      </vt:variant>
      <vt:variant>
        <vt:i4>60</vt:i4>
      </vt:variant>
      <vt:variant>
        <vt:i4>0</vt:i4>
      </vt:variant>
      <vt:variant>
        <vt:i4>5</vt:i4>
      </vt:variant>
      <vt:variant>
        <vt:lpwstr>https://www.healthaffairs.org/content/forefront/insurers-own-providers-can-game-medical-loss-ratio-rules</vt:lpwstr>
      </vt:variant>
      <vt:variant>
        <vt:lpwstr/>
      </vt:variant>
      <vt:variant>
        <vt:i4>2424894</vt:i4>
      </vt:variant>
      <vt:variant>
        <vt:i4>57</vt:i4>
      </vt:variant>
      <vt:variant>
        <vt:i4>0</vt:i4>
      </vt:variant>
      <vt:variant>
        <vt:i4>5</vt:i4>
      </vt:variant>
      <vt:variant>
        <vt:lpwstr>https://app.powerbi.com/view?r=eyJrIjoiNDNlNTJjNzItNjQyNS00NjVmLTk4MjItZDYzZjBlNTQ0ZDA2IiwidCI6IjM4MmZiOGIwLTRkYzMtNDEwNy04MGJkLTM1OTViMjQzMmZhZSIsImMiOjZ9</vt:lpwstr>
      </vt:variant>
      <vt:variant>
        <vt:lpwstr/>
      </vt:variant>
      <vt:variant>
        <vt:i4>6488177</vt:i4>
      </vt:variant>
      <vt:variant>
        <vt:i4>54</vt:i4>
      </vt:variant>
      <vt:variant>
        <vt:i4>0</vt:i4>
      </vt:variant>
      <vt:variant>
        <vt:i4>5</vt:i4>
      </vt:variant>
      <vt:variant>
        <vt:lpwstr>https://www.cms.gov/priorities/burden-reduction/overview/interoperability/implementation-guides-standards/application-programming-interfaces-apis-relevant-standards-implementation-guides-igs</vt:lpwstr>
      </vt:variant>
      <vt:variant>
        <vt:lpwstr/>
      </vt:variant>
      <vt:variant>
        <vt:i4>6815865</vt:i4>
      </vt:variant>
      <vt:variant>
        <vt:i4>51</vt:i4>
      </vt:variant>
      <vt:variant>
        <vt:i4>0</vt:i4>
      </vt:variant>
      <vt:variant>
        <vt:i4>5</vt:i4>
      </vt:variant>
      <vt:variant>
        <vt:lpwstr>https://www.ahip.org/news/articles/health-plans-reduce-prior-authorization-support-continuity-of-care-and-enhanced-consumer-communications</vt:lpwstr>
      </vt:variant>
      <vt:variant>
        <vt:lpwstr/>
      </vt:variant>
      <vt:variant>
        <vt:i4>1703939</vt:i4>
      </vt:variant>
      <vt:variant>
        <vt:i4>48</vt:i4>
      </vt:variant>
      <vt:variant>
        <vt:i4>0</vt:i4>
      </vt:variant>
      <vt:variant>
        <vt:i4>5</vt:i4>
      </vt:variant>
      <vt:variant>
        <vt:lpwstr>https://www.ahip.org/news/articles/health-plans-take-next-step-to-streamline-and-simplify-prior-authorization-for-patients-and-providers</vt:lpwstr>
      </vt:variant>
      <vt:variant>
        <vt:lpwstr/>
      </vt:variant>
      <vt:variant>
        <vt:i4>1572890</vt:i4>
      </vt:variant>
      <vt:variant>
        <vt:i4>45</vt:i4>
      </vt:variant>
      <vt:variant>
        <vt:i4>0</vt:i4>
      </vt:variant>
      <vt:variant>
        <vt:i4>5</vt:i4>
      </vt:variant>
      <vt:variant>
        <vt:lpwstr>https://www.caqh.org/hubfs/drupal/2024-01/CAQH_IndexReport_2023_FINAL.pdf?utm_source=chatgpt.com</vt:lpwstr>
      </vt:variant>
      <vt:variant>
        <vt:lpwstr/>
      </vt:variant>
      <vt:variant>
        <vt:i4>1769526</vt:i4>
      </vt:variant>
      <vt:variant>
        <vt:i4>38</vt:i4>
      </vt:variant>
      <vt:variant>
        <vt:i4>0</vt:i4>
      </vt:variant>
      <vt:variant>
        <vt:i4>5</vt:i4>
      </vt:variant>
      <vt:variant>
        <vt:lpwstr/>
      </vt:variant>
      <vt:variant>
        <vt:lpwstr>_Toc243048305</vt:lpwstr>
      </vt:variant>
      <vt:variant>
        <vt:i4>1769526</vt:i4>
      </vt:variant>
      <vt:variant>
        <vt:i4>32</vt:i4>
      </vt:variant>
      <vt:variant>
        <vt:i4>0</vt:i4>
      </vt:variant>
      <vt:variant>
        <vt:i4>5</vt:i4>
      </vt:variant>
      <vt:variant>
        <vt:lpwstr/>
      </vt:variant>
      <vt:variant>
        <vt:lpwstr>_Toc243048304</vt:lpwstr>
      </vt:variant>
      <vt:variant>
        <vt:i4>1769526</vt:i4>
      </vt:variant>
      <vt:variant>
        <vt:i4>26</vt:i4>
      </vt:variant>
      <vt:variant>
        <vt:i4>0</vt:i4>
      </vt:variant>
      <vt:variant>
        <vt:i4>5</vt:i4>
      </vt:variant>
      <vt:variant>
        <vt:lpwstr/>
      </vt:variant>
      <vt:variant>
        <vt:lpwstr>_Toc243048303</vt:lpwstr>
      </vt:variant>
      <vt:variant>
        <vt:i4>1769526</vt:i4>
      </vt:variant>
      <vt:variant>
        <vt:i4>20</vt:i4>
      </vt:variant>
      <vt:variant>
        <vt:i4>0</vt:i4>
      </vt:variant>
      <vt:variant>
        <vt:i4>5</vt:i4>
      </vt:variant>
      <vt:variant>
        <vt:lpwstr/>
      </vt:variant>
      <vt:variant>
        <vt:lpwstr>_Toc243048302</vt:lpwstr>
      </vt:variant>
      <vt:variant>
        <vt:i4>1769526</vt:i4>
      </vt:variant>
      <vt:variant>
        <vt:i4>14</vt:i4>
      </vt:variant>
      <vt:variant>
        <vt:i4>0</vt:i4>
      </vt:variant>
      <vt:variant>
        <vt:i4>5</vt:i4>
      </vt:variant>
      <vt:variant>
        <vt:lpwstr/>
      </vt:variant>
      <vt:variant>
        <vt:lpwstr>_Toc243048301</vt:lpwstr>
      </vt:variant>
      <vt:variant>
        <vt:i4>1769526</vt:i4>
      </vt:variant>
      <vt:variant>
        <vt:i4>8</vt:i4>
      </vt:variant>
      <vt:variant>
        <vt:i4>0</vt:i4>
      </vt:variant>
      <vt:variant>
        <vt:i4>5</vt:i4>
      </vt:variant>
      <vt:variant>
        <vt:lpwstr/>
      </vt:variant>
      <vt:variant>
        <vt:lpwstr>_Toc243048300</vt:lpwstr>
      </vt:variant>
      <vt:variant>
        <vt:i4>1179703</vt:i4>
      </vt:variant>
      <vt:variant>
        <vt:i4>2</vt:i4>
      </vt:variant>
      <vt:variant>
        <vt:i4>0</vt:i4>
      </vt:variant>
      <vt:variant>
        <vt:i4>5</vt:i4>
      </vt:variant>
      <vt:variant>
        <vt:lpwstr/>
      </vt:variant>
      <vt:variant>
        <vt:lpwstr>_Toc243048299</vt:lpwstr>
      </vt:variant>
      <vt:variant>
        <vt:i4>5439504</vt:i4>
      </vt:variant>
      <vt:variant>
        <vt:i4>60</vt:i4>
      </vt:variant>
      <vt:variant>
        <vt:i4>0</vt:i4>
      </vt:variant>
      <vt:variant>
        <vt:i4>5</vt:i4>
      </vt:variant>
      <vt:variant>
        <vt:lpwstr>https://www.mathematica.org/publications/analysis-of-the-colorado-option</vt:lpwstr>
      </vt:variant>
      <vt:variant>
        <vt:lpwstr/>
      </vt:variant>
      <vt:variant>
        <vt:i4>4063290</vt:i4>
      </vt:variant>
      <vt:variant>
        <vt:i4>57</vt:i4>
      </vt:variant>
      <vt:variant>
        <vt:i4>0</vt:i4>
      </vt:variant>
      <vt:variant>
        <vt:i4>5</vt:i4>
      </vt:variant>
      <vt:variant>
        <vt:lpwstr>https://dora.colorado.gov/press-release/colorado-option-lowers-premiums-and-saves-coloradans-money-findings-from-brown</vt:lpwstr>
      </vt:variant>
      <vt:variant>
        <vt:lpwstr/>
      </vt:variant>
      <vt:variant>
        <vt:i4>2228246</vt:i4>
      </vt:variant>
      <vt:variant>
        <vt:i4>54</vt:i4>
      </vt:variant>
      <vt:variant>
        <vt:i4>0</vt:i4>
      </vt:variant>
      <vt:variant>
        <vt:i4>5</vt:i4>
      </vt:variant>
      <vt:variant>
        <vt:lpwstr>https://councilreports.ama-assn.org/councilreports/downloadreport?uri=/councilreports/i22_cms_report_3.pdf</vt:lpwstr>
      </vt:variant>
      <vt:variant>
        <vt:lpwstr/>
      </vt:variant>
      <vt:variant>
        <vt:i4>3080301</vt:i4>
      </vt:variant>
      <vt:variant>
        <vt:i4>51</vt:i4>
      </vt:variant>
      <vt:variant>
        <vt:i4>0</vt:i4>
      </vt:variant>
      <vt:variant>
        <vt:i4>5</vt:i4>
      </vt:variant>
      <vt:variant>
        <vt:lpwstr>https://www.ama-assn.org/system/files/i22-cms-report-03.pdf</vt:lpwstr>
      </vt:variant>
      <vt:variant>
        <vt:lpwstr/>
      </vt:variant>
      <vt:variant>
        <vt:i4>720905</vt:i4>
      </vt:variant>
      <vt:variant>
        <vt:i4>48</vt:i4>
      </vt:variant>
      <vt:variant>
        <vt:i4>0</vt:i4>
      </vt:variant>
      <vt:variant>
        <vt:i4>5</vt:i4>
      </vt:variant>
      <vt:variant>
        <vt:lpwstr>https://www.healthaffairs.org/doi/10.1377/hlthaff.2021.00727</vt:lpwstr>
      </vt:variant>
      <vt:variant>
        <vt:lpwstr/>
      </vt:variant>
      <vt:variant>
        <vt:i4>3604543</vt:i4>
      </vt:variant>
      <vt:variant>
        <vt:i4>45</vt:i4>
      </vt:variant>
      <vt:variant>
        <vt:i4>0</vt:i4>
      </vt:variant>
      <vt:variant>
        <vt:i4>5</vt:i4>
      </vt:variant>
      <vt:variant>
        <vt:lpwstr>https://www.nber.org/papers/w34039</vt:lpwstr>
      </vt:variant>
      <vt:variant>
        <vt:lpwstr/>
      </vt:variant>
      <vt:variant>
        <vt:i4>458829</vt:i4>
      </vt:variant>
      <vt:variant>
        <vt:i4>42</vt:i4>
      </vt:variant>
      <vt:variant>
        <vt:i4>0</vt:i4>
      </vt:variant>
      <vt:variant>
        <vt:i4>5</vt:i4>
      </vt:variant>
      <vt:variant>
        <vt:lpwstr>https://georgetown.app.box.com/s/rtmi4pbcyz2wav084pphsmvof9085ibp</vt:lpwstr>
      </vt:variant>
      <vt:variant>
        <vt:lpwstr/>
      </vt:variant>
      <vt:variant>
        <vt:i4>3211384</vt:i4>
      </vt:variant>
      <vt:variant>
        <vt:i4>39</vt:i4>
      </vt:variant>
      <vt:variant>
        <vt:i4>0</vt:i4>
      </vt:variant>
      <vt:variant>
        <vt:i4>5</vt:i4>
      </vt:variant>
      <vt:variant>
        <vt:lpwstr>https://jamanetwork.com/journals/jama-health-forum/fullarticle/2808890</vt:lpwstr>
      </vt:variant>
      <vt:variant>
        <vt:lpwstr/>
      </vt:variant>
      <vt:variant>
        <vt:i4>4915219</vt:i4>
      </vt:variant>
      <vt:variant>
        <vt:i4>36</vt:i4>
      </vt:variant>
      <vt:variant>
        <vt:i4>0</vt:i4>
      </vt:variant>
      <vt:variant>
        <vt:i4>5</vt:i4>
      </vt:variant>
      <vt:variant>
        <vt:lpwstr>https://chir.georgetown.edu/vertical-integration-in-health-care-implications-for-consumers-employers-and-clinicians/</vt:lpwstr>
      </vt:variant>
      <vt:variant>
        <vt:lpwstr/>
      </vt:variant>
      <vt:variant>
        <vt:i4>7012470</vt:i4>
      </vt:variant>
      <vt:variant>
        <vt:i4>33</vt:i4>
      </vt:variant>
      <vt:variant>
        <vt:i4>0</vt:i4>
      </vt:variant>
      <vt:variant>
        <vt:i4>5</vt:i4>
      </vt:variant>
      <vt:variant>
        <vt:lpwstr>https://www.sciencedirect.com/science/article/pii/S104314892400037X</vt:lpwstr>
      </vt:variant>
      <vt:variant>
        <vt:lpwstr/>
      </vt:variant>
      <vt:variant>
        <vt:i4>7929954</vt:i4>
      </vt:variant>
      <vt:variant>
        <vt:i4>30</vt:i4>
      </vt:variant>
      <vt:variant>
        <vt:i4>0</vt:i4>
      </vt:variant>
      <vt:variant>
        <vt:i4>5</vt:i4>
      </vt:variant>
      <vt:variant>
        <vt:lpwstr>https://academic.oup.com/healthaffairsscholar/article/2/11/qxae140/7862591</vt:lpwstr>
      </vt:variant>
      <vt:variant>
        <vt:lpwstr/>
      </vt:variant>
      <vt:variant>
        <vt:i4>7929954</vt:i4>
      </vt:variant>
      <vt:variant>
        <vt:i4>27</vt:i4>
      </vt:variant>
      <vt:variant>
        <vt:i4>0</vt:i4>
      </vt:variant>
      <vt:variant>
        <vt:i4>5</vt:i4>
      </vt:variant>
      <vt:variant>
        <vt:lpwstr>https://academic.oup.com/healthaffairsscholar/article/2/11/qxae140/7862591</vt:lpwstr>
      </vt:variant>
      <vt:variant>
        <vt:lpwstr/>
      </vt:variant>
      <vt:variant>
        <vt:i4>1507344</vt:i4>
      </vt:variant>
      <vt:variant>
        <vt:i4>24</vt:i4>
      </vt:variant>
      <vt:variant>
        <vt:i4>0</vt:i4>
      </vt:variant>
      <vt:variant>
        <vt:i4>5</vt:i4>
      </vt:variant>
      <vt:variant>
        <vt:lpwstr>https://www.gao.gov/assets/gao-25-107450.pdf</vt:lpwstr>
      </vt:variant>
      <vt:variant>
        <vt:lpwstr/>
      </vt:variant>
      <vt:variant>
        <vt:i4>1507344</vt:i4>
      </vt:variant>
      <vt:variant>
        <vt:i4>21</vt:i4>
      </vt:variant>
      <vt:variant>
        <vt:i4>0</vt:i4>
      </vt:variant>
      <vt:variant>
        <vt:i4>5</vt:i4>
      </vt:variant>
      <vt:variant>
        <vt:lpwstr>https://www.gao.gov/assets/gao-25-107450.pdf</vt:lpwstr>
      </vt:variant>
      <vt:variant>
        <vt:lpwstr/>
      </vt:variant>
      <vt:variant>
        <vt:i4>6094919</vt:i4>
      </vt:variant>
      <vt:variant>
        <vt:i4>18</vt:i4>
      </vt:variant>
      <vt:variant>
        <vt:i4>0</vt:i4>
      </vt:variant>
      <vt:variant>
        <vt:i4>5</vt:i4>
      </vt:variant>
      <vt:variant>
        <vt:lpwstr>https://www.cvshealth.com/news/pbm/cvs-health-launches-cordavis.html</vt:lpwstr>
      </vt:variant>
      <vt:variant>
        <vt:lpwstr/>
      </vt:variant>
      <vt:variant>
        <vt:i4>2818110</vt:i4>
      </vt:variant>
      <vt:variant>
        <vt:i4>15</vt:i4>
      </vt:variant>
      <vt:variant>
        <vt:i4>0</vt:i4>
      </vt:variant>
      <vt:variant>
        <vt:i4>5</vt:i4>
      </vt:variant>
      <vt:variant>
        <vt:lpwstr>https://content.naic.org/sites/default/files/call_materials/ERISA preemption post Rutledge_V17-REDLINE only.docx</vt:lpwstr>
      </vt:variant>
      <vt:variant>
        <vt:lpwstr/>
      </vt:variant>
      <vt:variant>
        <vt:i4>2621541</vt:i4>
      </vt:variant>
      <vt:variant>
        <vt:i4>12</vt:i4>
      </vt:variant>
      <vt:variant>
        <vt:i4>0</vt:i4>
      </vt:variant>
      <vt:variant>
        <vt:i4>5</vt:i4>
      </vt:variant>
      <vt:variant>
        <vt:lpwstr>https://schaeffer.usc.edu/wp-content/uploads/2026/01/2026-01-pbm-profitability.pdf</vt:lpwstr>
      </vt:variant>
      <vt:variant>
        <vt:lpwstr/>
      </vt:variant>
      <vt:variant>
        <vt:i4>393217</vt:i4>
      </vt:variant>
      <vt:variant>
        <vt:i4>9</vt:i4>
      </vt:variant>
      <vt:variant>
        <vt:i4>0</vt:i4>
      </vt:variant>
      <vt:variant>
        <vt:i4>5</vt:i4>
      </vt:variant>
      <vt:variant>
        <vt:lpwstr>https://www.ftc.gov/news-events/news/press-releases/2024/07/ftc-releases-interim-staff-report-prescription-drug-middlemen</vt:lpwstr>
      </vt:variant>
      <vt:variant>
        <vt:lpwstr/>
      </vt:variant>
      <vt:variant>
        <vt:i4>6750219</vt:i4>
      </vt:variant>
      <vt:variant>
        <vt:i4>6</vt:i4>
      </vt:variant>
      <vt:variant>
        <vt:i4>0</vt:i4>
      </vt:variant>
      <vt:variant>
        <vt:i4>5</vt:i4>
      </vt:variant>
      <vt:variant>
        <vt:lpwstr>https://www.ftc.gov/system/files/ftc_gov/pdf/pharmacy-benefit-managers-staff-report.pdf</vt:lpwstr>
      </vt:variant>
      <vt:variant>
        <vt:lpwstr/>
      </vt:variant>
      <vt:variant>
        <vt:i4>917508</vt:i4>
      </vt:variant>
      <vt:variant>
        <vt:i4>3</vt:i4>
      </vt:variant>
      <vt:variant>
        <vt:i4>0</vt:i4>
      </vt:variant>
      <vt:variant>
        <vt:i4>5</vt:i4>
      </vt:variant>
      <vt:variant>
        <vt:lpwstr>https://implementationsciencecomms.biomedcentral.com/articles/10.1186/s43058-020-00070-0</vt:lpwstr>
      </vt:variant>
      <vt:variant>
        <vt:lpwstr/>
      </vt:variant>
      <vt:variant>
        <vt:i4>7733375</vt:i4>
      </vt:variant>
      <vt:variant>
        <vt:i4>0</vt:i4>
      </vt:variant>
      <vt:variant>
        <vt:i4>0</vt:i4>
      </vt:variant>
      <vt:variant>
        <vt:i4>5</vt:i4>
      </vt:variant>
      <vt:variant>
        <vt:lpwstr>https://content.naic.org/sites/default/files/inline-files/PA white paper Adopted 12.10.2025 by Cmte.pdf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2026-10-16T18:11:00Z</dcterms:created>
  <dcterms:modified xsi:type="dcterms:W3CDTF">2026-10-16T18:11:00Z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TemplafyUserProfileId">
    <vt:lpwstr>637720793817323206</vt:lpwstr>
  </property>
  <property fmtid="{D5CDD505-2E9C-101B-9397-08002B2CF9AE}" pid="4" name="ContentTypeId">
    <vt:lpwstr>0x0101000F1FFE666137624DBD990529B435E7FE</vt:lpwstr>
  </property>
  <property fmtid="{D5CDD505-2E9C-101B-9397-08002B2CF9AE}" pid="5" name="TemplafyTemplateId">
    <vt:lpwstr>637807208034158280</vt:lpwstr>
  </property>
  <property fmtid="{D5CDD505-2E9C-101B-9397-08002B2CF9AE}" pid="6" name="docLang">
    <vt:lpwstr>en</vt:lpwstr>
  </property>
  <property fmtid="{D5CDD505-2E9C-101B-9397-08002B2CF9AE}" pid="7" name="TemplafyFromBlank">
    <vt:bool>false</vt:bool>
  </property>
  <property fmtid="{D5CDD505-2E9C-101B-9397-08002B2CF9AE}" pid="8" name="TemplafyTenantId">
    <vt:lpwstr>naic</vt:lpwstr>
  </property>
</Properties>
</file>