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970BBF" w:rsidRDefault="002A1316">
      <w:pPr>
        <w:pStyle w:val="Title"/>
        <w:rPr>
          <w:sz w:val="22"/>
          <w:szCs w:val="22"/>
        </w:rPr>
      </w:pPr>
      <w:r w:rsidRPr="00970BBF">
        <w:rPr>
          <w:sz w:val="22"/>
          <w:szCs w:val="22"/>
        </w:rPr>
        <w:t xml:space="preserve">Statutory Accounting Principles </w:t>
      </w:r>
      <w:r w:rsidR="00C6544D" w:rsidRPr="00970BBF">
        <w:rPr>
          <w:sz w:val="22"/>
          <w:szCs w:val="22"/>
        </w:rPr>
        <w:t xml:space="preserve">(E) </w:t>
      </w:r>
      <w:r w:rsidRPr="00970BBF">
        <w:rPr>
          <w:sz w:val="22"/>
          <w:szCs w:val="22"/>
        </w:rPr>
        <w:t>Working Group</w:t>
      </w:r>
    </w:p>
    <w:p w14:paraId="5E8586D5" w14:textId="77777777" w:rsidR="002A1316" w:rsidRPr="00970BBF" w:rsidRDefault="002A1316">
      <w:pPr>
        <w:jc w:val="center"/>
        <w:rPr>
          <w:b/>
          <w:sz w:val="22"/>
          <w:szCs w:val="22"/>
        </w:rPr>
      </w:pPr>
      <w:r w:rsidRPr="00970BBF">
        <w:rPr>
          <w:b/>
          <w:sz w:val="22"/>
          <w:szCs w:val="22"/>
        </w:rPr>
        <w:t>Maintenance Agenda Submission Form</w:t>
      </w:r>
    </w:p>
    <w:p w14:paraId="43927C70" w14:textId="77777777" w:rsidR="002A1316" w:rsidRPr="00970BBF" w:rsidRDefault="002A1316">
      <w:pPr>
        <w:jc w:val="center"/>
        <w:rPr>
          <w:b/>
          <w:sz w:val="22"/>
          <w:szCs w:val="22"/>
        </w:rPr>
      </w:pPr>
      <w:r w:rsidRPr="00970BBF">
        <w:rPr>
          <w:b/>
          <w:sz w:val="22"/>
          <w:szCs w:val="22"/>
        </w:rPr>
        <w:t>Form A</w:t>
      </w:r>
    </w:p>
    <w:p w14:paraId="65BCA41C" w14:textId="77777777" w:rsidR="002A1316" w:rsidRPr="00970BBF" w:rsidRDefault="002A1316">
      <w:pPr>
        <w:pStyle w:val="Heading2"/>
        <w:jc w:val="center"/>
        <w:rPr>
          <w:sz w:val="22"/>
          <w:szCs w:val="22"/>
        </w:rPr>
      </w:pPr>
    </w:p>
    <w:p w14:paraId="10F0B4B2" w14:textId="52596A3E" w:rsidR="002A1316" w:rsidRPr="00970BBF" w:rsidRDefault="002A1316" w:rsidP="00B30CA0">
      <w:pPr>
        <w:pStyle w:val="Heading2"/>
        <w:rPr>
          <w:sz w:val="22"/>
          <w:szCs w:val="22"/>
        </w:rPr>
      </w:pPr>
      <w:r w:rsidRPr="00970BBF">
        <w:rPr>
          <w:b/>
          <w:sz w:val="22"/>
          <w:szCs w:val="22"/>
        </w:rPr>
        <w:t>Issue</w:t>
      </w:r>
      <w:r w:rsidR="003C07DE" w:rsidRPr="00970BBF">
        <w:rPr>
          <w:b/>
          <w:sz w:val="22"/>
          <w:szCs w:val="22"/>
        </w:rPr>
        <w:t>: SSAP</w:t>
      </w:r>
      <w:r w:rsidR="00860685" w:rsidRPr="00C7588F">
        <w:rPr>
          <w:b/>
          <w:i/>
          <w:iCs/>
          <w:sz w:val="22"/>
          <w:szCs w:val="22"/>
        </w:rPr>
        <w:t xml:space="preserve"> No. 7—</w:t>
      </w:r>
      <w:r w:rsidR="0001788D" w:rsidRPr="00C7588F">
        <w:rPr>
          <w:b/>
          <w:i/>
          <w:iCs/>
          <w:sz w:val="22"/>
          <w:szCs w:val="22"/>
        </w:rPr>
        <w:t>Asset Valuation Reserve and Interest Maintenance Reserve</w:t>
      </w:r>
    </w:p>
    <w:p w14:paraId="7D50C110" w14:textId="77777777" w:rsidR="00B30CA0" w:rsidRPr="00970BBF" w:rsidRDefault="00B30CA0" w:rsidP="00B30CA0">
      <w:pPr>
        <w:rPr>
          <w:sz w:val="22"/>
          <w:szCs w:val="22"/>
        </w:rPr>
      </w:pPr>
    </w:p>
    <w:p w14:paraId="1E0B900E" w14:textId="77777777" w:rsidR="002A1316" w:rsidRPr="00970BBF" w:rsidRDefault="002A1316" w:rsidP="00B30CA0">
      <w:pPr>
        <w:jc w:val="both"/>
        <w:rPr>
          <w:b/>
          <w:sz w:val="22"/>
          <w:szCs w:val="22"/>
        </w:rPr>
      </w:pPr>
      <w:r w:rsidRPr="00970BBF">
        <w:rPr>
          <w:b/>
          <w:sz w:val="22"/>
          <w:szCs w:val="22"/>
        </w:rPr>
        <w:t>Check (applicable entity):</w:t>
      </w:r>
    </w:p>
    <w:p w14:paraId="3CA22BB3" w14:textId="77777777" w:rsidR="006B37DD" w:rsidRPr="00970BBF" w:rsidRDefault="006B37DD" w:rsidP="006B37DD">
      <w:pPr>
        <w:tabs>
          <w:tab w:val="center" w:pos="4455"/>
          <w:tab w:val="center" w:pos="5886"/>
          <w:tab w:val="center" w:pos="7326"/>
        </w:tabs>
        <w:jc w:val="both"/>
        <w:rPr>
          <w:sz w:val="22"/>
          <w:szCs w:val="22"/>
        </w:rPr>
      </w:pPr>
      <w:r w:rsidRPr="00970BBF">
        <w:rPr>
          <w:sz w:val="22"/>
          <w:szCs w:val="22"/>
        </w:rPr>
        <w:tab/>
        <w:t>P/C</w:t>
      </w:r>
      <w:r w:rsidRPr="00970BBF">
        <w:rPr>
          <w:sz w:val="22"/>
          <w:szCs w:val="22"/>
        </w:rPr>
        <w:tab/>
        <w:t>Life</w:t>
      </w:r>
      <w:r w:rsidRPr="00970BBF">
        <w:rPr>
          <w:sz w:val="22"/>
          <w:szCs w:val="22"/>
        </w:rPr>
        <w:tab/>
        <w:t>Health</w:t>
      </w:r>
    </w:p>
    <w:p w14:paraId="347337DD" w14:textId="6EF365D0" w:rsidR="002A1316" w:rsidRPr="00970BBF" w:rsidRDefault="002A1316" w:rsidP="00B30CA0">
      <w:pPr>
        <w:ind w:firstLine="720"/>
        <w:jc w:val="both"/>
        <w:rPr>
          <w:sz w:val="22"/>
          <w:szCs w:val="22"/>
        </w:rPr>
      </w:pPr>
      <w:r w:rsidRPr="00970BBF">
        <w:rPr>
          <w:sz w:val="22"/>
          <w:szCs w:val="22"/>
        </w:rPr>
        <w:t xml:space="preserve">Modification of </w:t>
      </w:r>
      <w:r w:rsidR="00DF407B" w:rsidRPr="00970BBF">
        <w:rPr>
          <w:sz w:val="22"/>
          <w:szCs w:val="22"/>
        </w:rPr>
        <w:t>E</w:t>
      </w:r>
      <w:r w:rsidRPr="00970BBF">
        <w:rPr>
          <w:sz w:val="22"/>
          <w:szCs w:val="22"/>
        </w:rPr>
        <w:t>xisting SSAP</w:t>
      </w:r>
      <w:r w:rsidRPr="00970BBF">
        <w:rPr>
          <w:sz w:val="22"/>
          <w:szCs w:val="22"/>
        </w:rPr>
        <w:tab/>
      </w:r>
      <w:r w:rsidRPr="00970BBF">
        <w:rPr>
          <w:sz w:val="22"/>
          <w:szCs w:val="22"/>
        </w:rPr>
        <w:tab/>
      </w:r>
      <w:r w:rsidR="008530DA" w:rsidRPr="00970BBF">
        <w:rPr>
          <w:sz w:val="22"/>
          <w:szCs w:val="22"/>
        </w:rPr>
        <w:fldChar w:fldCharType="begin">
          <w:ffData>
            <w:name w:val="Check1"/>
            <w:enabled/>
            <w:calcOnExit w:val="0"/>
            <w:checkBox>
              <w:sizeAuto/>
              <w:default w:val="0"/>
            </w:checkBox>
          </w:ffData>
        </w:fldChar>
      </w:r>
      <w:r w:rsidR="008530DA" w:rsidRPr="00970BBF">
        <w:rPr>
          <w:sz w:val="22"/>
          <w:szCs w:val="22"/>
        </w:rPr>
        <w:instrText xml:space="preserve"> </w:instrText>
      </w:r>
      <w:bookmarkStart w:id="0" w:name="Check1"/>
      <w:r w:rsidR="008530DA" w:rsidRPr="00970BBF">
        <w:rPr>
          <w:sz w:val="22"/>
          <w:szCs w:val="22"/>
        </w:rPr>
        <w:instrText xml:space="preserve">FORMCHECKBOX </w:instrText>
      </w:r>
      <w:r w:rsidR="008530DA" w:rsidRPr="00970BBF">
        <w:rPr>
          <w:sz w:val="22"/>
          <w:szCs w:val="22"/>
        </w:rPr>
      </w:r>
      <w:r w:rsidR="008530DA" w:rsidRPr="00970BBF">
        <w:rPr>
          <w:sz w:val="22"/>
          <w:szCs w:val="22"/>
        </w:rPr>
        <w:fldChar w:fldCharType="separate"/>
      </w:r>
      <w:r w:rsidR="008530DA" w:rsidRPr="00970BBF">
        <w:rPr>
          <w:sz w:val="22"/>
          <w:szCs w:val="22"/>
        </w:rPr>
        <w:fldChar w:fldCharType="end"/>
      </w:r>
      <w:bookmarkEnd w:id="0"/>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1"/>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00C118ED" w:rsidRPr="00970BBF">
        <w:rPr>
          <w:sz w:val="22"/>
          <w:szCs w:val="22"/>
        </w:rPr>
        <w:fldChar w:fldCharType="begin">
          <w:ffData>
            <w:name w:val="Check1"/>
            <w:enabled/>
            <w:calcOnExit w:val="0"/>
            <w:checkBox>
              <w:sizeAuto/>
              <w:default w:val="0"/>
            </w:checkBox>
          </w:ffData>
        </w:fldChar>
      </w:r>
      <w:r w:rsidR="00C118ED" w:rsidRPr="00970BBF">
        <w:rPr>
          <w:sz w:val="22"/>
          <w:szCs w:val="22"/>
        </w:rPr>
        <w:instrText xml:space="preserve"> FORMCHECKBOX </w:instrText>
      </w:r>
      <w:r w:rsidR="00C118ED" w:rsidRPr="00970BBF">
        <w:rPr>
          <w:sz w:val="22"/>
          <w:szCs w:val="22"/>
        </w:rPr>
      </w:r>
      <w:r w:rsidR="00C118ED" w:rsidRPr="00970BBF">
        <w:rPr>
          <w:sz w:val="22"/>
          <w:szCs w:val="22"/>
        </w:rPr>
        <w:fldChar w:fldCharType="separate"/>
      </w:r>
      <w:r w:rsidR="00C118ED" w:rsidRPr="00970BBF">
        <w:rPr>
          <w:sz w:val="22"/>
          <w:szCs w:val="22"/>
        </w:rPr>
        <w:fldChar w:fldCharType="end"/>
      </w:r>
      <w:r w:rsidR="00C118ED" w:rsidRPr="00970BBF">
        <w:rPr>
          <w:sz w:val="22"/>
          <w:szCs w:val="22"/>
        </w:rPr>
        <w:tab/>
      </w:r>
    </w:p>
    <w:p w14:paraId="4332D7DA" w14:textId="02284300" w:rsidR="002A1316" w:rsidRPr="00970BBF" w:rsidRDefault="002A1316" w:rsidP="00B30CA0">
      <w:pPr>
        <w:ind w:firstLine="720"/>
        <w:jc w:val="both"/>
        <w:rPr>
          <w:sz w:val="22"/>
          <w:szCs w:val="22"/>
        </w:rPr>
      </w:pPr>
      <w:r w:rsidRPr="00970BBF">
        <w:rPr>
          <w:sz w:val="22"/>
          <w:szCs w:val="22"/>
        </w:rPr>
        <w:t>New Issue or SSAP</w:t>
      </w:r>
      <w:r w:rsidRPr="00970BBF">
        <w:rPr>
          <w:sz w:val="22"/>
          <w:szCs w:val="22"/>
        </w:rPr>
        <w:tab/>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p>
    <w:p w14:paraId="108F9360" w14:textId="5D9EFA97" w:rsidR="0044022E" w:rsidRPr="00970BBF" w:rsidRDefault="0044022E" w:rsidP="0044022E">
      <w:pPr>
        <w:ind w:firstLine="720"/>
        <w:jc w:val="both"/>
        <w:rPr>
          <w:sz w:val="22"/>
          <w:szCs w:val="22"/>
        </w:rPr>
      </w:pPr>
      <w:r w:rsidRPr="00970BBF">
        <w:rPr>
          <w:sz w:val="22"/>
          <w:szCs w:val="22"/>
        </w:rPr>
        <w:t>Interpretation</w:t>
      </w:r>
      <w:r w:rsidRPr="00970BBF">
        <w:rPr>
          <w:sz w:val="22"/>
          <w:szCs w:val="22"/>
        </w:rPr>
        <w:tab/>
      </w:r>
      <w:r w:rsidRPr="00970BBF">
        <w:rPr>
          <w:sz w:val="22"/>
          <w:szCs w:val="22"/>
        </w:rPr>
        <w:tab/>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Pr="00970BBF">
        <w:rPr>
          <w:sz w:val="22"/>
          <w:szCs w:val="22"/>
        </w:rPr>
      </w:r>
      <w:r w:rsidRPr="00970BBF">
        <w:rPr>
          <w:sz w:val="22"/>
          <w:szCs w:val="22"/>
        </w:rPr>
        <w:fldChar w:fldCharType="separate"/>
      </w:r>
      <w:r w:rsidRPr="00970BBF">
        <w:rPr>
          <w:sz w:val="22"/>
          <w:szCs w:val="22"/>
        </w:rPr>
        <w:fldChar w:fldCharType="end"/>
      </w:r>
    </w:p>
    <w:p w14:paraId="6F1580CB" w14:textId="77777777" w:rsidR="002A1316" w:rsidRPr="00970BBF" w:rsidRDefault="002A1316" w:rsidP="00B30CA0">
      <w:pPr>
        <w:jc w:val="both"/>
        <w:rPr>
          <w:sz w:val="22"/>
          <w:szCs w:val="22"/>
        </w:rPr>
      </w:pPr>
    </w:p>
    <w:p w14:paraId="4C6D8EE1" w14:textId="50D90F97" w:rsidR="00A818A1" w:rsidRPr="00970BBF" w:rsidRDefault="002A1316" w:rsidP="00A818A1">
      <w:pPr>
        <w:pStyle w:val="BodyTextIndent"/>
        <w:spacing w:after="0"/>
        <w:ind w:left="0"/>
        <w:jc w:val="both"/>
        <w:rPr>
          <w:sz w:val="22"/>
          <w:szCs w:val="22"/>
        </w:rPr>
      </w:pPr>
      <w:r w:rsidRPr="009535DE">
        <w:rPr>
          <w:b/>
          <w:bCs/>
          <w:sz w:val="22"/>
          <w:szCs w:val="22"/>
        </w:rPr>
        <w:t>Description of Issue:</w:t>
      </w:r>
      <w:r w:rsidR="00F7468A" w:rsidRPr="00970BBF">
        <w:rPr>
          <w:sz w:val="22"/>
          <w:szCs w:val="22"/>
        </w:rPr>
        <w:t xml:space="preserve"> </w:t>
      </w:r>
      <w:r w:rsidR="00A818A1" w:rsidRPr="00970BBF">
        <w:rPr>
          <w:sz w:val="22"/>
          <w:szCs w:val="22"/>
        </w:rPr>
        <w:t xml:space="preserve">This agenda item has been </w:t>
      </w:r>
      <w:r w:rsidR="0001788D" w:rsidRPr="00970BBF">
        <w:rPr>
          <w:sz w:val="22"/>
          <w:szCs w:val="22"/>
        </w:rPr>
        <w:t xml:space="preserve">developed </w:t>
      </w:r>
      <w:r w:rsidR="00E010F0" w:rsidRPr="00970BBF">
        <w:rPr>
          <w:sz w:val="22"/>
          <w:szCs w:val="22"/>
        </w:rPr>
        <w:t xml:space="preserve">as a broad concept agenda item with the ultimate goal </w:t>
      </w:r>
      <w:r w:rsidR="0001788D" w:rsidRPr="00970BBF">
        <w:rPr>
          <w:sz w:val="22"/>
          <w:szCs w:val="22"/>
        </w:rPr>
        <w:t>to incorporate accountin</w:t>
      </w:r>
      <w:r w:rsidR="00E80E7E" w:rsidRPr="00970BBF">
        <w:rPr>
          <w:sz w:val="22"/>
          <w:szCs w:val="22"/>
        </w:rPr>
        <w:t xml:space="preserve">g guidance for the asset valuation reserve (AVR) and the interest maintenance reserve (IMR) into </w:t>
      </w:r>
      <w:r w:rsidR="00E80E7E" w:rsidRPr="00970BBF">
        <w:rPr>
          <w:i/>
          <w:iCs/>
          <w:sz w:val="22"/>
          <w:szCs w:val="22"/>
        </w:rPr>
        <w:t>SSAP No. 7</w:t>
      </w:r>
      <w:r w:rsidR="00073C19" w:rsidRPr="00970BBF">
        <w:rPr>
          <w:i/>
          <w:iCs/>
          <w:sz w:val="22"/>
          <w:szCs w:val="22"/>
        </w:rPr>
        <w:t>—</w:t>
      </w:r>
      <w:r w:rsidR="005A359A" w:rsidRPr="00970BBF">
        <w:rPr>
          <w:i/>
          <w:iCs/>
          <w:sz w:val="22"/>
          <w:szCs w:val="22"/>
        </w:rPr>
        <w:t>Asset Valuation Reserve and Interest Maintenance Reserve</w:t>
      </w:r>
      <w:r w:rsidR="005A359A" w:rsidRPr="00970BBF">
        <w:rPr>
          <w:sz w:val="22"/>
          <w:szCs w:val="22"/>
        </w:rPr>
        <w:t xml:space="preserve">. Historically, this statement has included brief overview of the AVR and IMR </w:t>
      </w:r>
      <w:r w:rsidR="00E43DE3" w:rsidRPr="00970BBF">
        <w:rPr>
          <w:sz w:val="22"/>
          <w:szCs w:val="22"/>
        </w:rPr>
        <w:t xml:space="preserve">with the calculation and reporting guidance </w:t>
      </w:r>
      <w:r w:rsidR="00050373" w:rsidRPr="00970BBF">
        <w:rPr>
          <w:sz w:val="22"/>
          <w:szCs w:val="22"/>
        </w:rPr>
        <w:t xml:space="preserve">determined as directed by individual </w:t>
      </w:r>
      <w:r w:rsidR="00BD4316" w:rsidRPr="00970BBF">
        <w:rPr>
          <w:sz w:val="22"/>
          <w:szCs w:val="22"/>
        </w:rPr>
        <w:t>SSAPs or</w:t>
      </w:r>
      <w:r w:rsidR="00050373" w:rsidRPr="00970BBF">
        <w:rPr>
          <w:sz w:val="22"/>
          <w:szCs w:val="22"/>
        </w:rPr>
        <w:t xml:space="preserve"> in accordance with the Annual Statement </w:t>
      </w:r>
      <w:r w:rsidR="000C7D35" w:rsidRPr="00970BBF">
        <w:rPr>
          <w:sz w:val="22"/>
          <w:szCs w:val="22"/>
        </w:rPr>
        <w:t xml:space="preserve">(A/S) </w:t>
      </w:r>
      <w:r w:rsidR="00050373" w:rsidRPr="00970BBF">
        <w:rPr>
          <w:sz w:val="22"/>
          <w:szCs w:val="22"/>
        </w:rPr>
        <w:t xml:space="preserve">Instructions for Life, Accident and Health </w:t>
      </w:r>
      <w:r w:rsidR="00BD4316" w:rsidRPr="00970BBF">
        <w:rPr>
          <w:sz w:val="22"/>
          <w:szCs w:val="22"/>
        </w:rPr>
        <w:t xml:space="preserve">/ Fraternal Companies. </w:t>
      </w:r>
      <w:r w:rsidR="000C7D35" w:rsidRPr="00970BBF">
        <w:rPr>
          <w:sz w:val="22"/>
          <w:szCs w:val="22"/>
        </w:rPr>
        <w:t xml:space="preserve">As the </w:t>
      </w:r>
      <w:r w:rsidR="00D27F58" w:rsidRPr="00970BBF">
        <w:rPr>
          <w:sz w:val="22"/>
          <w:szCs w:val="22"/>
        </w:rPr>
        <w:t>SSAP</w:t>
      </w:r>
      <w:r w:rsidR="008D391A" w:rsidRPr="00970BBF">
        <w:rPr>
          <w:sz w:val="22"/>
          <w:szCs w:val="22"/>
        </w:rPr>
        <w:t>s</w:t>
      </w:r>
      <w:r w:rsidR="00D27F58" w:rsidRPr="00970BBF">
        <w:rPr>
          <w:sz w:val="22"/>
          <w:szCs w:val="22"/>
        </w:rPr>
        <w:t xml:space="preserve"> are highest in the </w:t>
      </w:r>
      <w:r w:rsidR="00396836" w:rsidRPr="00970BBF">
        <w:rPr>
          <w:sz w:val="22"/>
          <w:szCs w:val="22"/>
        </w:rPr>
        <w:t xml:space="preserve">statutory hierarchy as level 1, and the A/S instructions are level 3, </w:t>
      </w:r>
      <w:r w:rsidR="00631F59" w:rsidRPr="00970BBF">
        <w:rPr>
          <w:sz w:val="22"/>
          <w:szCs w:val="22"/>
        </w:rPr>
        <w:t xml:space="preserve">the governing accounting concepts should be captured in the SSAPs. </w:t>
      </w:r>
    </w:p>
    <w:p w14:paraId="608F14A0" w14:textId="77777777" w:rsidR="00671704" w:rsidRPr="00970BBF" w:rsidRDefault="00671704" w:rsidP="00A818A1">
      <w:pPr>
        <w:pStyle w:val="BodyTextIndent"/>
        <w:spacing w:after="0"/>
        <w:ind w:left="0"/>
        <w:jc w:val="both"/>
        <w:rPr>
          <w:sz w:val="22"/>
          <w:szCs w:val="22"/>
        </w:rPr>
      </w:pPr>
    </w:p>
    <w:p w14:paraId="5085C7CB" w14:textId="72B50E21" w:rsidR="00671704" w:rsidRPr="00970BBF" w:rsidRDefault="00671704" w:rsidP="00A818A1">
      <w:pPr>
        <w:pStyle w:val="BodyTextIndent"/>
        <w:spacing w:after="0"/>
        <w:ind w:left="0"/>
        <w:jc w:val="both"/>
        <w:rPr>
          <w:sz w:val="22"/>
          <w:szCs w:val="22"/>
        </w:rPr>
      </w:pPr>
      <w:r w:rsidRPr="00970BBF">
        <w:rPr>
          <w:sz w:val="22"/>
          <w:szCs w:val="22"/>
        </w:rPr>
        <w:t xml:space="preserve">It has also been noted that </w:t>
      </w:r>
      <w:r w:rsidR="003C14E1">
        <w:rPr>
          <w:sz w:val="22"/>
          <w:szCs w:val="22"/>
        </w:rPr>
        <w:t xml:space="preserve">there </w:t>
      </w:r>
      <w:r w:rsidR="0057575E" w:rsidRPr="00970BBF">
        <w:rPr>
          <w:sz w:val="22"/>
          <w:szCs w:val="22"/>
        </w:rPr>
        <w:t>are</w:t>
      </w:r>
      <w:r w:rsidRPr="00970BBF">
        <w:rPr>
          <w:sz w:val="22"/>
          <w:szCs w:val="22"/>
        </w:rPr>
        <w:t xml:space="preserve"> some disconnects between the SSAPs and the </w:t>
      </w:r>
      <w:r w:rsidR="005D59B5" w:rsidRPr="00970BBF">
        <w:rPr>
          <w:sz w:val="22"/>
          <w:szCs w:val="22"/>
        </w:rPr>
        <w:t xml:space="preserve">IMR/AVR guidance included in the Annual Statement Instructions. This is likely due to </w:t>
      </w:r>
      <w:r w:rsidR="009B39D9" w:rsidRPr="00970BBF">
        <w:rPr>
          <w:sz w:val="22"/>
          <w:szCs w:val="22"/>
        </w:rPr>
        <w:t xml:space="preserve">SSAP </w:t>
      </w:r>
      <w:r w:rsidR="005D59B5" w:rsidRPr="00970BBF">
        <w:rPr>
          <w:sz w:val="22"/>
          <w:szCs w:val="22"/>
        </w:rPr>
        <w:t xml:space="preserve">accounting revisions, such as with the measurement of preferred stock, not </w:t>
      </w:r>
      <w:r w:rsidR="00D92F0C" w:rsidRPr="00970BBF">
        <w:rPr>
          <w:sz w:val="22"/>
          <w:szCs w:val="22"/>
        </w:rPr>
        <w:t xml:space="preserve">being carried to the specific IMR/AVR guidance in the Annual Statement. This agenda </w:t>
      </w:r>
      <w:r w:rsidR="000C453A" w:rsidRPr="00970BBF">
        <w:rPr>
          <w:sz w:val="22"/>
          <w:szCs w:val="22"/>
        </w:rPr>
        <w:t xml:space="preserve">item, and the intent to ensure accounting concepts are in the SSAPs, intends to address those aspects and should help mitigate future </w:t>
      </w:r>
      <w:r w:rsidR="0051121F" w:rsidRPr="00970BBF">
        <w:rPr>
          <w:sz w:val="22"/>
          <w:szCs w:val="22"/>
        </w:rPr>
        <w:t xml:space="preserve">disconnects with guidance going forward. </w:t>
      </w:r>
    </w:p>
    <w:p w14:paraId="202830D7" w14:textId="77777777" w:rsidR="0051121F" w:rsidRPr="00970BBF" w:rsidRDefault="0051121F" w:rsidP="00A818A1">
      <w:pPr>
        <w:pStyle w:val="BodyTextIndent"/>
        <w:spacing w:after="0"/>
        <w:ind w:left="0"/>
        <w:jc w:val="both"/>
        <w:rPr>
          <w:sz w:val="22"/>
          <w:szCs w:val="22"/>
        </w:rPr>
      </w:pPr>
    </w:p>
    <w:p w14:paraId="631FF499" w14:textId="3A0F4B51" w:rsidR="0051121F" w:rsidRPr="00970BBF" w:rsidRDefault="0051121F" w:rsidP="00A818A1">
      <w:pPr>
        <w:pStyle w:val="BodyTextIndent"/>
        <w:spacing w:after="0"/>
        <w:ind w:left="0"/>
        <w:jc w:val="both"/>
        <w:rPr>
          <w:sz w:val="22"/>
          <w:szCs w:val="22"/>
        </w:rPr>
      </w:pPr>
      <w:r w:rsidRPr="00970BBF">
        <w:rPr>
          <w:sz w:val="22"/>
          <w:szCs w:val="22"/>
        </w:rPr>
        <w:t xml:space="preserve">Lastly, it has also been identified that there are limited financial reporting cross-checks to the reporting within the AVR. Although the instructions are specific as to how reporting lines should map to the AVR, instances have been noted in which a company has reported on one specific line for the investment schedule and then did not carry those amounts to the appropriate AVR reporting category. Although these may be inadvertent reporting errors, </w:t>
      </w:r>
      <w:r w:rsidR="00AE491D" w:rsidRPr="00970BBF">
        <w:rPr>
          <w:sz w:val="22"/>
          <w:szCs w:val="22"/>
        </w:rPr>
        <w:t xml:space="preserve">as the RBC for life companies pulls from the AVR reporting, it is imperative that the reporting per the investment schedules be reflected properly in the AVR. As such, this agenda item also proposes cross-checks to ensure </w:t>
      </w:r>
      <w:r w:rsidR="00801388" w:rsidRPr="00970BBF">
        <w:rPr>
          <w:sz w:val="22"/>
          <w:szCs w:val="22"/>
        </w:rPr>
        <w:t xml:space="preserve">consistent and accurate reporting. </w:t>
      </w:r>
    </w:p>
    <w:p w14:paraId="5B3C4876" w14:textId="77777777" w:rsidR="00A818A1" w:rsidRPr="00970BBF" w:rsidRDefault="00A818A1" w:rsidP="00A818A1">
      <w:pPr>
        <w:pStyle w:val="BodyTextIndent"/>
        <w:spacing w:after="0"/>
        <w:ind w:left="0"/>
        <w:jc w:val="both"/>
        <w:rPr>
          <w:sz w:val="22"/>
          <w:szCs w:val="22"/>
        </w:rPr>
      </w:pPr>
    </w:p>
    <w:p w14:paraId="50A56175" w14:textId="33C1C65E" w:rsidR="00BA40D6" w:rsidRPr="00970BBF" w:rsidRDefault="002A1316" w:rsidP="00937619">
      <w:pPr>
        <w:rPr>
          <w:b/>
          <w:sz w:val="22"/>
          <w:szCs w:val="22"/>
        </w:rPr>
      </w:pPr>
      <w:r w:rsidRPr="00970BBF">
        <w:rPr>
          <w:b/>
          <w:sz w:val="22"/>
          <w:szCs w:val="22"/>
        </w:rPr>
        <w:t>Existing Authoritative Literature:</w:t>
      </w:r>
      <w:r w:rsidR="00296E66" w:rsidRPr="00970BBF">
        <w:rPr>
          <w:b/>
          <w:sz w:val="22"/>
          <w:szCs w:val="22"/>
        </w:rPr>
        <w:t xml:space="preserve"> </w:t>
      </w:r>
    </w:p>
    <w:p w14:paraId="1C61EEF8" w14:textId="71A861FC" w:rsidR="001F0E42" w:rsidRPr="00970BBF" w:rsidRDefault="00224B9C" w:rsidP="0045639A">
      <w:pPr>
        <w:pStyle w:val="ListParagraph"/>
        <w:numPr>
          <w:ilvl w:val="0"/>
          <w:numId w:val="18"/>
        </w:numPr>
        <w:rPr>
          <w:b/>
          <w:sz w:val="22"/>
          <w:szCs w:val="22"/>
        </w:rPr>
      </w:pPr>
      <w:r w:rsidRPr="00C64BBA">
        <w:rPr>
          <w:b/>
          <w:i/>
          <w:iCs/>
          <w:sz w:val="22"/>
          <w:szCs w:val="22"/>
        </w:rPr>
        <w:t>SSAP No. 7—Asset Valuation Reserve and Interest Maintenance Reserve</w:t>
      </w:r>
      <w:r w:rsidRPr="00970BBF">
        <w:rPr>
          <w:b/>
          <w:sz w:val="22"/>
          <w:szCs w:val="22"/>
        </w:rPr>
        <w:t xml:space="preserve"> (included in entirety)</w:t>
      </w:r>
    </w:p>
    <w:p w14:paraId="1C4158A1" w14:textId="77777777" w:rsidR="00224B9C" w:rsidRPr="00970BBF" w:rsidRDefault="00224B9C" w:rsidP="001F0E42">
      <w:pPr>
        <w:pStyle w:val="Heading2"/>
        <w:rPr>
          <w:sz w:val="22"/>
          <w:szCs w:val="22"/>
        </w:rPr>
      </w:pPr>
      <w:bookmarkStart w:id="1" w:name="_Toc124419650"/>
    </w:p>
    <w:p w14:paraId="3C011F35" w14:textId="10E780B5" w:rsidR="001F0E42" w:rsidRPr="0045639A" w:rsidRDefault="001F0E42" w:rsidP="0045639A">
      <w:pPr>
        <w:pStyle w:val="Heading2"/>
        <w:ind w:left="720"/>
        <w:rPr>
          <w:rFonts w:ascii="Arial" w:hAnsi="Arial" w:cs="Arial"/>
          <w:sz w:val="20"/>
        </w:rPr>
      </w:pPr>
      <w:r w:rsidRPr="0045639A">
        <w:rPr>
          <w:rFonts w:ascii="Arial" w:hAnsi="Arial" w:cs="Arial"/>
          <w:sz w:val="20"/>
        </w:rPr>
        <w:t>SCOPE OF STATEMENT</w:t>
      </w:r>
      <w:bookmarkEnd w:id="1"/>
    </w:p>
    <w:p w14:paraId="12170208" w14:textId="030170C8" w:rsidR="001F0E42" w:rsidRPr="0045639A" w:rsidRDefault="001F0E42" w:rsidP="00C77E0A">
      <w:pPr>
        <w:pStyle w:val="ListContinue"/>
        <w:numPr>
          <w:ilvl w:val="0"/>
          <w:numId w:val="22"/>
        </w:numPr>
        <w:ind w:left="720" w:firstLine="0"/>
        <w:rPr>
          <w:rFonts w:ascii="Arial" w:hAnsi="Arial" w:cs="Arial"/>
          <w:i/>
          <w:sz w:val="20"/>
        </w:rPr>
      </w:pPr>
      <w:r w:rsidRPr="0045639A">
        <w:rPr>
          <w:rFonts w:ascii="Arial" w:hAnsi="Arial" w:cs="Arial"/>
          <w:sz w:val="20"/>
        </w:rPr>
        <w:t xml:space="preserve">This statement establishes statutory accounting principles for </w:t>
      </w:r>
      <w:r w:rsidRPr="0045639A">
        <w:rPr>
          <w:rFonts w:ascii="Arial" w:hAnsi="Arial" w:cs="Arial"/>
          <w:sz w:val="20"/>
          <w:shd w:val="clear" w:color="C0C0C0" w:fill="FFFFFF"/>
        </w:rPr>
        <w:t xml:space="preserve">an asset valuation reserve (AVR) and an interest maintenance reserve (IMR) for life and accident and health insurance companies, excluding separate accounts. Separate account AVR/IMR reporting is addressed in </w:t>
      </w:r>
      <w:r w:rsidRPr="0045639A">
        <w:rPr>
          <w:rFonts w:ascii="Arial" w:hAnsi="Arial" w:cs="Arial"/>
          <w:i/>
          <w:sz w:val="20"/>
          <w:shd w:val="clear" w:color="C0C0C0" w:fill="FFFFFF"/>
        </w:rPr>
        <w:t>SSAP No. 56—Separate Accounts.</w:t>
      </w:r>
    </w:p>
    <w:p w14:paraId="17B5B537" w14:textId="77777777" w:rsidR="001F0E42" w:rsidRPr="0045639A" w:rsidRDefault="001F0E42" w:rsidP="00C77E0A">
      <w:pPr>
        <w:pStyle w:val="Heading2"/>
        <w:ind w:left="720"/>
        <w:rPr>
          <w:rFonts w:ascii="Arial" w:hAnsi="Arial" w:cs="Arial"/>
          <w:sz w:val="20"/>
        </w:rPr>
      </w:pPr>
      <w:bookmarkStart w:id="2" w:name="_Toc124419651"/>
      <w:r w:rsidRPr="0045639A">
        <w:rPr>
          <w:rFonts w:ascii="Arial" w:hAnsi="Arial" w:cs="Arial"/>
          <w:sz w:val="20"/>
        </w:rPr>
        <w:t>SUMMARY CONCLUSION</w:t>
      </w:r>
      <w:bookmarkEnd w:id="2"/>
    </w:p>
    <w:p w14:paraId="30F5BD52" w14:textId="3E48069A" w:rsidR="001F0E42" w:rsidRPr="0045639A" w:rsidRDefault="001F0E42" w:rsidP="00C77E0A">
      <w:pPr>
        <w:pStyle w:val="ListContinue"/>
        <w:numPr>
          <w:ilvl w:val="0"/>
          <w:numId w:val="22"/>
        </w:numPr>
        <w:ind w:left="720" w:firstLine="0"/>
        <w:rPr>
          <w:rFonts w:ascii="Arial" w:hAnsi="Arial" w:cs="Arial"/>
          <w:b/>
          <w:sz w:val="20"/>
        </w:rPr>
      </w:pPr>
      <w:r w:rsidRPr="0045639A">
        <w:rPr>
          <w:rFonts w:ascii="Arial" w:hAnsi="Arial" w:cs="Arial"/>
          <w:sz w:val="20"/>
        </w:rPr>
        <w:t>Life and accident and health insurance companies shall recognize liabilities for an AVR and an IMR. The AVR is intended to establish a reserve to offset potential credit-related investment losses on all invested asset categories excluding cash, policy loans, premium notes, collateral notes and income receivable. The IMR defers recognition of the realized capital gains and losses resulting from changes in the general level of interest rates. These gains and losses shall be amortized into investment income over the expected remaining life of the investments sold. The IMR also applies to certain liability gains/losses related to changes in interest rates. These gains and losses shall be amortized into investment income over the expected remaining life of the liability released.</w:t>
      </w:r>
    </w:p>
    <w:p w14:paraId="5E6CD16C" w14:textId="3C114DAF" w:rsidR="001F0E42" w:rsidRPr="0045639A" w:rsidRDefault="001F0E42" w:rsidP="00C77E0A">
      <w:pPr>
        <w:pStyle w:val="ListContinue"/>
        <w:numPr>
          <w:ilvl w:val="0"/>
          <w:numId w:val="22"/>
        </w:numPr>
        <w:ind w:left="720" w:firstLine="0"/>
        <w:rPr>
          <w:rFonts w:ascii="Arial" w:hAnsi="Arial" w:cs="Arial"/>
          <w:sz w:val="20"/>
        </w:rPr>
      </w:pPr>
      <w:r w:rsidRPr="0045639A">
        <w:rPr>
          <w:rFonts w:ascii="Arial" w:hAnsi="Arial" w:cs="Arial"/>
          <w:sz w:val="20"/>
        </w:rPr>
        <w:t xml:space="preserve">The IMR and AVR shall be calculated and reported as determined per guidance in the SSAP for the specific type of investment (e.g., SSAP No. 43R for loan-backed and structured securities), or if not </w:t>
      </w:r>
      <w:r w:rsidRPr="0045639A">
        <w:rPr>
          <w:rFonts w:ascii="Arial" w:hAnsi="Arial" w:cs="Arial"/>
          <w:sz w:val="20"/>
        </w:rPr>
        <w:lastRenderedPageBreak/>
        <w:t xml:space="preserve">specifically stated in the respective SSAP, in accordance with the NAIC </w:t>
      </w:r>
      <w:r w:rsidRPr="0045639A">
        <w:rPr>
          <w:rFonts w:ascii="Arial" w:hAnsi="Arial" w:cs="Arial"/>
          <w:i/>
          <w:sz w:val="20"/>
        </w:rPr>
        <w:t xml:space="preserve">Annual Statement Instructions </w:t>
      </w:r>
      <w:r w:rsidRPr="0045639A">
        <w:rPr>
          <w:rFonts w:ascii="Arial" w:hAnsi="Arial" w:cs="Arial"/>
          <w:sz w:val="20"/>
        </w:rPr>
        <w:t>for Life and Accident and Health Insurance Companies.</w:t>
      </w:r>
    </w:p>
    <w:p w14:paraId="0FAB05E3" w14:textId="77777777" w:rsidR="001F0E42" w:rsidRPr="0045639A" w:rsidRDefault="001F0E42" w:rsidP="00C77E0A">
      <w:pPr>
        <w:pStyle w:val="Heading2"/>
        <w:ind w:left="720"/>
        <w:rPr>
          <w:rFonts w:ascii="Arial" w:hAnsi="Arial" w:cs="Arial"/>
          <w:sz w:val="20"/>
        </w:rPr>
      </w:pPr>
      <w:bookmarkStart w:id="3" w:name="_Toc124419652"/>
      <w:r w:rsidRPr="0045639A">
        <w:rPr>
          <w:rFonts w:ascii="Arial" w:hAnsi="Arial" w:cs="Arial"/>
          <w:sz w:val="20"/>
        </w:rPr>
        <w:t>Effective Date and Transition</w:t>
      </w:r>
      <w:bookmarkEnd w:id="3"/>
    </w:p>
    <w:p w14:paraId="2F0D8D4A" w14:textId="41C486A6" w:rsidR="001F0E42" w:rsidRDefault="001F0E42" w:rsidP="00C77E0A">
      <w:pPr>
        <w:pStyle w:val="ListContinue"/>
        <w:numPr>
          <w:ilvl w:val="0"/>
          <w:numId w:val="22"/>
        </w:numPr>
        <w:ind w:left="720" w:firstLine="0"/>
        <w:rPr>
          <w:rFonts w:ascii="Arial" w:hAnsi="Arial" w:cs="Arial"/>
          <w:sz w:val="20"/>
        </w:rPr>
      </w:pPr>
      <w:r w:rsidRPr="0045639A">
        <w:rPr>
          <w:rFonts w:ascii="Arial" w:hAnsi="Arial" w:cs="Arial"/>
          <w:sz w:val="20"/>
        </w:rPr>
        <w:t xml:space="preserve">This statement is effective for years beginning January 1, 2001. A change resulting from the adoption of this statement shall be accounted for as a change in accounting principle in accordance with </w:t>
      </w:r>
      <w:r w:rsidRPr="00043358">
        <w:rPr>
          <w:rFonts w:ascii="Arial" w:hAnsi="Arial" w:cs="Arial"/>
          <w:i/>
          <w:iCs/>
          <w:sz w:val="20"/>
        </w:rPr>
        <w:t>SSAP No. 3—Accounting Changes and Corrections of Errors</w:t>
      </w:r>
      <w:r w:rsidRPr="0045639A">
        <w:rPr>
          <w:rFonts w:ascii="Arial" w:hAnsi="Arial" w:cs="Arial"/>
          <w:sz w:val="20"/>
        </w:rPr>
        <w:t>.</w:t>
      </w:r>
    </w:p>
    <w:p w14:paraId="5706C1AE" w14:textId="77777777" w:rsidR="005433D0" w:rsidRDefault="005433D0" w:rsidP="005433D0">
      <w:pPr>
        <w:pStyle w:val="ListParagraph"/>
        <w:ind w:left="360"/>
        <w:rPr>
          <w:b/>
          <w:i/>
          <w:iCs/>
          <w:sz w:val="22"/>
          <w:szCs w:val="22"/>
        </w:rPr>
      </w:pPr>
    </w:p>
    <w:p w14:paraId="65F7EEDD" w14:textId="7E59D329" w:rsidR="00F91106" w:rsidRPr="005433D0" w:rsidRDefault="00F91106" w:rsidP="00F91106">
      <w:pPr>
        <w:pStyle w:val="ListParagraph"/>
        <w:numPr>
          <w:ilvl w:val="0"/>
          <w:numId w:val="18"/>
        </w:numPr>
        <w:rPr>
          <w:b/>
          <w:i/>
          <w:iCs/>
          <w:sz w:val="22"/>
          <w:szCs w:val="22"/>
        </w:rPr>
      </w:pPr>
      <w:r w:rsidRPr="00F91106">
        <w:rPr>
          <w:b/>
          <w:i/>
          <w:iCs/>
          <w:sz w:val="22"/>
          <w:szCs w:val="22"/>
        </w:rPr>
        <w:t>SSAP No. 56—Separate Accounts</w:t>
      </w:r>
      <w:r w:rsidR="00C64BBA">
        <w:rPr>
          <w:b/>
          <w:i/>
          <w:iCs/>
          <w:sz w:val="22"/>
          <w:szCs w:val="22"/>
        </w:rPr>
        <w:t xml:space="preserve"> </w:t>
      </w:r>
      <w:r w:rsidR="00C64BBA" w:rsidRPr="00C64BBA">
        <w:rPr>
          <w:b/>
          <w:sz w:val="22"/>
          <w:szCs w:val="22"/>
        </w:rPr>
        <w:t>(Excerpt for AVR and IMR included)</w:t>
      </w:r>
    </w:p>
    <w:p w14:paraId="5D73C04B" w14:textId="77777777" w:rsidR="005433D0" w:rsidRPr="00C64BBA" w:rsidRDefault="005433D0" w:rsidP="005433D0">
      <w:pPr>
        <w:pStyle w:val="ListParagraph"/>
        <w:ind w:left="360"/>
        <w:rPr>
          <w:b/>
          <w:i/>
          <w:iCs/>
          <w:sz w:val="22"/>
          <w:szCs w:val="22"/>
        </w:rPr>
      </w:pPr>
    </w:p>
    <w:p w14:paraId="7BC9AAFD" w14:textId="77777777" w:rsidR="001A579C" w:rsidRPr="005433D0" w:rsidRDefault="001A579C" w:rsidP="005433D0">
      <w:pPr>
        <w:pStyle w:val="Heading2"/>
        <w:ind w:left="720"/>
        <w:rPr>
          <w:rFonts w:ascii="Arial" w:hAnsi="Arial" w:cs="Arial"/>
          <w:sz w:val="20"/>
        </w:rPr>
      </w:pPr>
      <w:bookmarkStart w:id="4" w:name="_Toc398184389"/>
      <w:bookmarkStart w:id="5" w:name="_Toc124427297"/>
      <w:r w:rsidRPr="001A579C">
        <w:rPr>
          <w:rFonts w:ascii="Arial" w:hAnsi="Arial" w:cs="Arial"/>
          <w:sz w:val="20"/>
        </w:rPr>
        <w:t>Separate Account AVR and IMR Reporting</w:t>
      </w:r>
      <w:bookmarkEnd w:id="4"/>
      <w:bookmarkEnd w:id="5"/>
    </w:p>
    <w:p w14:paraId="0F1A97F4" w14:textId="77777777" w:rsidR="001A579C" w:rsidRPr="001A579C" w:rsidRDefault="001A579C" w:rsidP="001A579C"/>
    <w:p w14:paraId="02B195CA" w14:textId="35896537" w:rsidR="001A579C" w:rsidRPr="001A579C" w:rsidRDefault="00F00DFF" w:rsidP="001A579C">
      <w:pPr>
        <w:pStyle w:val="ListContinue"/>
        <w:numPr>
          <w:ilvl w:val="0"/>
          <w:numId w:val="21"/>
        </w:numPr>
        <w:rPr>
          <w:rFonts w:ascii="Arial" w:hAnsi="Arial" w:cs="Arial"/>
          <w:sz w:val="20"/>
        </w:rPr>
      </w:pPr>
      <w:r>
        <w:rPr>
          <w:rFonts w:ascii="Arial" w:hAnsi="Arial" w:cs="Arial"/>
          <w:sz w:val="20"/>
        </w:rPr>
        <w:tab/>
      </w:r>
      <w:r w:rsidR="001A579C" w:rsidRPr="001A579C">
        <w:rPr>
          <w:rFonts w:ascii="Arial" w:hAnsi="Arial" w:cs="Arial"/>
          <w:sz w:val="20"/>
        </w:rPr>
        <w:t>An AVR is generally required for separate accounts when the insurer, rather than the policyholder/contractholder, suffers the loss in the event of asset default or fair value loss. An AVR is required unless:</w:t>
      </w:r>
    </w:p>
    <w:p w14:paraId="71CC0CD1" w14:textId="77777777" w:rsidR="001A579C" w:rsidRPr="001A579C" w:rsidRDefault="001A579C" w:rsidP="001A579C">
      <w:pPr>
        <w:pStyle w:val="ListNumber2"/>
        <w:numPr>
          <w:ilvl w:val="0"/>
          <w:numId w:val="20"/>
        </w:numPr>
        <w:tabs>
          <w:tab w:val="clear" w:pos="0"/>
          <w:tab w:val="num" w:pos="720"/>
        </w:tabs>
        <w:spacing w:after="220"/>
        <w:ind w:left="2160"/>
        <w:jc w:val="both"/>
        <w:rPr>
          <w:rFonts w:ascii="Arial" w:hAnsi="Arial" w:cs="Arial"/>
        </w:rPr>
      </w:pPr>
      <w:r w:rsidRPr="001A579C">
        <w:rPr>
          <w:rFonts w:ascii="Arial" w:hAnsi="Arial" w:cs="Arial"/>
        </w:rPr>
        <w:t>The asset default or fair value risk is borne directly by the policyholders; or</w:t>
      </w:r>
    </w:p>
    <w:p w14:paraId="3C14B519" w14:textId="77777777" w:rsidR="001A579C" w:rsidRPr="001A579C" w:rsidRDefault="001A579C" w:rsidP="001A579C">
      <w:pPr>
        <w:pStyle w:val="ListNumber2"/>
        <w:numPr>
          <w:ilvl w:val="0"/>
          <w:numId w:val="20"/>
        </w:numPr>
        <w:tabs>
          <w:tab w:val="clear" w:pos="0"/>
          <w:tab w:val="num" w:pos="720"/>
        </w:tabs>
        <w:spacing w:after="220"/>
        <w:ind w:left="2160"/>
        <w:jc w:val="both"/>
        <w:rPr>
          <w:rFonts w:ascii="Arial" w:hAnsi="Arial" w:cs="Arial"/>
        </w:rPr>
      </w:pPr>
      <w:r w:rsidRPr="001A579C">
        <w:rPr>
          <w:rFonts w:ascii="Arial" w:hAnsi="Arial" w:cs="Arial"/>
        </w:rPr>
        <w:t>The regulatory authority for such separate accounts already explicitly provides for a reserve for asset default risk, where such reserves are essentially equivalent to the AVR.</w:t>
      </w:r>
    </w:p>
    <w:p w14:paraId="017464B7"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Assets supporting traditional variable annuities and variable life insurance generally do not require an AVR because the policyholders/contractholders bear the risk of change in the value of the assets. However, an AVR is required for that portion of the assets representing the insurer’s equity interest in the investments of the separate account (e.g., seed money).</w:t>
      </w:r>
    </w:p>
    <w:p w14:paraId="694871C8"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Assets supporting typical modified guaranteed contracts, market value adjusted contracts, and contracts with book value guarantees similar to contracts generally found in the general account do require an AVR because the insurer is responsible for credit related asset or fair value loss.</w:t>
      </w:r>
    </w:p>
    <w:p w14:paraId="1B41F36E"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Certain separate accounts are also required to maintain an Interest Maintenance Reserve (IMR). The IMR requirements for investments held in separate accounts are applied on an account by account basis. If an IMR is required for a separate account, all of the investments in that separate account are subject to the requirement. If an IMR is not required for a separate account, none of the investments in that separate account are subject to the requirement.</w:t>
      </w:r>
    </w:p>
    <w:p w14:paraId="4C2485DF"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An IMR is required for separate accounts with assets recorded at book value, but is not required for separate accounts with assets recorded at fair value. For example, separate accounts for traditional variable annuities or variable life insurance do not require an IMR because assets and liabilities are valued at fair value.</w:t>
      </w:r>
    </w:p>
    <w:p w14:paraId="30309DB8"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If an IMR is required for investments held by separate accounts, it is kept separate from the general account IMR and accounted for in the separate accounts statement.</w:t>
      </w:r>
    </w:p>
    <w:p w14:paraId="541F7049" w14:textId="77777777" w:rsid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 xml:space="preserve">The AVR and IMR shall be calculated and reported in accordance with the NAIC </w:t>
      </w:r>
      <w:r w:rsidRPr="001A579C">
        <w:rPr>
          <w:rFonts w:ascii="Arial" w:hAnsi="Arial" w:cs="Arial"/>
          <w:i/>
          <w:sz w:val="20"/>
        </w:rPr>
        <w:t xml:space="preserve">Annual </w:t>
      </w:r>
      <w:r w:rsidRPr="001A579C">
        <w:rPr>
          <w:rFonts w:ascii="Arial" w:hAnsi="Arial" w:cs="Arial"/>
          <w:sz w:val="20"/>
        </w:rPr>
        <w:t>Statement</w:t>
      </w:r>
      <w:r w:rsidRPr="001A579C">
        <w:rPr>
          <w:rFonts w:ascii="Arial" w:hAnsi="Arial" w:cs="Arial"/>
          <w:i/>
          <w:sz w:val="20"/>
        </w:rPr>
        <w:t xml:space="preserve"> </w:t>
      </w:r>
      <w:r w:rsidRPr="001A579C">
        <w:rPr>
          <w:rFonts w:ascii="Arial" w:hAnsi="Arial" w:cs="Arial"/>
          <w:sz w:val="20"/>
        </w:rPr>
        <w:t>Instructions</w:t>
      </w:r>
      <w:r w:rsidRPr="001A579C">
        <w:rPr>
          <w:rFonts w:ascii="Arial" w:hAnsi="Arial" w:cs="Arial"/>
          <w:i/>
          <w:sz w:val="20"/>
        </w:rPr>
        <w:t xml:space="preserve"> for Life, Accident and Health Insurance Companies</w:t>
      </w:r>
      <w:r w:rsidRPr="001A579C">
        <w:rPr>
          <w:rFonts w:ascii="Arial" w:hAnsi="Arial" w:cs="Arial"/>
          <w:sz w:val="20"/>
        </w:rPr>
        <w:t>.</w:t>
      </w:r>
    </w:p>
    <w:p w14:paraId="74A2BADD" w14:textId="77777777" w:rsidR="00D369F5" w:rsidRDefault="00D369F5" w:rsidP="00D369F5">
      <w:pPr>
        <w:pStyle w:val="ListParagraph"/>
        <w:ind w:left="360"/>
        <w:rPr>
          <w:b/>
          <w:sz w:val="22"/>
          <w:szCs w:val="22"/>
        </w:rPr>
      </w:pPr>
    </w:p>
    <w:p w14:paraId="5E99F564" w14:textId="0FA629EA" w:rsidR="00043358" w:rsidRPr="00D5145D" w:rsidRDefault="00043358" w:rsidP="00043358">
      <w:pPr>
        <w:pStyle w:val="ListParagraph"/>
        <w:numPr>
          <w:ilvl w:val="0"/>
          <w:numId w:val="18"/>
        </w:numPr>
        <w:rPr>
          <w:b/>
          <w:sz w:val="22"/>
          <w:szCs w:val="22"/>
        </w:rPr>
      </w:pPr>
      <w:r w:rsidRPr="00D5145D">
        <w:rPr>
          <w:b/>
          <w:sz w:val="22"/>
          <w:szCs w:val="22"/>
        </w:rPr>
        <w:t>A/S Instructions – Life, Accident and Health / Fraternal Companies</w:t>
      </w:r>
    </w:p>
    <w:p w14:paraId="3358FAE4" w14:textId="6C8E8906" w:rsidR="00043358" w:rsidRDefault="00043358" w:rsidP="00043358">
      <w:pPr>
        <w:pStyle w:val="ListParagraph"/>
        <w:rPr>
          <w:bCs/>
          <w:i/>
          <w:iCs/>
          <w:sz w:val="22"/>
          <w:szCs w:val="22"/>
        </w:rPr>
      </w:pPr>
      <w:r w:rsidRPr="00D5145D">
        <w:rPr>
          <w:bCs/>
          <w:i/>
          <w:iCs/>
          <w:sz w:val="22"/>
          <w:szCs w:val="22"/>
        </w:rPr>
        <w:t xml:space="preserve">(Due to the size of the instructions, these have not been duplicated within this agenda item.) </w:t>
      </w:r>
    </w:p>
    <w:p w14:paraId="52A44FDA" w14:textId="77777777" w:rsidR="00BA7FB3" w:rsidRDefault="00BA7FB3" w:rsidP="00043358">
      <w:pPr>
        <w:pStyle w:val="ListParagraph"/>
        <w:rPr>
          <w:bCs/>
          <w:i/>
          <w:iCs/>
          <w:sz w:val="22"/>
          <w:szCs w:val="22"/>
        </w:rPr>
      </w:pPr>
    </w:p>
    <w:p w14:paraId="6523B8CA" w14:textId="77777777" w:rsidR="00C77E0A" w:rsidRDefault="00C77E0A">
      <w:pPr>
        <w:rPr>
          <w:b/>
          <w:sz w:val="22"/>
          <w:szCs w:val="22"/>
        </w:rPr>
      </w:pPr>
      <w:r>
        <w:rPr>
          <w:b/>
          <w:sz w:val="22"/>
          <w:szCs w:val="22"/>
        </w:rPr>
        <w:br w:type="page"/>
      </w:r>
    </w:p>
    <w:p w14:paraId="7F351209" w14:textId="1A9BC6BB" w:rsidR="00BA7FB3" w:rsidRPr="00D5145D" w:rsidRDefault="00BA7FB3" w:rsidP="00BA7FB3">
      <w:pPr>
        <w:pStyle w:val="ListParagraph"/>
        <w:numPr>
          <w:ilvl w:val="0"/>
          <w:numId w:val="18"/>
        </w:numPr>
        <w:rPr>
          <w:b/>
          <w:sz w:val="22"/>
          <w:szCs w:val="22"/>
        </w:rPr>
      </w:pPr>
      <w:r w:rsidRPr="00D5145D">
        <w:rPr>
          <w:b/>
          <w:sz w:val="22"/>
          <w:szCs w:val="22"/>
        </w:rPr>
        <w:lastRenderedPageBreak/>
        <w:t xml:space="preserve">A/S Instructions – </w:t>
      </w:r>
      <w:r w:rsidR="000A612E">
        <w:rPr>
          <w:b/>
          <w:sz w:val="22"/>
          <w:szCs w:val="22"/>
        </w:rPr>
        <w:t>Separate Account</w:t>
      </w:r>
    </w:p>
    <w:p w14:paraId="3201DB75" w14:textId="0B898F8C" w:rsidR="00BA7FB3" w:rsidRDefault="00D369F5" w:rsidP="00D369F5">
      <w:pPr>
        <w:pStyle w:val="ListParagraph"/>
        <w:ind w:left="360"/>
        <w:rPr>
          <w:bCs/>
          <w:i/>
          <w:iCs/>
          <w:sz w:val="22"/>
          <w:szCs w:val="22"/>
        </w:rPr>
      </w:pPr>
      <w:r>
        <w:rPr>
          <w:bCs/>
          <w:i/>
          <w:iCs/>
          <w:sz w:val="22"/>
          <w:szCs w:val="22"/>
        </w:rPr>
        <w:t>I</w:t>
      </w:r>
      <w:r w:rsidR="00FE140B">
        <w:rPr>
          <w:bCs/>
          <w:i/>
          <w:iCs/>
          <w:sz w:val="22"/>
          <w:szCs w:val="22"/>
        </w:rPr>
        <w:t>nstructions within the Separate Account section of the Life instructions also exist</w:t>
      </w:r>
      <w:r w:rsidR="00205882">
        <w:rPr>
          <w:bCs/>
          <w:i/>
          <w:iCs/>
          <w:sz w:val="22"/>
          <w:szCs w:val="22"/>
        </w:rPr>
        <w:t xml:space="preserve"> and are provided below: </w:t>
      </w:r>
    </w:p>
    <w:p w14:paraId="5DFB2AD4" w14:textId="663CDF52" w:rsidR="00BA7FB3" w:rsidRPr="00D5145D" w:rsidRDefault="00BA7FB3" w:rsidP="00043358">
      <w:pPr>
        <w:pStyle w:val="ListParagraph"/>
        <w:rPr>
          <w:bCs/>
          <w:i/>
          <w:iCs/>
          <w:sz w:val="22"/>
          <w:szCs w:val="22"/>
        </w:rPr>
      </w:pPr>
    </w:p>
    <w:p w14:paraId="1194C79C"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Interest Maintenance Reserve (IMR) requirements for investments reported in the Separate Accounts Statement are applied on an account-by-account basis. If an IMR is required for a separate account, all of the investments in that separate account are subject to the requirement. If an IMR is not required for a separate account, none of the investments in that separate account are subject to the requirement.</w:t>
      </w:r>
    </w:p>
    <w:p w14:paraId="13BA5ACE" w14:textId="77777777" w:rsidR="003D1402" w:rsidRPr="003D1402" w:rsidRDefault="003D1402" w:rsidP="00205882">
      <w:pPr>
        <w:ind w:left="720"/>
        <w:jc w:val="both"/>
        <w:rPr>
          <w:rFonts w:ascii="Arial" w:hAnsi="Arial" w:cs="Arial"/>
          <w:sz w:val="20"/>
          <w:szCs w:val="20"/>
        </w:rPr>
      </w:pPr>
    </w:p>
    <w:p w14:paraId="6F3A4DFA"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 xml:space="preserve">An IMR is required for separate accounts valued at book but is not required for separate accounts valued at market. For example, separate accounts for traditional variable annuities, or variable life insurance do not require an IMR because assets and liabilities are valued at market. </w:t>
      </w:r>
    </w:p>
    <w:p w14:paraId="2ACE520E" w14:textId="77777777" w:rsidR="003D1402" w:rsidRPr="003D1402" w:rsidRDefault="003D1402" w:rsidP="00205882">
      <w:pPr>
        <w:ind w:left="720"/>
        <w:jc w:val="both"/>
        <w:rPr>
          <w:rFonts w:ascii="Arial" w:hAnsi="Arial" w:cs="Arial"/>
          <w:sz w:val="20"/>
          <w:szCs w:val="20"/>
        </w:rPr>
      </w:pPr>
    </w:p>
    <w:p w14:paraId="482E9BA8"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If an IMR is required for investments in the Separate Accounts Statement, it is kept separate from the General Account IMR and accounted for in the Separate Accounts Statement.</w:t>
      </w:r>
    </w:p>
    <w:p w14:paraId="3F165B31" w14:textId="77777777" w:rsidR="003D1402" w:rsidRPr="003D1402" w:rsidRDefault="003D1402" w:rsidP="00205882">
      <w:pPr>
        <w:ind w:left="720"/>
        <w:jc w:val="both"/>
        <w:rPr>
          <w:rFonts w:ascii="Arial" w:hAnsi="Arial" w:cs="Arial"/>
          <w:sz w:val="20"/>
          <w:szCs w:val="20"/>
        </w:rPr>
      </w:pPr>
    </w:p>
    <w:p w14:paraId="57B53480"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The instructions for completion of the IMR for the Separate Accounts Statement are incorporated in the instructions for completion of the IMR of the General Account Statement. Refer to those instructions for guidance.</w:t>
      </w:r>
    </w:p>
    <w:p w14:paraId="0C68420F" w14:textId="77777777" w:rsidR="00BC3D55" w:rsidRDefault="00BC3D55" w:rsidP="00B30CA0">
      <w:pPr>
        <w:pStyle w:val="BodyText2"/>
        <w:rPr>
          <w:szCs w:val="22"/>
        </w:rPr>
      </w:pPr>
    </w:p>
    <w:p w14:paraId="59DFDF4B" w14:textId="050ADA60" w:rsidR="004623DC" w:rsidRPr="00D5145D" w:rsidRDefault="002A1316" w:rsidP="00B30CA0">
      <w:pPr>
        <w:pStyle w:val="BodyText2"/>
        <w:rPr>
          <w:szCs w:val="22"/>
        </w:rPr>
      </w:pPr>
      <w:r w:rsidRPr="00D5145D">
        <w:rPr>
          <w:szCs w:val="22"/>
        </w:rPr>
        <w:t xml:space="preserve">Activity to Date (issues previously addressed by </w:t>
      </w:r>
      <w:r w:rsidR="006B37DD" w:rsidRPr="00D5145D">
        <w:rPr>
          <w:szCs w:val="22"/>
        </w:rPr>
        <w:t xml:space="preserve">the </w:t>
      </w:r>
      <w:r w:rsidR="00004652" w:rsidRPr="00D5145D">
        <w:rPr>
          <w:szCs w:val="22"/>
        </w:rPr>
        <w:t>Working Group</w:t>
      </w:r>
      <w:r w:rsidRPr="00D5145D">
        <w:rPr>
          <w:szCs w:val="22"/>
        </w:rPr>
        <w:t xml:space="preserve">, Emerging Accounting Issues </w:t>
      </w:r>
      <w:r w:rsidR="00004652" w:rsidRPr="00D5145D">
        <w:rPr>
          <w:szCs w:val="22"/>
        </w:rPr>
        <w:t>(E) Working Group</w:t>
      </w:r>
      <w:r w:rsidRPr="00D5145D">
        <w:rPr>
          <w:szCs w:val="22"/>
        </w:rPr>
        <w:t>, SEC, FASB, other State Departments of Insurance or other NAIC groups):</w:t>
      </w:r>
      <w:r w:rsidR="004E2BB9" w:rsidRPr="00D5145D">
        <w:rPr>
          <w:szCs w:val="22"/>
        </w:rPr>
        <w:t xml:space="preserve"> </w:t>
      </w:r>
    </w:p>
    <w:p w14:paraId="058FDF78" w14:textId="77777777" w:rsidR="009D0C90" w:rsidRPr="00D5145D" w:rsidRDefault="009D0C90" w:rsidP="00B30CA0">
      <w:pPr>
        <w:pStyle w:val="BodyText2"/>
        <w:rPr>
          <w:szCs w:val="22"/>
        </w:rPr>
      </w:pPr>
    </w:p>
    <w:p w14:paraId="2FE961EC" w14:textId="642B1F00" w:rsidR="00711390" w:rsidRPr="00D5145D" w:rsidRDefault="00CA6E06" w:rsidP="00261C0A">
      <w:pPr>
        <w:pStyle w:val="BodyText2"/>
        <w:numPr>
          <w:ilvl w:val="0"/>
          <w:numId w:val="14"/>
        </w:numPr>
        <w:rPr>
          <w:b w:val="0"/>
          <w:bCs w:val="0"/>
          <w:szCs w:val="22"/>
        </w:rPr>
      </w:pPr>
      <w:r w:rsidRPr="00D5145D">
        <w:rPr>
          <w:b w:val="0"/>
          <w:bCs w:val="0"/>
          <w:szCs w:val="22"/>
        </w:rPr>
        <w:t>Agenda item 2022-19</w:t>
      </w:r>
      <w:r w:rsidR="00711390" w:rsidRPr="00D5145D">
        <w:rPr>
          <w:b w:val="0"/>
          <w:bCs w:val="0"/>
          <w:szCs w:val="22"/>
        </w:rPr>
        <w:t xml:space="preserve">: Negative IMR, </w:t>
      </w:r>
      <w:r w:rsidR="00470446" w:rsidRPr="00D5145D">
        <w:rPr>
          <w:b w:val="0"/>
          <w:bCs w:val="0"/>
          <w:szCs w:val="22"/>
        </w:rPr>
        <w:t>identified that the accounting guidance for IMR, including the provisions on negative IMR, are currently captured in the Annual Statement Instructions</w:t>
      </w:r>
      <w:r w:rsidR="009643E6" w:rsidRPr="00D5145D">
        <w:rPr>
          <w:b w:val="0"/>
          <w:bCs w:val="0"/>
          <w:szCs w:val="22"/>
        </w:rPr>
        <w:t xml:space="preserve">. </w:t>
      </w:r>
      <w:r w:rsidR="009643E6" w:rsidRPr="00D5145D">
        <w:rPr>
          <w:b w:val="0"/>
          <w:bCs w:val="0"/>
          <w:i/>
          <w:iCs/>
          <w:szCs w:val="22"/>
        </w:rPr>
        <w:t>SSAP No. 7—Asset Valuation Reserve and Interest Maintenance Reserve</w:t>
      </w:r>
      <w:r w:rsidR="009643E6" w:rsidRPr="00D5145D">
        <w:rPr>
          <w:b w:val="0"/>
          <w:bCs w:val="0"/>
          <w:szCs w:val="22"/>
        </w:rPr>
        <w:t>, points to the Annual Statement Instruction</w:t>
      </w:r>
      <w:r w:rsidR="00623E2A" w:rsidRPr="00D5145D">
        <w:rPr>
          <w:b w:val="0"/>
          <w:bCs w:val="0"/>
          <w:szCs w:val="22"/>
        </w:rPr>
        <w:t xml:space="preserve">s for the IMR and AVR calculation. </w:t>
      </w:r>
    </w:p>
    <w:p w14:paraId="405E6742" w14:textId="77777777" w:rsidR="004623DC" w:rsidRPr="00D5145D" w:rsidRDefault="004623DC" w:rsidP="00B30CA0">
      <w:pPr>
        <w:pStyle w:val="BodyText2"/>
        <w:rPr>
          <w:szCs w:val="22"/>
        </w:rPr>
      </w:pPr>
    </w:p>
    <w:p w14:paraId="1A7C9804" w14:textId="37F353B2" w:rsidR="002A1316" w:rsidRPr="00D5145D" w:rsidRDefault="002A1316" w:rsidP="00B30CA0">
      <w:pPr>
        <w:pStyle w:val="BodyText"/>
        <w:rPr>
          <w:b/>
          <w:sz w:val="22"/>
          <w:szCs w:val="22"/>
        </w:rPr>
      </w:pPr>
      <w:r w:rsidRPr="00D5145D">
        <w:rPr>
          <w:b/>
          <w:sz w:val="22"/>
          <w:szCs w:val="22"/>
        </w:rPr>
        <w:t xml:space="preserve">Information or </w:t>
      </w:r>
      <w:r w:rsidR="00DF407B" w:rsidRPr="00D5145D">
        <w:rPr>
          <w:b/>
          <w:sz w:val="22"/>
          <w:szCs w:val="22"/>
        </w:rPr>
        <w:t>i</w:t>
      </w:r>
      <w:r w:rsidRPr="00D5145D">
        <w:rPr>
          <w:b/>
          <w:sz w:val="22"/>
          <w:szCs w:val="22"/>
        </w:rPr>
        <w:t xml:space="preserve">ssues (included in </w:t>
      </w:r>
      <w:r w:rsidRPr="00D5145D">
        <w:rPr>
          <w:b/>
          <w:i/>
          <w:sz w:val="22"/>
          <w:szCs w:val="22"/>
        </w:rPr>
        <w:t>Description of Issue</w:t>
      </w:r>
      <w:r w:rsidRPr="00D5145D">
        <w:rPr>
          <w:b/>
          <w:sz w:val="22"/>
          <w:szCs w:val="22"/>
        </w:rPr>
        <w:t xml:space="preserve">) not previously contemplated by the </w:t>
      </w:r>
      <w:r w:rsidR="00004652" w:rsidRPr="00D5145D">
        <w:rPr>
          <w:b/>
          <w:sz w:val="22"/>
          <w:szCs w:val="22"/>
        </w:rPr>
        <w:t>Working Group</w:t>
      </w:r>
      <w:r w:rsidRPr="00D5145D">
        <w:rPr>
          <w:b/>
          <w:sz w:val="22"/>
          <w:szCs w:val="22"/>
        </w:rPr>
        <w:t>:</w:t>
      </w:r>
    </w:p>
    <w:p w14:paraId="38E08ED2" w14:textId="77777777" w:rsidR="002A1316" w:rsidRPr="00D5145D" w:rsidRDefault="00FE7FAA" w:rsidP="00B30CA0">
      <w:pPr>
        <w:pStyle w:val="BodyText"/>
        <w:rPr>
          <w:bCs/>
          <w:sz w:val="22"/>
          <w:szCs w:val="22"/>
        </w:rPr>
      </w:pPr>
      <w:r w:rsidRPr="00D5145D">
        <w:rPr>
          <w:bCs/>
          <w:sz w:val="22"/>
          <w:szCs w:val="22"/>
        </w:rPr>
        <w:t>None</w:t>
      </w:r>
    </w:p>
    <w:p w14:paraId="19D3DF10" w14:textId="77777777" w:rsidR="006B37DD" w:rsidRPr="00D5145D" w:rsidRDefault="006B37DD" w:rsidP="00B30CA0">
      <w:pPr>
        <w:pStyle w:val="BodyText2"/>
        <w:rPr>
          <w:b w:val="0"/>
          <w:bCs w:val="0"/>
          <w:szCs w:val="22"/>
        </w:rPr>
      </w:pPr>
    </w:p>
    <w:p w14:paraId="70213B4E" w14:textId="110D8FD0" w:rsidR="00490996" w:rsidRPr="00D5145D" w:rsidRDefault="00490996" w:rsidP="00490996">
      <w:pPr>
        <w:pStyle w:val="Default"/>
        <w:rPr>
          <w:bCs/>
          <w:color w:val="auto"/>
          <w:sz w:val="22"/>
          <w:szCs w:val="22"/>
        </w:rPr>
      </w:pPr>
      <w:r w:rsidRPr="00D5145D">
        <w:rPr>
          <w:b/>
          <w:color w:val="auto"/>
          <w:sz w:val="22"/>
          <w:szCs w:val="22"/>
        </w:rPr>
        <w:t>Convergence with International Financial Reporting Standards (IFRS):</w:t>
      </w:r>
      <w:r w:rsidR="002408D3" w:rsidRPr="00D5145D">
        <w:rPr>
          <w:b/>
          <w:color w:val="auto"/>
          <w:sz w:val="22"/>
          <w:szCs w:val="22"/>
        </w:rPr>
        <w:t xml:space="preserve"> </w:t>
      </w:r>
      <w:r w:rsidR="002408D3" w:rsidRPr="00D5145D">
        <w:rPr>
          <w:bCs/>
          <w:color w:val="auto"/>
          <w:sz w:val="22"/>
          <w:szCs w:val="22"/>
        </w:rPr>
        <w:t>NA</w:t>
      </w:r>
    </w:p>
    <w:p w14:paraId="45ED1F04" w14:textId="77777777" w:rsidR="006B37DD" w:rsidRPr="00D5145D" w:rsidRDefault="006B37DD" w:rsidP="00490996">
      <w:pPr>
        <w:pStyle w:val="BodyText2"/>
        <w:rPr>
          <w:b w:val="0"/>
          <w:bCs w:val="0"/>
          <w:szCs w:val="22"/>
        </w:rPr>
      </w:pPr>
    </w:p>
    <w:p w14:paraId="5557637B" w14:textId="77777777" w:rsidR="00237383" w:rsidRPr="00D5145D" w:rsidRDefault="002A1316" w:rsidP="004E2BB9">
      <w:pPr>
        <w:pStyle w:val="BodyText2"/>
        <w:rPr>
          <w:szCs w:val="22"/>
        </w:rPr>
      </w:pPr>
      <w:r w:rsidRPr="00D5145D">
        <w:rPr>
          <w:szCs w:val="22"/>
        </w:rPr>
        <w:t>Recommendation:</w:t>
      </w:r>
      <w:r w:rsidR="004128F1" w:rsidRPr="00D5145D">
        <w:rPr>
          <w:szCs w:val="22"/>
        </w:rPr>
        <w:t xml:space="preserve"> </w:t>
      </w:r>
    </w:p>
    <w:p w14:paraId="46E03143" w14:textId="4CAE2CA5" w:rsidR="00AF14C1" w:rsidRPr="00D5145D" w:rsidRDefault="0058721A" w:rsidP="0058721A">
      <w:pPr>
        <w:pStyle w:val="BodyText2"/>
        <w:rPr>
          <w:szCs w:val="22"/>
        </w:rPr>
      </w:pPr>
      <w:r w:rsidRPr="00D5145D">
        <w:rPr>
          <w:szCs w:val="22"/>
        </w:rPr>
        <w:t xml:space="preserve">NAIC staff recommend that the Working Group include this item on their maintenance agenda as a </w:t>
      </w:r>
      <w:r w:rsidR="005A01EB" w:rsidRPr="00D5145D">
        <w:rPr>
          <w:szCs w:val="22"/>
        </w:rPr>
        <w:t xml:space="preserve">new SAP concept </w:t>
      </w:r>
      <w:r w:rsidRPr="00D5145D">
        <w:rPr>
          <w:szCs w:val="22"/>
        </w:rPr>
        <w:t xml:space="preserve">and expose this agenda item </w:t>
      </w:r>
      <w:r w:rsidR="00AD2376" w:rsidRPr="00D5145D">
        <w:rPr>
          <w:szCs w:val="22"/>
        </w:rPr>
        <w:t xml:space="preserve">with </w:t>
      </w:r>
      <w:r w:rsidR="00AF14C1" w:rsidRPr="00D5145D">
        <w:rPr>
          <w:szCs w:val="22"/>
        </w:rPr>
        <w:t xml:space="preserve">the overall concept for a long-term project </w:t>
      </w:r>
      <w:r w:rsidR="00AD2376" w:rsidRPr="00D5145D">
        <w:rPr>
          <w:szCs w:val="22"/>
        </w:rPr>
        <w:t>to capture accounting guidance for AVR and IMR in SSAP No. 7.</w:t>
      </w:r>
      <w:r w:rsidR="005A01EB" w:rsidRPr="00D5145D">
        <w:rPr>
          <w:szCs w:val="22"/>
        </w:rPr>
        <w:t xml:space="preserve"> </w:t>
      </w:r>
      <w:r w:rsidR="00F61F65" w:rsidRPr="00D5145D">
        <w:rPr>
          <w:szCs w:val="22"/>
        </w:rPr>
        <w:t>Although it is anticipated that this project may take time, particularly with the assessment of admittance / nonadmittance for negative IMR as a long-term concept</w:t>
      </w:r>
      <w:r w:rsidR="00053C91" w:rsidRPr="00D5145D">
        <w:rPr>
          <w:szCs w:val="22"/>
        </w:rPr>
        <w:t xml:space="preserve">, it is noted that interim revisions </w:t>
      </w:r>
      <w:r w:rsidR="005337D3" w:rsidRPr="00D5145D">
        <w:rPr>
          <w:szCs w:val="22"/>
        </w:rPr>
        <w:t>(within specific agenda items) will</w:t>
      </w:r>
      <w:r w:rsidR="00053C91" w:rsidRPr="00D5145D">
        <w:rPr>
          <w:szCs w:val="22"/>
        </w:rPr>
        <w:t xml:space="preserve"> be proposed to ensure progress towards </w:t>
      </w:r>
      <w:r w:rsidR="004146C7" w:rsidRPr="00D5145D">
        <w:rPr>
          <w:szCs w:val="22"/>
        </w:rPr>
        <w:t xml:space="preserve">consistent application and address potential areas where credit losses may be reported as IMR. </w:t>
      </w:r>
    </w:p>
    <w:p w14:paraId="100013F1" w14:textId="77777777" w:rsidR="00AF14C1" w:rsidRPr="00D5145D" w:rsidRDefault="00AF14C1" w:rsidP="0058721A">
      <w:pPr>
        <w:pStyle w:val="BodyText2"/>
        <w:rPr>
          <w:szCs w:val="22"/>
        </w:rPr>
      </w:pPr>
    </w:p>
    <w:p w14:paraId="62DF16E2" w14:textId="77777777" w:rsidR="00D67D5E" w:rsidRDefault="00282F22" w:rsidP="0058721A">
      <w:pPr>
        <w:pStyle w:val="BodyText2"/>
        <w:rPr>
          <w:szCs w:val="22"/>
        </w:rPr>
      </w:pPr>
      <w:r w:rsidRPr="00D5145D">
        <w:rPr>
          <w:szCs w:val="22"/>
        </w:rPr>
        <w:t>Although revisions may be considered and adopte</w:t>
      </w:r>
      <w:r w:rsidR="00E3671B" w:rsidRPr="00D5145D">
        <w:rPr>
          <w:szCs w:val="22"/>
        </w:rPr>
        <w:t xml:space="preserve">d to allow focus on specific discussion aspects, </w:t>
      </w:r>
      <w:r w:rsidR="00BD3F83" w:rsidRPr="00D5145D">
        <w:rPr>
          <w:szCs w:val="22"/>
        </w:rPr>
        <w:t>ultimately, the movement of the accounting guidance to SSAP No. 7</w:t>
      </w:r>
      <w:r w:rsidR="00294FE6" w:rsidRPr="00D5145D">
        <w:rPr>
          <w:szCs w:val="22"/>
        </w:rPr>
        <w:t xml:space="preserve">, and any revisions from </w:t>
      </w:r>
      <w:r w:rsidR="00A533DF" w:rsidRPr="00D5145D">
        <w:rPr>
          <w:szCs w:val="22"/>
        </w:rPr>
        <w:t>the A/S instructions when incorporating SSAP guidance,</w:t>
      </w:r>
      <w:r w:rsidR="00BD3F83" w:rsidRPr="00D5145D">
        <w:rPr>
          <w:szCs w:val="22"/>
        </w:rPr>
        <w:t xml:space="preserve"> is proposed to be captured as</w:t>
      </w:r>
      <w:r w:rsidR="009A09CC" w:rsidRPr="00D5145D">
        <w:rPr>
          <w:szCs w:val="22"/>
        </w:rPr>
        <w:t xml:space="preserve"> a new SAP concept with a corresponding issue paper to detail the revisions. </w:t>
      </w:r>
    </w:p>
    <w:p w14:paraId="291B6BD4" w14:textId="77777777" w:rsidR="00D67D5E" w:rsidRDefault="00D67D5E" w:rsidP="0058721A">
      <w:pPr>
        <w:pStyle w:val="BodyText2"/>
        <w:rPr>
          <w:szCs w:val="22"/>
        </w:rPr>
      </w:pPr>
    </w:p>
    <w:p w14:paraId="72FA68A3" w14:textId="237DB87D" w:rsidR="00A533DF" w:rsidRPr="00D5145D" w:rsidRDefault="00A533DF" w:rsidP="0058721A">
      <w:pPr>
        <w:pStyle w:val="BodyText2"/>
        <w:rPr>
          <w:szCs w:val="22"/>
        </w:rPr>
      </w:pPr>
      <w:r w:rsidRPr="00D5145D">
        <w:rPr>
          <w:szCs w:val="22"/>
        </w:rPr>
        <w:t>Discussion topics expected to include</w:t>
      </w:r>
      <w:r w:rsidR="00292517" w:rsidRPr="00D5145D">
        <w:rPr>
          <w:szCs w:val="22"/>
        </w:rPr>
        <w:t xml:space="preserve"> as part of the broad project</w:t>
      </w:r>
      <w:r w:rsidR="00CE6FB3" w:rsidRPr="00D5145D">
        <w:rPr>
          <w:szCs w:val="22"/>
        </w:rPr>
        <w:t>, include but are not limited to</w:t>
      </w:r>
      <w:r w:rsidR="00292517" w:rsidRPr="00D5145D">
        <w:rPr>
          <w:szCs w:val="22"/>
        </w:rPr>
        <w:t xml:space="preserve">: </w:t>
      </w:r>
    </w:p>
    <w:p w14:paraId="11EFB75D" w14:textId="77777777" w:rsidR="00A533DF" w:rsidRPr="00D5145D" w:rsidRDefault="00A533DF" w:rsidP="0058721A">
      <w:pPr>
        <w:pStyle w:val="BodyText2"/>
        <w:rPr>
          <w:szCs w:val="22"/>
        </w:rPr>
      </w:pPr>
    </w:p>
    <w:p w14:paraId="6BFC9C53" w14:textId="43325D72" w:rsidR="00A533DF" w:rsidRPr="00D5145D" w:rsidRDefault="00782A29" w:rsidP="00A533DF">
      <w:pPr>
        <w:pStyle w:val="BodyText2"/>
        <w:numPr>
          <w:ilvl w:val="0"/>
          <w:numId w:val="14"/>
        </w:numPr>
        <w:rPr>
          <w:bCs w:val="0"/>
          <w:szCs w:val="22"/>
          <w:u w:val="single"/>
        </w:rPr>
      </w:pPr>
      <w:r w:rsidRPr="00D5145D">
        <w:rPr>
          <w:bCs w:val="0"/>
          <w:szCs w:val="22"/>
          <w:u w:val="single"/>
        </w:rPr>
        <w:t>A</w:t>
      </w:r>
      <w:r w:rsidR="00A533DF" w:rsidRPr="00D5145D">
        <w:rPr>
          <w:bCs w:val="0"/>
          <w:szCs w:val="22"/>
          <w:u w:val="single"/>
        </w:rPr>
        <w:t xml:space="preserve">bsolutes in </w:t>
      </w:r>
      <w:r w:rsidRPr="00D5145D">
        <w:rPr>
          <w:bCs w:val="0"/>
          <w:szCs w:val="22"/>
          <w:u w:val="single"/>
        </w:rPr>
        <w:t>A</w:t>
      </w:r>
      <w:r w:rsidR="00A533DF" w:rsidRPr="00D5145D">
        <w:rPr>
          <w:bCs w:val="0"/>
          <w:szCs w:val="22"/>
          <w:u w:val="single"/>
        </w:rPr>
        <w:t>llocati</w:t>
      </w:r>
      <w:r w:rsidRPr="00D5145D">
        <w:rPr>
          <w:bCs w:val="0"/>
          <w:szCs w:val="22"/>
          <w:u w:val="single"/>
        </w:rPr>
        <w:t>ng</w:t>
      </w:r>
      <w:r w:rsidR="00A533DF" w:rsidRPr="00D5145D">
        <w:rPr>
          <w:bCs w:val="0"/>
          <w:szCs w:val="22"/>
          <w:u w:val="single"/>
        </w:rPr>
        <w:t xml:space="preserve"> between IMR and AVR</w:t>
      </w:r>
    </w:p>
    <w:p w14:paraId="60CBADCB" w14:textId="625C0AA1" w:rsidR="00B638CB" w:rsidRPr="00D5145D" w:rsidRDefault="00893424" w:rsidP="00B638CB">
      <w:pPr>
        <w:pStyle w:val="BodyText2"/>
        <w:ind w:left="720"/>
        <w:rPr>
          <w:b w:val="0"/>
          <w:szCs w:val="22"/>
        </w:rPr>
      </w:pPr>
      <w:r w:rsidRPr="00D5145D">
        <w:rPr>
          <w:b w:val="0"/>
          <w:szCs w:val="22"/>
        </w:rPr>
        <w:t>W</w:t>
      </w:r>
      <w:r w:rsidR="00B638CB" w:rsidRPr="00D5145D">
        <w:rPr>
          <w:b w:val="0"/>
          <w:szCs w:val="22"/>
        </w:rPr>
        <w:t xml:space="preserve">ith the recent focus of IMR admittance, NAIC staff has been contacted with questions to verify the allocation </w:t>
      </w:r>
      <w:r w:rsidR="0064182B" w:rsidRPr="00D5145D">
        <w:rPr>
          <w:b w:val="0"/>
          <w:szCs w:val="22"/>
        </w:rPr>
        <w:t>to</w:t>
      </w:r>
      <w:r w:rsidR="00B638CB" w:rsidRPr="00D5145D">
        <w:rPr>
          <w:b w:val="0"/>
          <w:szCs w:val="22"/>
        </w:rPr>
        <w:t xml:space="preserve"> IMR</w:t>
      </w:r>
      <w:r w:rsidR="002E702D" w:rsidRPr="00D5145D">
        <w:rPr>
          <w:b w:val="0"/>
          <w:szCs w:val="22"/>
        </w:rPr>
        <w:t xml:space="preserve"> because a company was successful in selling a bond prior to the official NAIC designation downgrade (regional bank failures) </w:t>
      </w:r>
      <w:r w:rsidR="0064182B" w:rsidRPr="00D5145D">
        <w:rPr>
          <w:b w:val="0"/>
          <w:szCs w:val="22"/>
        </w:rPr>
        <w:t xml:space="preserve">and when a mortgage loan with an established valuation allowance (as </w:t>
      </w:r>
      <w:r w:rsidR="00B33F92" w:rsidRPr="00D5145D">
        <w:rPr>
          <w:b w:val="0"/>
          <w:szCs w:val="22"/>
        </w:rPr>
        <w:t xml:space="preserve">the reporting entity does not expect to </w:t>
      </w:r>
      <w:r w:rsidR="00A36090" w:rsidRPr="00D5145D">
        <w:rPr>
          <w:b w:val="0"/>
          <w:szCs w:val="22"/>
        </w:rPr>
        <w:t>collect all amounts due according to the terms of the agreement</w:t>
      </w:r>
      <w:r w:rsidR="0064182B" w:rsidRPr="00D5145D">
        <w:rPr>
          <w:b w:val="0"/>
          <w:szCs w:val="22"/>
        </w:rPr>
        <w:t xml:space="preserve">) is sold before it is formally 90-days past due. </w:t>
      </w:r>
      <w:r w:rsidR="004646D6" w:rsidRPr="00D5145D">
        <w:rPr>
          <w:b w:val="0"/>
          <w:szCs w:val="22"/>
        </w:rPr>
        <w:t xml:space="preserve">These instances clearly reflect credit declines, but with the existing IMR instructions, </w:t>
      </w:r>
      <w:r w:rsidR="00B33F92" w:rsidRPr="00D5145D">
        <w:rPr>
          <w:b w:val="0"/>
          <w:szCs w:val="22"/>
        </w:rPr>
        <w:t xml:space="preserve">there is guidance that </w:t>
      </w:r>
      <w:r w:rsidR="00C9002D" w:rsidRPr="00D5145D">
        <w:rPr>
          <w:b w:val="0"/>
          <w:szCs w:val="22"/>
        </w:rPr>
        <w:t>direct</w:t>
      </w:r>
      <w:r w:rsidR="00B33F92" w:rsidRPr="00D5145D">
        <w:rPr>
          <w:b w:val="0"/>
          <w:szCs w:val="22"/>
        </w:rPr>
        <w:t xml:space="preserve"> these allocations to IMR instead of AVR. </w:t>
      </w:r>
    </w:p>
    <w:p w14:paraId="2ABFE80F" w14:textId="77777777" w:rsidR="006828FD" w:rsidRPr="00D5145D" w:rsidRDefault="006828FD" w:rsidP="00B638CB">
      <w:pPr>
        <w:pStyle w:val="BodyText2"/>
        <w:ind w:left="720"/>
        <w:rPr>
          <w:b w:val="0"/>
          <w:szCs w:val="22"/>
        </w:rPr>
      </w:pPr>
    </w:p>
    <w:p w14:paraId="049B216C" w14:textId="12219F0A" w:rsidR="006828FD" w:rsidRPr="00D5145D" w:rsidRDefault="00893424" w:rsidP="006828FD">
      <w:pPr>
        <w:pStyle w:val="BodyText2"/>
        <w:numPr>
          <w:ilvl w:val="0"/>
          <w:numId w:val="14"/>
        </w:numPr>
        <w:rPr>
          <w:bCs w:val="0"/>
          <w:szCs w:val="22"/>
          <w:u w:val="single"/>
        </w:rPr>
      </w:pPr>
      <w:r w:rsidRPr="00D5145D">
        <w:rPr>
          <w:bCs w:val="0"/>
          <w:szCs w:val="22"/>
          <w:u w:val="single"/>
        </w:rPr>
        <w:t>Bond IMR / AVR Allocation</w:t>
      </w:r>
    </w:p>
    <w:p w14:paraId="3C26CFBD" w14:textId="6D47910E" w:rsidR="00893424" w:rsidRPr="00D5145D" w:rsidRDefault="00532E28" w:rsidP="00893424">
      <w:pPr>
        <w:pStyle w:val="BodyText2"/>
        <w:ind w:left="720"/>
        <w:rPr>
          <w:b w:val="0"/>
          <w:szCs w:val="22"/>
        </w:rPr>
      </w:pPr>
      <w:r w:rsidRPr="00D5145D">
        <w:rPr>
          <w:b w:val="0"/>
          <w:szCs w:val="22"/>
        </w:rPr>
        <w:t xml:space="preserve">The current guidance in </w:t>
      </w:r>
      <w:r w:rsidRPr="00BA15FE">
        <w:rPr>
          <w:b w:val="0"/>
          <w:i/>
          <w:iCs/>
          <w:szCs w:val="22"/>
        </w:rPr>
        <w:t>SSAP No. 26R</w:t>
      </w:r>
      <w:r w:rsidR="00BA15FE" w:rsidRPr="00BA15FE">
        <w:rPr>
          <w:b w:val="0"/>
          <w:i/>
          <w:iCs/>
          <w:szCs w:val="22"/>
        </w:rPr>
        <w:t>—Bonds</w:t>
      </w:r>
      <w:r w:rsidRPr="00D5145D">
        <w:rPr>
          <w:b w:val="0"/>
          <w:szCs w:val="22"/>
        </w:rPr>
        <w:t xml:space="preserve"> allocates all gains or losses to the IMR or the AVR</w:t>
      </w:r>
      <w:r w:rsidR="006D41DD" w:rsidRPr="00D5145D">
        <w:rPr>
          <w:b w:val="0"/>
          <w:szCs w:val="22"/>
        </w:rPr>
        <w:t xml:space="preserve"> based on whether there has been </w:t>
      </w:r>
      <w:r w:rsidR="00C9002D" w:rsidRPr="00D5145D">
        <w:rPr>
          <w:b w:val="0"/>
          <w:szCs w:val="22"/>
        </w:rPr>
        <w:t>more</w:t>
      </w:r>
      <w:r w:rsidR="006D41DD" w:rsidRPr="00D5145D">
        <w:rPr>
          <w:b w:val="0"/>
          <w:szCs w:val="22"/>
        </w:rPr>
        <w:t xml:space="preserve"> than </w:t>
      </w:r>
      <w:r w:rsidR="00D05A33" w:rsidRPr="00D5145D">
        <w:rPr>
          <w:b w:val="0"/>
          <w:szCs w:val="22"/>
        </w:rPr>
        <w:t>one</w:t>
      </w:r>
      <w:r w:rsidR="006D41DD" w:rsidRPr="00D5145D">
        <w:rPr>
          <w:b w:val="0"/>
          <w:szCs w:val="22"/>
        </w:rPr>
        <w:t xml:space="preserve"> NAIC designation change</w:t>
      </w:r>
      <w:r w:rsidRPr="00D5145D">
        <w:rPr>
          <w:b w:val="0"/>
          <w:szCs w:val="22"/>
        </w:rPr>
        <w:t xml:space="preserve">. This is different from </w:t>
      </w:r>
      <w:r w:rsidRPr="00C7588F">
        <w:rPr>
          <w:b w:val="0"/>
          <w:i/>
          <w:iCs/>
          <w:szCs w:val="22"/>
        </w:rPr>
        <w:t>SSAP No. 43R</w:t>
      </w:r>
      <w:r w:rsidR="007D042F" w:rsidRPr="00C7588F">
        <w:rPr>
          <w:b w:val="0"/>
          <w:i/>
          <w:iCs/>
          <w:szCs w:val="22"/>
        </w:rPr>
        <w:t>—Loan-Backed and Structured Securities</w:t>
      </w:r>
      <w:r w:rsidRPr="00D5145D">
        <w:rPr>
          <w:b w:val="0"/>
          <w:szCs w:val="22"/>
        </w:rPr>
        <w:t xml:space="preserve"> in which all </w:t>
      </w:r>
      <w:r w:rsidR="00624528" w:rsidRPr="00D5145D">
        <w:rPr>
          <w:b w:val="0"/>
          <w:szCs w:val="22"/>
        </w:rPr>
        <w:t>actions that result in realized gains / losses (</w:t>
      </w:r>
      <w:r w:rsidRPr="00D5145D">
        <w:rPr>
          <w:b w:val="0"/>
          <w:szCs w:val="22"/>
        </w:rPr>
        <w:t>sales / OTTI</w:t>
      </w:r>
      <w:r w:rsidR="00624528" w:rsidRPr="00D5145D">
        <w:rPr>
          <w:b w:val="0"/>
          <w:szCs w:val="22"/>
        </w:rPr>
        <w:t>)</w:t>
      </w:r>
      <w:r w:rsidRPr="00D5145D">
        <w:rPr>
          <w:b w:val="0"/>
          <w:szCs w:val="22"/>
        </w:rPr>
        <w:t xml:space="preserve"> are </w:t>
      </w:r>
      <w:r w:rsidR="00761255" w:rsidRPr="00D5145D">
        <w:rPr>
          <w:b w:val="0"/>
          <w:szCs w:val="22"/>
        </w:rPr>
        <w:t>reviewed and bifurcated</w:t>
      </w:r>
      <w:r w:rsidR="00E458B0">
        <w:rPr>
          <w:b w:val="0"/>
          <w:szCs w:val="22"/>
        </w:rPr>
        <w:t xml:space="preserve"> and/or</w:t>
      </w:r>
      <w:r w:rsidR="00761255" w:rsidRPr="00D5145D">
        <w:rPr>
          <w:b w:val="0"/>
          <w:szCs w:val="22"/>
        </w:rPr>
        <w:t xml:space="preserve"> </w:t>
      </w:r>
      <w:r w:rsidRPr="00D5145D">
        <w:rPr>
          <w:b w:val="0"/>
          <w:szCs w:val="22"/>
        </w:rPr>
        <w:t>divided between IMR and AVR</w:t>
      </w:r>
      <w:r w:rsidR="00761255" w:rsidRPr="00D5145D">
        <w:rPr>
          <w:b w:val="0"/>
          <w:szCs w:val="22"/>
        </w:rPr>
        <w:t>.</w:t>
      </w:r>
      <w:r w:rsidR="00C9002D" w:rsidRPr="00D5145D">
        <w:rPr>
          <w:b w:val="0"/>
          <w:szCs w:val="22"/>
        </w:rPr>
        <w:t xml:space="preserve"> </w:t>
      </w:r>
      <w:r w:rsidR="00624528" w:rsidRPr="00D5145D">
        <w:rPr>
          <w:b w:val="0"/>
          <w:szCs w:val="22"/>
        </w:rPr>
        <w:t xml:space="preserve">Furthermore, </w:t>
      </w:r>
      <w:r w:rsidR="00C313BD" w:rsidRPr="00D5145D">
        <w:rPr>
          <w:b w:val="0"/>
          <w:szCs w:val="22"/>
        </w:rPr>
        <w:t>with the guidance to expand to 20 NAIC designation</w:t>
      </w:r>
      <w:r w:rsidR="00E458B0">
        <w:rPr>
          <w:b w:val="0"/>
          <w:szCs w:val="22"/>
        </w:rPr>
        <w:t>s</w:t>
      </w:r>
      <w:r w:rsidR="00C313BD" w:rsidRPr="00D5145D">
        <w:rPr>
          <w:b w:val="0"/>
          <w:szCs w:val="22"/>
        </w:rPr>
        <w:t>, the current A/S instructions are not clear as to what constitutes a designation change. Under current interpretation, a security cou</w:t>
      </w:r>
      <w:r w:rsidR="00E14E2D" w:rsidRPr="00D5145D">
        <w:rPr>
          <w:b w:val="0"/>
          <w:szCs w:val="22"/>
        </w:rPr>
        <w:t xml:space="preserve">ld </w:t>
      </w:r>
      <w:r w:rsidR="00654185" w:rsidRPr="00D5145D">
        <w:rPr>
          <w:b w:val="0"/>
          <w:szCs w:val="22"/>
        </w:rPr>
        <w:t>move</w:t>
      </w:r>
      <w:r w:rsidR="00E14E2D" w:rsidRPr="00D5145D">
        <w:rPr>
          <w:b w:val="0"/>
          <w:szCs w:val="22"/>
        </w:rPr>
        <w:t xml:space="preserve"> through many levels </w:t>
      </w:r>
      <w:r w:rsidR="00484BD5" w:rsidRPr="00D5145D">
        <w:rPr>
          <w:b w:val="0"/>
          <w:szCs w:val="22"/>
        </w:rPr>
        <w:t xml:space="preserve">from changes in the designation modifiers, </w:t>
      </w:r>
      <w:r w:rsidR="00654185" w:rsidRPr="00D5145D">
        <w:rPr>
          <w:b w:val="0"/>
          <w:szCs w:val="22"/>
        </w:rPr>
        <w:t xml:space="preserve">which reflect credit changes, </w:t>
      </w:r>
      <w:r w:rsidR="00503CDA" w:rsidRPr="00D5145D">
        <w:rPr>
          <w:b w:val="0"/>
          <w:szCs w:val="22"/>
        </w:rPr>
        <w:t>but</w:t>
      </w:r>
      <w:r w:rsidR="00484BD5" w:rsidRPr="00D5145D">
        <w:rPr>
          <w:b w:val="0"/>
          <w:szCs w:val="22"/>
        </w:rPr>
        <w:t xml:space="preserve"> not be considered to have moved beyond more than 1 designation. </w:t>
      </w:r>
      <w:r w:rsidR="0041029C" w:rsidRPr="00D5145D">
        <w:rPr>
          <w:b w:val="0"/>
          <w:szCs w:val="22"/>
        </w:rPr>
        <w:t>The non-bifurcation approach that current</w:t>
      </w:r>
      <w:r w:rsidR="00E458B0">
        <w:rPr>
          <w:b w:val="0"/>
          <w:szCs w:val="22"/>
        </w:rPr>
        <w:t>ly</w:t>
      </w:r>
      <w:r w:rsidR="0041029C" w:rsidRPr="00D5145D">
        <w:rPr>
          <w:b w:val="0"/>
          <w:szCs w:val="22"/>
        </w:rPr>
        <w:t xml:space="preserve"> exists for bonds, as well as the </w:t>
      </w:r>
      <w:r w:rsidR="009D47A8" w:rsidRPr="00D5145D">
        <w:rPr>
          <w:b w:val="0"/>
          <w:szCs w:val="22"/>
        </w:rPr>
        <w:t>potential for m</w:t>
      </w:r>
      <w:r w:rsidR="00654185" w:rsidRPr="00D5145D">
        <w:rPr>
          <w:b w:val="0"/>
          <w:szCs w:val="22"/>
        </w:rPr>
        <w:t>any credit-quality changes</w:t>
      </w:r>
      <w:r w:rsidR="009D47A8" w:rsidRPr="00D5145D">
        <w:rPr>
          <w:b w:val="0"/>
          <w:szCs w:val="22"/>
        </w:rPr>
        <w:t xml:space="preserve"> within </w:t>
      </w:r>
      <w:r w:rsidR="008348E9" w:rsidRPr="00D5145D">
        <w:rPr>
          <w:b w:val="0"/>
          <w:szCs w:val="22"/>
        </w:rPr>
        <w:t>a</w:t>
      </w:r>
      <w:r w:rsidR="009D47A8" w:rsidRPr="00D5145D">
        <w:rPr>
          <w:b w:val="0"/>
          <w:szCs w:val="22"/>
        </w:rPr>
        <w:t xml:space="preserve"> designation level, may result with credit-related losses being captured in IMR. </w:t>
      </w:r>
      <w:r w:rsidR="008348E9" w:rsidRPr="00D5145D">
        <w:rPr>
          <w:b w:val="0"/>
          <w:szCs w:val="22"/>
        </w:rPr>
        <w:t xml:space="preserve">(The IMR/AVR instructions also continue to reference bond mutual funds, but that classification has been eliminated from statutory accounting.) </w:t>
      </w:r>
    </w:p>
    <w:p w14:paraId="05E80D4E" w14:textId="77777777" w:rsidR="00ED4D4F" w:rsidRPr="00D5145D" w:rsidRDefault="00ED4D4F" w:rsidP="00893424">
      <w:pPr>
        <w:pStyle w:val="BodyText2"/>
        <w:ind w:left="720"/>
        <w:rPr>
          <w:b w:val="0"/>
          <w:szCs w:val="22"/>
        </w:rPr>
      </w:pPr>
    </w:p>
    <w:p w14:paraId="543F5120" w14:textId="517F0FB0" w:rsidR="00ED4D4F" w:rsidRPr="00D5145D" w:rsidRDefault="00A127AF" w:rsidP="00ED4D4F">
      <w:pPr>
        <w:pStyle w:val="BodyText2"/>
        <w:numPr>
          <w:ilvl w:val="0"/>
          <w:numId w:val="14"/>
        </w:numPr>
        <w:rPr>
          <w:bCs w:val="0"/>
          <w:szCs w:val="22"/>
          <w:u w:val="single"/>
        </w:rPr>
      </w:pPr>
      <w:r w:rsidRPr="00D5145D">
        <w:rPr>
          <w:bCs w:val="0"/>
          <w:szCs w:val="22"/>
          <w:u w:val="single"/>
        </w:rPr>
        <w:t>Allocation of Perpetual Preferred Stock</w:t>
      </w:r>
    </w:p>
    <w:p w14:paraId="1C181158" w14:textId="56A20488" w:rsidR="00ED4D4F" w:rsidRPr="00D5145D" w:rsidRDefault="00A127AF" w:rsidP="00ED4D4F">
      <w:pPr>
        <w:pStyle w:val="BodyText2"/>
        <w:ind w:left="720"/>
        <w:rPr>
          <w:b w:val="0"/>
          <w:szCs w:val="22"/>
        </w:rPr>
      </w:pPr>
      <w:r w:rsidRPr="00D5145D">
        <w:rPr>
          <w:b w:val="0"/>
          <w:szCs w:val="22"/>
        </w:rPr>
        <w:t xml:space="preserve">The </w:t>
      </w:r>
      <w:r w:rsidR="002164C1" w:rsidRPr="00D5145D">
        <w:rPr>
          <w:b w:val="0"/>
          <w:szCs w:val="22"/>
        </w:rPr>
        <w:t xml:space="preserve">IMR/AVR </w:t>
      </w:r>
      <w:r w:rsidRPr="00D5145D">
        <w:rPr>
          <w:b w:val="0"/>
          <w:szCs w:val="22"/>
        </w:rPr>
        <w:t xml:space="preserve">guidance for perpetual preferred stock </w:t>
      </w:r>
      <w:r w:rsidR="002164C1" w:rsidRPr="00D5145D">
        <w:rPr>
          <w:b w:val="0"/>
          <w:szCs w:val="22"/>
        </w:rPr>
        <w:t xml:space="preserve">has not been reviewed since the adoption of guidance that prescribes fair value for perpetual preferred stock. </w:t>
      </w:r>
      <w:r w:rsidR="00257A99" w:rsidRPr="00D5145D">
        <w:rPr>
          <w:b w:val="0"/>
          <w:szCs w:val="22"/>
        </w:rPr>
        <w:t xml:space="preserve">The guidance </w:t>
      </w:r>
      <w:r w:rsidR="00A87022" w:rsidRPr="00D5145D">
        <w:rPr>
          <w:b w:val="0"/>
          <w:szCs w:val="22"/>
        </w:rPr>
        <w:t>is still allocated</w:t>
      </w:r>
      <w:r w:rsidR="00257A99" w:rsidRPr="00D5145D">
        <w:rPr>
          <w:b w:val="0"/>
          <w:szCs w:val="22"/>
        </w:rPr>
        <w:t xml:space="preserve"> </w:t>
      </w:r>
      <w:r w:rsidR="00B566F0" w:rsidRPr="00D5145D">
        <w:rPr>
          <w:b w:val="0"/>
          <w:szCs w:val="22"/>
        </w:rPr>
        <w:t>entirely based on the NAIC designation. For preferred stock, a designation of 4-6, at any time during the holding period</w:t>
      </w:r>
      <w:r w:rsidR="00A87022" w:rsidRPr="00D5145D">
        <w:rPr>
          <w:b w:val="0"/>
          <w:szCs w:val="22"/>
        </w:rPr>
        <w:t xml:space="preserve"> for both redeemable and perpetual</w:t>
      </w:r>
      <w:r w:rsidR="00B566F0" w:rsidRPr="00D5145D">
        <w:rPr>
          <w:b w:val="0"/>
          <w:szCs w:val="22"/>
        </w:rPr>
        <w:t xml:space="preserve">, results in an allocation to AVR. </w:t>
      </w:r>
    </w:p>
    <w:p w14:paraId="676EC784" w14:textId="77777777" w:rsidR="00886499" w:rsidRPr="00D5145D" w:rsidRDefault="00886499" w:rsidP="00ED4D4F">
      <w:pPr>
        <w:pStyle w:val="BodyText2"/>
        <w:ind w:left="720"/>
        <w:rPr>
          <w:b w:val="0"/>
          <w:szCs w:val="22"/>
        </w:rPr>
      </w:pPr>
    </w:p>
    <w:p w14:paraId="0030F87F" w14:textId="21588EE3" w:rsidR="0020428F" w:rsidRPr="00D5145D" w:rsidRDefault="00121458" w:rsidP="00886499">
      <w:pPr>
        <w:pStyle w:val="BodyText2"/>
        <w:numPr>
          <w:ilvl w:val="0"/>
          <w:numId w:val="14"/>
        </w:numPr>
        <w:rPr>
          <w:bCs w:val="0"/>
          <w:szCs w:val="22"/>
          <w:u w:val="single"/>
        </w:rPr>
      </w:pPr>
      <w:r w:rsidRPr="00D5145D">
        <w:rPr>
          <w:bCs w:val="0"/>
          <w:szCs w:val="22"/>
          <w:u w:val="single"/>
        </w:rPr>
        <w:t>Delineation of Non-Interest (Credit) / Interest and Realized / Unrealized</w:t>
      </w:r>
    </w:p>
    <w:p w14:paraId="53551279" w14:textId="6ECD49BD" w:rsidR="00121458" w:rsidRPr="00D5145D" w:rsidRDefault="003E2E5D" w:rsidP="00121458">
      <w:pPr>
        <w:pStyle w:val="BodyText2"/>
        <w:ind w:left="720"/>
        <w:rPr>
          <w:b w:val="0"/>
          <w:szCs w:val="22"/>
        </w:rPr>
      </w:pPr>
      <w:r w:rsidRPr="00D5145D">
        <w:rPr>
          <w:b w:val="0"/>
          <w:szCs w:val="22"/>
        </w:rPr>
        <w:t>The IMR/AVR guidance is predicated on a division between interest and non-interest changes</w:t>
      </w:r>
      <w:r w:rsidR="00D96A59" w:rsidRPr="00D5145D">
        <w:rPr>
          <w:b w:val="0"/>
          <w:szCs w:val="22"/>
        </w:rPr>
        <w:t xml:space="preserve">, as well as the reporting of unrealized and realized changes. For the long-term project, </w:t>
      </w:r>
      <w:r w:rsidR="008F0B06" w:rsidRPr="00D5145D">
        <w:rPr>
          <w:b w:val="0"/>
          <w:szCs w:val="22"/>
        </w:rPr>
        <w:t>it is proposed that principle-based concepts be established to assist with the allocation between IMR/AVR based on these fundamental concepts to ensure consistency and verification of allocation</w:t>
      </w:r>
      <w:r w:rsidR="00716222" w:rsidRPr="00D5145D">
        <w:rPr>
          <w:b w:val="0"/>
          <w:szCs w:val="22"/>
        </w:rPr>
        <w:t xml:space="preserve"> across reporting entities. </w:t>
      </w:r>
    </w:p>
    <w:p w14:paraId="21559CB6" w14:textId="77777777" w:rsidR="003E2E5D" w:rsidRPr="00D5145D" w:rsidRDefault="003E2E5D" w:rsidP="00121458">
      <w:pPr>
        <w:pStyle w:val="BodyText2"/>
        <w:ind w:left="720"/>
        <w:rPr>
          <w:b w:val="0"/>
          <w:szCs w:val="22"/>
        </w:rPr>
      </w:pPr>
    </w:p>
    <w:p w14:paraId="3B10FC60" w14:textId="016E5148" w:rsidR="00886499" w:rsidRPr="00D5145D" w:rsidRDefault="00886499" w:rsidP="00886499">
      <w:pPr>
        <w:pStyle w:val="BodyText2"/>
        <w:numPr>
          <w:ilvl w:val="0"/>
          <w:numId w:val="14"/>
        </w:numPr>
        <w:rPr>
          <w:bCs w:val="0"/>
          <w:szCs w:val="22"/>
          <w:u w:val="single"/>
        </w:rPr>
      </w:pPr>
      <w:r w:rsidRPr="00D5145D">
        <w:rPr>
          <w:bCs w:val="0"/>
          <w:szCs w:val="22"/>
          <w:u w:val="single"/>
        </w:rPr>
        <w:t>Derivative Guidance</w:t>
      </w:r>
    </w:p>
    <w:p w14:paraId="15AEB95B" w14:textId="0835AF02" w:rsidR="00886499" w:rsidRPr="00D5145D" w:rsidRDefault="00886499" w:rsidP="00886499">
      <w:pPr>
        <w:pStyle w:val="BodyText2"/>
        <w:ind w:left="720"/>
        <w:rPr>
          <w:b w:val="0"/>
          <w:szCs w:val="22"/>
        </w:rPr>
      </w:pPr>
      <w:r w:rsidRPr="00D5145D">
        <w:rPr>
          <w:b w:val="0"/>
          <w:szCs w:val="22"/>
        </w:rPr>
        <w:t xml:space="preserve">There is ambiguity </w:t>
      </w:r>
      <w:r w:rsidR="0037483C" w:rsidRPr="00D5145D">
        <w:rPr>
          <w:b w:val="0"/>
          <w:szCs w:val="22"/>
        </w:rPr>
        <w:t xml:space="preserve">on intended guidance detailed in the A/S instructions </w:t>
      </w:r>
      <w:r w:rsidR="00892B43" w:rsidRPr="00D5145D">
        <w:rPr>
          <w:b w:val="0"/>
          <w:szCs w:val="22"/>
        </w:rPr>
        <w:t xml:space="preserve">and the guidance in </w:t>
      </w:r>
      <w:r w:rsidR="00892B43" w:rsidRPr="00D5145D">
        <w:rPr>
          <w:b w:val="0"/>
          <w:i/>
          <w:iCs/>
          <w:szCs w:val="22"/>
        </w:rPr>
        <w:t>SSAP No. 86—Derivatives</w:t>
      </w:r>
      <w:r w:rsidR="00892B43" w:rsidRPr="00D5145D">
        <w:rPr>
          <w:b w:val="0"/>
          <w:szCs w:val="22"/>
        </w:rPr>
        <w:t xml:space="preserve"> for the allocation of derivatives held at fair value that are deemed to be hedging interest rate risk. (These derivatives do not qualify as effective derivatives under SSAP No. 86.) </w:t>
      </w:r>
    </w:p>
    <w:p w14:paraId="1E45D059" w14:textId="77777777" w:rsidR="00CE6FB3" w:rsidRPr="00D5145D" w:rsidRDefault="00CE6FB3" w:rsidP="00886499">
      <w:pPr>
        <w:pStyle w:val="BodyText2"/>
        <w:ind w:left="720"/>
        <w:rPr>
          <w:b w:val="0"/>
          <w:szCs w:val="22"/>
        </w:rPr>
      </w:pPr>
    </w:p>
    <w:p w14:paraId="1E606917" w14:textId="5E1A9E46" w:rsidR="00CE6FB3" w:rsidRPr="00D5145D" w:rsidRDefault="003137D2" w:rsidP="00CE6FB3">
      <w:pPr>
        <w:pStyle w:val="BodyText2"/>
        <w:numPr>
          <w:ilvl w:val="0"/>
          <w:numId w:val="14"/>
        </w:numPr>
        <w:rPr>
          <w:bCs w:val="0"/>
          <w:szCs w:val="22"/>
          <w:u w:val="single"/>
        </w:rPr>
      </w:pPr>
      <w:r w:rsidRPr="00D5145D">
        <w:rPr>
          <w:bCs w:val="0"/>
          <w:szCs w:val="22"/>
          <w:u w:val="single"/>
        </w:rPr>
        <w:t>Reinsurance Ceded</w:t>
      </w:r>
      <w:r w:rsidR="00C44D05" w:rsidRPr="00D5145D">
        <w:rPr>
          <w:bCs w:val="0"/>
          <w:szCs w:val="22"/>
          <w:u w:val="single"/>
        </w:rPr>
        <w:t xml:space="preserve"> / Assumed</w:t>
      </w:r>
    </w:p>
    <w:p w14:paraId="73AC5698" w14:textId="31A22C74" w:rsidR="00CE6FB3" w:rsidRPr="00D5145D" w:rsidRDefault="00064BC7" w:rsidP="00CE6FB3">
      <w:pPr>
        <w:pStyle w:val="BodyText2"/>
        <w:ind w:left="720"/>
        <w:rPr>
          <w:b w:val="0"/>
          <w:szCs w:val="22"/>
        </w:rPr>
      </w:pPr>
      <w:r w:rsidRPr="00D5145D">
        <w:rPr>
          <w:b w:val="0"/>
          <w:szCs w:val="22"/>
        </w:rPr>
        <w:t xml:space="preserve">Although the A/S instructions include guidance for </w:t>
      </w:r>
      <w:r w:rsidR="00D8700D" w:rsidRPr="00D5145D">
        <w:rPr>
          <w:b w:val="0"/>
          <w:szCs w:val="22"/>
        </w:rPr>
        <w:t xml:space="preserve">removal of IMR for reinsurance ceded, and the acquisition of IMR for reinsurance assumed, the impact of reinsurance – particularly with the dissolution of reinsurance </w:t>
      </w:r>
      <w:r w:rsidR="002744C4" w:rsidRPr="00D5145D">
        <w:rPr>
          <w:b w:val="0"/>
          <w:szCs w:val="22"/>
        </w:rPr>
        <w:t>agreements when IMR had initially been transferred –</w:t>
      </w:r>
      <w:r w:rsidR="00D8700D" w:rsidRPr="00D5145D">
        <w:rPr>
          <w:b w:val="0"/>
          <w:szCs w:val="22"/>
        </w:rPr>
        <w:t xml:space="preserve"> </w:t>
      </w:r>
      <w:r w:rsidR="002744C4" w:rsidRPr="00D5145D">
        <w:rPr>
          <w:b w:val="0"/>
          <w:szCs w:val="22"/>
        </w:rPr>
        <w:t xml:space="preserve">is a common question on determining IMR and AVR for reporting entities. </w:t>
      </w:r>
    </w:p>
    <w:p w14:paraId="0A01836B" w14:textId="77777777" w:rsidR="00696C35" w:rsidRPr="00D5145D" w:rsidRDefault="00696C35" w:rsidP="00CE6FB3">
      <w:pPr>
        <w:pStyle w:val="BodyText2"/>
        <w:ind w:left="720"/>
        <w:rPr>
          <w:b w:val="0"/>
          <w:szCs w:val="22"/>
        </w:rPr>
      </w:pPr>
    </w:p>
    <w:p w14:paraId="263ECDB4" w14:textId="54F6B4DB" w:rsidR="004E4B26" w:rsidRPr="00D5145D" w:rsidRDefault="004E4B26" w:rsidP="004E4B26">
      <w:pPr>
        <w:pStyle w:val="BodyText2"/>
        <w:numPr>
          <w:ilvl w:val="0"/>
          <w:numId w:val="14"/>
        </w:numPr>
        <w:rPr>
          <w:bCs w:val="0"/>
          <w:szCs w:val="22"/>
          <w:u w:val="single"/>
        </w:rPr>
      </w:pPr>
      <w:r w:rsidRPr="00D5145D">
        <w:rPr>
          <w:bCs w:val="0"/>
          <w:szCs w:val="22"/>
          <w:u w:val="single"/>
        </w:rPr>
        <w:t>AVR / IMR Cross Checks</w:t>
      </w:r>
    </w:p>
    <w:p w14:paraId="39D5A59D" w14:textId="69132D55" w:rsidR="00ED4D4F" w:rsidRPr="00D5145D" w:rsidRDefault="004E4B26" w:rsidP="00893424">
      <w:pPr>
        <w:pStyle w:val="BodyText2"/>
        <w:ind w:left="720"/>
        <w:rPr>
          <w:b w:val="0"/>
          <w:szCs w:val="22"/>
        </w:rPr>
      </w:pPr>
      <w:r w:rsidRPr="00D5145D">
        <w:rPr>
          <w:b w:val="0"/>
          <w:szCs w:val="22"/>
        </w:rPr>
        <w:t xml:space="preserve">The AVR </w:t>
      </w:r>
      <w:r w:rsidR="00D15189" w:rsidRPr="00D5145D">
        <w:rPr>
          <w:b w:val="0"/>
          <w:szCs w:val="22"/>
        </w:rPr>
        <w:t xml:space="preserve">is often used as the direct pull to the RBC instructions for life companies. It has been identified that there are no crosschecks </w:t>
      </w:r>
      <w:r w:rsidR="00F12A57" w:rsidRPr="00D5145D">
        <w:rPr>
          <w:b w:val="0"/>
          <w:szCs w:val="22"/>
        </w:rPr>
        <w:t xml:space="preserve">to ensure that items are being mapped to the AVR correctly from other schedules. For example, </w:t>
      </w:r>
      <w:r w:rsidR="00F537D0" w:rsidRPr="00D5145D">
        <w:rPr>
          <w:b w:val="0"/>
          <w:szCs w:val="22"/>
        </w:rPr>
        <w:t xml:space="preserve">residuals reported on Schedule BA should map to the residual reporting lines in the AVR. However, it was identified that there were variations between Schedule BA and the AVR for the residual lines. </w:t>
      </w:r>
      <w:r w:rsidR="00881A83" w:rsidRPr="00D5145D">
        <w:rPr>
          <w:b w:val="0"/>
          <w:szCs w:val="22"/>
        </w:rPr>
        <w:t xml:space="preserve">As the AVR reporting is pulled for RBC, it is important for the reporting in the AVR to correctly reflect what is in the schedules to ensure that the appropriate charges are applied. </w:t>
      </w:r>
      <w:r w:rsidR="00980AB6" w:rsidRPr="00D5145D">
        <w:rPr>
          <w:b w:val="0"/>
          <w:szCs w:val="22"/>
        </w:rPr>
        <w:t xml:space="preserve">Cross checks are expected to ensure the reporting flows through the schedules as intended. </w:t>
      </w:r>
    </w:p>
    <w:p w14:paraId="0B0E79A9" w14:textId="77777777" w:rsidR="00B0468C" w:rsidRPr="00D5145D" w:rsidRDefault="00B0468C" w:rsidP="00893424">
      <w:pPr>
        <w:pStyle w:val="BodyText2"/>
        <w:ind w:left="720"/>
        <w:rPr>
          <w:b w:val="0"/>
          <w:szCs w:val="22"/>
        </w:rPr>
      </w:pPr>
    </w:p>
    <w:p w14:paraId="7B3B5820" w14:textId="3D5EAD48" w:rsidR="00B0468C" w:rsidRPr="00D5145D" w:rsidRDefault="00B0468C" w:rsidP="00B0468C">
      <w:pPr>
        <w:pStyle w:val="BodyText2"/>
        <w:numPr>
          <w:ilvl w:val="0"/>
          <w:numId w:val="14"/>
        </w:numPr>
        <w:rPr>
          <w:bCs w:val="0"/>
          <w:szCs w:val="22"/>
          <w:u w:val="single"/>
        </w:rPr>
      </w:pPr>
      <w:r w:rsidRPr="00D5145D">
        <w:rPr>
          <w:bCs w:val="0"/>
          <w:szCs w:val="22"/>
          <w:u w:val="single"/>
        </w:rPr>
        <w:t>Overall IMR and AVR Reporting in the General and Separate Accounts</w:t>
      </w:r>
    </w:p>
    <w:p w14:paraId="424CC848" w14:textId="78440436" w:rsidR="00B0468C" w:rsidRPr="00D5145D" w:rsidRDefault="00B0468C" w:rsidP="00B0468C">
      <w:pPr>
        <w:pStyle w:val="BodyText2"/>
        <w:ind w:left="720"/>
        <w:rPr>
          <w:b w:val="0"/>
          <w:szCs w:val="22"/>
        </w:rPr>
      </w:pPr>
      <w:r w:rsidRPr="00D5145D">
        <w:rPr>
          <w:b w:val="0"/>
          <w:szCs w:val="22"/>
        </w:rPr>
        <w:t xml:space="preserve">The reporting of IMR and AVR, including how positive balances in one account impacts negative balances in another account, as well as the treatment of net negative IMR, are expected as a long-term </w:t>
      </w:r>
      <w:r w:rsidR="00CF732E" w:rsidRPr="00D5145D">
        <w:rPr>
          <w:b w:val="0"/>
          <w:szCs w:val="22"/>
        </w:rPr>
        <w:t>focus</w:t>
      </w:r>
      <w:r w:rsidRPr="00D5145D">
        <w:rPr>
          <w:b w:val="0"/>
          <w:szCs w:val="22"/>
        </w:rPr>
        <w:t xml:space="preserve">. </w:t>
      </w:r>
      <w:r w:rsidR="008D6264">
        <w:rPr>
          <w:b w:val="0"/>
          <w:szCs w:val="22"/>
        </w:rPr>
        <w:t>It is anticipated that the complete guidance for both general accounts and separate accounts</w:t>
      </w:r>
      <w:r w:rsidR="00FE5D9F">
        <w:rPr>
          <w:b w:val="0"/>
          <w:szCs w:val="22"/>
        </w:rPr>
        <w:t>, once established,</w:t>
      </w:r>
      <w:r w:rsidR="008D6264">
        <w:rPr>
          <w:b w:val="0"/>
          <w:szCs w:val="22"/>
        </w:rPr>
        <w:t xml:space="preserve"> will be captured in SSAP No. 7, with a reference from </w:t>
      </w:r>
      <w:r w:rsidR="008D6264" w:rsidRPr="008D6264">
        <w:rPr>
          <w:b w:val="0"/>
          <w:i/>
          <w:iCs/>
          <w:szCs w:val="22"/>
        </w:rPr>
        <w:t>SSAP No. 56—Separate Accounts</w:t>
      </w:r>
      <w:r w:rsidR="008D6264">
        <w:rPr>
          <w:b w:val="0"/>
          <w:szCs w:val="22"/>
        </w:rPr>
        <w:t xml:space="preserve"> to SSAP No. 7. </w:t>
      </w:r>
    </w:p>
    <w:p w14:paraId="6F8BB833" w14:textId="77777777" w:rsidR="00D67D5E" w:rsidRDefault="00D67D5E" w:rsidP="00C71C2C">
      <w:pPr>
        <w:pStyle w:val="BodyText2"/>
        <w:rPr>
          <w:szCs w:val="22"/>
        </w:rPr>
      </w:pPr>
    </w:p>
    <w:p w14:paraId="53229BB2" w14:textId="1C046462" w:rsidR="002A1316" w:rsidRDefault="002A1316" w:rsidP="00C71C2C">
      <w:pPr>
        <w:pStyle w:val="BodyText2"/>
        <w:rPr>
          <w:b w:val="0"/>
          <w:bCs w:val="0"/>
          <w:szCs w:val="22"/>
        </w:rPr>
      </w:pPr>
      <w:r w:rsidRPr="00D5145D">
        <w:rPr>
          <w:szCs w:val="22"/>
        </w:rPr>
        <w:t>Staff Review Completed by:</w:t>
      </w:r>
      <w:r w:rsidR="00CA4E49" w:rsidRPr="00D5145D">
        <w:rPr>
          <w:szCs w:val="22"/>
        </w:rPr>
        <w:t xml:space="preserve"> </w:t>
      </w:r>
      <w:r w:rsidR="00DC1DBB" w:rsidRPr="00D5145D">
        <w:rPr>
          <w:b w:val="0"/>
          <w:bCs w:val="0"/>
          <w:szCs w:val="22"/>
        </w:rPr>
        <w:t>Julie Gann</w:t>
      </w:r>
      <w:r w:rsidR="001B1F96" w:rsidRPr="00D5145D">
        <w:rPr>
          <w:b w:val="0"/>
          <w:bCs w:val="0"/>
          <w:szCs w:val="22"/>
        </w:rPr>
        <w:t xml:space="preserve"> - </w:t>
      </w:r>
      <w:r w:rsidR="00FE7FAA" w:rsidRPr="00D5145D">
        <w:rPr>
          <w:b w:val="0"/>
          <w:bCs w:val="0"/>
          <w:szCs w:val="22"/>
        </w:rPr>
        <w:t xml:space="preserve">NAIC </w:t>
      </w:r>
      <w:r w:rsidR="006B37DD" w:rsidRPr="00D5145D">
        <w:rPr>
          <w:b w:val="0"/>
          <w:bCs w:val="0"/>
          <w:szCs w:val="22"/>
        </w:rPr>
        <w:t>S</w:t>
      </w:r>
      <w:r w:rsidR="00FE7FAA" w:rsidRPr="00D5145D">
        <w:rPr>
          <w:b w:val="0"/>
          <w:bCs w:val="0"/>
          <w:szCs w:val="22"/>
        </w:rPr>
        <w:t>taff</w:t>
      </w:r>
      <w:r w:rsidR="001B1F96" w:rsidRPr="00D5145D">
        <w:rPr>
          <w:b w:val="0"/>
          <w:bCs w:val="0"/>
          <w:szCs w:val="22"/>
        </w:rPr>
        <w:t xml:space="preserve">, </w:t>
      </w:r>
      <w:r w:rsidR="00980AB6" w:rsidRPr="00D5145D">
        <w:rPr>
          <w:b w:val="0"/>
          <w:bCs w:val="0"/>
          <w:szCs w:val="22"/>
        </w:rPr>
        <w:t>July 2023</w:t>
      </w:r>
    </w:p>
    <w:p w14:paraId="5E94D772" w14:textId="77777777" w:rsidR="00D04B57" w:rsidRDefault="00D04B57" w:rsidP="00C71C2C">
      <w:pPr>
        <w:pStyle w:val="BodyText2"/>
        <w:rPr>
          <w:b w:val="0"/>
          <w:bCs w:val="0"/>
          <w:szCs w:val="22"/>
        </w:rPr>
      </w:pPr>
    </w:p>
    <w:p w14:paraId="7483F73B" w14:textId="137AE124" w:rsidR="00D04B57" w:rsidRPr="005A2114" w:rsidRDefault="00D04B57" w:rsidP="00C71C2C">
      <w:pPr>
        <w:pStyle w:val="BodyText2"/>
        <w:rPr>
          <w:szCs w:val="22"/>
        </w:rPr>
      </w:pPr>
      <w:r w:rsidRPr="005A2114">
        <w:rPr>
          <w:szCs w:val="22"/>
        </w:rPr>
        <w:t>Status:</w:t>
      </w:r>
    </w:p>
    <w:p w14:paraId="4B15A5B7" w14:textId="2B4816D2" w:rsidR="00D04B57" w:rsidRDefault="005A2114" w:rsidP="00C71C2C">
      <w:pPr>
        <w:pStyle w:val="BodyText2"/>
        <w:rPr>
          <w:b w:val="0"/>
          <w:szCs w:val="22"/>
        </w:rPr>
      </w:pPr>
      <w:r w:rsidRPr="005A2114">
        <w:rPr>
          <w:b w:val="0"/>
          <w:szCs w:val="22"/>
        </w:rPr>
        <w:t xml:space="preserve">On August 13, 2023, the Statutory Accounting Principles (E) Working Group </w:t>
      </w:r>
      <w:r w:rsidR="00A63E97">
        <w:rPr>
          <w:b w:val="0"/>
          <w:szCs w:val="22"/>
        </w:rPr>
        <w:t>moved</w:t>
      </w:r>
      <w:r w:rsidR="00D04B57" w:rsidRPr="00D04B57">
        <w:rPr>
          <w:b w:val="0"/>
          <w:szCs w:val="22"/>
        </w:rPr>
        <w:t xml:space="preserve"> this </w:t>
      </w:r>
      <w:r w:rsidR="00A63E97">
        <w:rPr>
          <w:b w:val="0"/>
          <w:szCs w:val="22"/>
        </w:rPr>
        <w:t xml:space="preserve">agenda </w:t>
      </w:r>
      <w:r w:rsidR="00D04B57" w:rsidRPr="00D04B57">
        <w:rPr>
          <w:b w:val="0"/>
          <w:szCs w:val="22"/>
        </w:rPr>
        <w:t xml:space="preserve">item </w:t>
      </w:r>
      <w:r w:rsidR="00A63E97">
        <w:rPr>
          <w:b w:val="0"/>
          <w:szCs w:val="22"/>
        </w:rPr>
        <w:t>to the</w:t>
      </w:r>
      <w:r w:rsidR="006C7513">
        <w:rPr>
          <w:b w:val="0"/>
          <w:szCs w:val="22"/>
        </w:rPr>
        <w:t xml:space="preserve"> active listing, categorized as a</w:t>
      </w:r>
      <w:r w:rsidR="00D04B57" w:rsidRPr="00D04B57">
        <w:rPr>
          <w:b w:val="0"/>
          <w:szCs w:val="22"/>
        </w:rPr>
        <w:t xml:space="preserve"> new SAP concept and expose</w:t>
      </w:r>
      <w:r w:rsidR="00283648">
        <w:rPr>
          <w:b w:val="0"/>
          <w:szCs w:val="22"/>
        </w:rPr>
        <w:t>d</w:t>
      </w:r>
      <w:r w:rsidR="00D04B57" w:rsidRPr="00D04B57">
        <w:rPr>
          <w:b w:val="0"/>
          <w:szCs w:val="22"/>
        </w:rPr>
        <w:t xml:space="preserve"> this agenda item with the overall concept for a long-term project to capture accounting guidance for AVR and IMR in SSAP No. 7.</w:t>
      </w:r>
      <w:r w:rsidR="000F792A">
        <w:rPr>
          <w:b w:val="0"/>
          <w:szCs w:val="22"/>
        </w:rPr>
        <w:t xml:space="preserve"> </w:t>
      </w:r>
      <w:r w:rsidR="000F792A" w:rsidRPr="000F792A">
        <w:rPr>
          <w:b w:val="0"/>
          <w:szCs w:val="22"/>
        </w:rPr>
        <w:t xml:space="preserve">Although revisions may be considered and adopted to allow focus on specific discussion aspects, ultimately, the movement of the accounting guidance to SSAP No. 7, and any revisions from the </w:t>
      </w:r>
      <w:r w:rsidR="00DE155C">
        <w:rPr>
          <w:b w:val="0"/>
          <w:szCs w:val="22"/>
        </w:rPr>
        <w:t>annual statement</w:t>
      </w:r>
      <w:r w:rsidR="000F792A" w:rsidRPr="000F792A">
        <w:rPr>
          <w:b w:val="0"/>
          <w:szCs w:val="22"/>
        </w:rPr>
        <w:t xml:space="preserve"> instructions when incorporating SAP guidance, is proposed to be captured as a new SAP concept with a corresponding issue paper to detail the revisions. The agenda item identifies discussion topics to be included in this project.</w:t>
      </w:r>
    </w:p>
    <w:p w14:paraId="64A556C6" w14:textId="77777777" w:rsidR="00F46670" w:rsidRDefault="00F46670" w:rsidP="00C71C2C">
      <w:pPr>
        <w:pStyle w:val="BodyText2"/>
        <w:rPr>
          <w:b w:val="0"/>
          <w:szCs w:val="22"/>
        </w:rPr>
      </w:pPr>
    </w:p>
    <w:p w14:paraId="0D6F02CA" w14:textId="3DC9DEF7" w:rsidR="00F46670" w:rsidRDefault="00F46670" w:rsidP="00C71C2C">
      <w:pPr>
        <w:pStyle w:val="BodyText2"/>
        <w:rPr>
          <w:b w:val="0"/>
          <w:szCs w:val="22"/>
        </w:rPr>
      </w:pPr>
      <w:r>
        <w:rPr>
          <w:b w:val="0"/>
          <w:szCs w:val="22"/>
        </w:rPr>
        <w:t xml:space="preserve">On December 1, 2023, </w:t>
      </w:r>
      <w:r w:rsidR="00477340" w:rsidRPr="00F46670">
        <w:rPr>
          <w:b w:val="0"/>
          <w:szCs w:val="22"/>
        </w:rPr>
        <w:t xml:space="preserve">the Statutory Accounting Principles (E) Working Group </w:t>
      </w:r>
      <w:r w:rsidRPr="00F46670">
        <w:rPr>
          <w:b w:val="0"/>
          <w:szCs w:val="22"/>
        </w:rPr>
        <w:t>established a long-term project to incorporate accounting guidance for AVR and IMR</w:t>
      </w:r>
      <w:r w:rsidR="00CD795C">
        <w:rPr>
          <w:b w:val="0"/>
          <w:szCs w:val="22"/>
        </w:rPr>
        <w:t>.</w:t>
      </w:r>
    </w:p>
    <w:p w14:paraId="69F8CC0B" w14:textId="77777777" w:rsidR="00477340" w:rsidRDefault="00477340" w:rsidP="00C71C2C">
      <w:pPr>
        <w:pStyle w:val="BodyText2"/>
        <w:rPr>
          <w:b w:val="0"/>
          <w:szCs w:val="22"/>
        </w:rPr>
      </w:pPr>
    </w:p>
    <w:p w14:paraId="2EA9621F" w14:textId="78E10BBE" w:rsidR="00477340" w:rsidRDefault="00477340" w:rsidP="00C71C2C">
      <w:pPr>
        <w:pStyle w:val="BodyText2"/>
        <w:rPr>
          <w:b w:val="0"/>
          <w:szCs w:val="22"/>
        </w:rPr>
      </w:pPr>
      <w:r>
        <w:rPr>
          <w:b w:val="0"/>
          <w:szCs w:val="22"/>
        </w:rPr>
        <w:t xml:space="preserve">On March 24, 2025, </w:t>
      </w:r>
      <w:r w:rsidRPr="00F46670">
        <w:rPr>
          <w:b w:val="0"/>
          <w:szCs w:val="22"/>
        </w:rPr>
        <w:t>the Statutory Accounting Principles (E) Working Group</w:t>
      </w:r>
      <w:r>
        <w:rPr>
          <w:b w:val="0"/>
          <w:szCs w:val="22"/>
        </w:rPr>
        <w:t xml:space="preserve"> </w:t>
      </w:r>
      <w:r w:rsidR="00C02B2A">
        <w:rPr>
          <w:b w:val="0"/>
          <w:szCs w:val="22"/>
        </w:rPr>
        <w:t>e</w:t>
      </w:r>
      <w:r w:rsidR="00C02B2A" w:rsidRPr="00C02B2A">
        <w:rPr>
          <w:b w:val="0"/>
          <w:szCs w:val="22"/>
        </w:rPr>
        <w:t xml:space="preserve">xposed a </w:t>
      </w:r>
      <w:r w:rsidR="0095008F">
        <w:rPr>
          <w:b w:val="0"/>
          <w:szCs w:val="22"/>
        </w:rPr>
        <w:t xml:space="preserve">hypothetical IMR </w:t>
      </w:r>
      <w:r w:rsidR="00C02B2A" w:rsidRPr="00C02B2A">
        <w:rPr>
          <w:b w:val="0"/>
          <w:szCs w:val="22"/>
        </w:rPr>
        <w:t xml:space="preserve">memorandum which details the discussions and </w:t>
      </w:r>
      <w:r w:rsidR="0095008F">
        <w:rPr>
          <w:b w:val="0"/>
          <w:szCs w:val="22"/>
        </w:rPr>
        <w:t xml:space="preserve">recommended </w:t>
      </w:r>
      <w:r w:rsidR="00C02B2A" w:rsidRPr="00C02B2A">
        <w:rPr>
          <w:b w:val="0"/>
          <w:szCs w:val="22"/>
        </w:rPr>
        <w:t>conclusion of the Interest Maintenance Reserve (IMR) ad hoc group to remove hypothetical IMR.</w:t>
      </w:r>
      <w:r w:rsidR="0095008F">
        <w:rPr>
          <w:b w:val="0"/>
          <w:szCs w:val="22"/>
        </w:rPr>
        <w:t xml:space="preserve"> This item was exposed at the full Working Group level to </w:t>
      </w:r>
      <w:r w:rsidR="003C14E1">
        <w:rPr>
          <w:b w:val="0"/>
          <w:szCs w:val="22"/>
        </w:rPr>
        <w:t>request</w:t>
      </w:r>
      <w:r w:rsidR="0095008F">
        <w:rPr>
          <w:b w:val="0"/>
          <w:szCs w:val="22"/>
        </w:rPr>
        <w:t xml:space="preserve"> feedback. It is anticipated that if supported, the concepts and conclusions within the memo will be included in the IMR issue paper and revised statutory accounting guidance. </w:t>
      </w:r>
    </w:p>
    <w:p w14:paraId="5FE43996" w14:textId="77777777" w:rsidR="0056041B" w:rsidRDefault="0056041B" w:rsidP="00C71C2C">
      <w:pPr>
        <w:pStyle w:val="BodyText2"/>
        <w:rPr>
          <w:b w:val="0"/>
          <w:szCs w:val="22"/>
        </w:rPr>
      </w:pPr>
    </w:p>
    <w:p w14:paraId="7CF74EF9" w14:textId="0B0BC10E" w:rsidR="0056041B" w:rsidRDefault="0056041B" w:rsidP="0056041B">
      <w:pPr>
        <w:pStyle w:val="BodyText2"/>
        <w:rPr>
          <w:b w:val="0"/>
          <w:bCs w:val="0"/>
          <w:szCs w:val="22"/>
        </w:rPr>
      </w:pPr>
      <w:r>
        <w:rPr>
          <w:b w:val="0"/>
          <w:bCs w:val="0"/>
          <w:szCs w:val="22"/>
        </w:rPr>
        <w:t xml:space="preserve">On August 11, 2025, the </w:t>
      </w:r>
      <w:r w:rsidRPr="00D41739">
        <w:rPr>
          <w:b w:val="0"/>
          <w:bCs w:val="0"/>
          <w:szCs w:val="22"/>
        </w:rPr>
        <w:t>Statutory Accounting Principles (E) Working Group</w:t>
      </w:r>
      <w:r>
        <w:rPr>
          <w:b w:val="0"/>
          <w:bCs w:val="0"/>
          <w:szCs w:val="22"/>
        </w:rPr>
        <w:t xml:space="preserve"> </w:t>
      </w:r>
      <w:r w:rsidR="00A05EDC">
        <w:rPr>
          <w:b w:val="0"/>
          <w:bCs w:val="0"/>
          <w:szCs w:val="22"/>
        </w:rPr>
        <w:t xml:space="preserve">agreed with the resulting conclusion of the hypothetical memo and directed NAIC staff to remove the concept of hypothetical IMR </w:t>
      </w:r>
      <w:r w:rsidR="00722F3A">
        <w:rPr>
          <w:b w:val="0"/>
          <w:bCs w:val="0"/>
          <w:szCs w:val="22"/>
        </w:rPr>
        <w:t>in the issue paper and proposed edits to</w:t>
      </w:r>
      <w:r>
        <w:rPr>
          <w:b w:val="0"/>
          <w:bCs w:val="0"/>
          <w:szCs w:val="22"/>
        </w:rPr>
        <w:t xml:space="preserve"> </w:t>
      </w:r>
      <w:r w:rsidRPr="00913943">
        <w:rPr>
          <w:b w:val="0"/>
          <w:bCs w:val="0"/>
          <w:i/>
          <w:iCs/>
          <w:szCs w:val="22"/>
        </w:rPr>
        <w:t>SSAP No. 7—Asset Valuation Reserve and Interest Maintenance Reserve</w:t>
      </w:r>
      <w:r w:rsidR="00722F3A">
        <w:rPr>
          <w:b w:val="0"/>
          <w:bCs w:val="0"/>
          <w:i/>
          <w:iCs/>
          <w:szCs w:val="22"/>
        </w:rPr>
        <w:t xml:space="preserve"> </w:t>
      </w:r>
      <w:r w:rsidR="00B86864" w:rsidRPr="00B86864">
        <w:rPr>
          <w:b w:val="0"/>
          <w:bCs w:val="0"/>
          <w:szCs w:val="22"/>
        </w:rPr>
        <w:t>being developed as part of the IMR</w:t>
      </w:r>
      <w:r w:rsidR="00722F3A" w:rsidRPr="00B86864">
        <w:rPr>
          <w:b w:val="0"/>
          <w:bCs w:val="0"/>
          <w:szCs w:val="22"/>
        </w:rPr>
        <w:t xml:space="preserve"> project. </w:t>
      </w:r>
      <w:r w:rsidRPr="00B86864">
        <w:rPr>
          <w:b w:val="0"/>
          <w:bCs w:val="0"/>
          <w:szCs w:val="22"/>
        </w:rPr>
        <w:t>It was noted that future revisions could be considered as part of the issu</w:t>
      </w:r>
      <w:r w:rsidRPr="00433032">
        <w:rPr>
          <w:b w:val="0"/>
          <w:bCs w:val="0"/>
          <w:szCs w:val="22"/>
        </w:rPr>
        <w:t xml:space="preserve">e paper and SSAP exposures, but </w:t>
      </w:r>
      <w:r w:rsidR="00722F3A">
        <w:rPr>
          <w:b w:val="0"/>
          <w:bCs w:val="0"/>
          <w:szCs w:val="22"/>
        </w:rPr>
        <w:t xml:space="preserve">the intent from the </w:t>
      </w:r>
      <w:r w:rsidR="00B86864">
        <w:rPr>
          <w:b w:val="0"/>
          <w:bCs w:val="0"/>
          <w:szCs w:val="22"/>
        </w:rPr>
        <w:t>discussion to remove the concept of hypothetical IMR.</w:t>
      </w:r>
    </w:p>
    <w:p w14:paraId="45E7E7F1" w14:textId="77777777" w:rsidR="00963524" w:rsidRDefault="00963524" w:rsidP="0056041B">
      <w:pPr>
        <w:pStyle w:val="BodyText2"/>
        <w:rPr>
          <w:b w:val="0"/>
          <w:bCs w:val="0"/>
          <w:szCs w:val="22"/>
        </w:rPr>
      </w:pPr>
    </w:p>
    <w:p w14:paraId="30463DFD" w14:textId="5989F72F" w:rsidR="00963524" w:rsidRDefault="00963524" w:rsidP="0056041B">
      <w:pPr>
        <w:pStyle w:val="BodyText2"/>
        <w:rPr>
          <w:b w:val="0"/>
          <w:bCs w:val="0"/>
          <w:szCs w:val="22"/>
        </w:rPr>
      </w:pPr>
      <w:r>
        <w:rPr>
          <w:b w:val="0"/>
          <w:bCs w:val="0"/>
          <w:szCs w:val="22"/>
        </w:rPr>
        <w:t xml:space="preserve">On April 22, 2026, the Statutory Accounting Principles (E) Working Group </w:t>
      </w:r>
      <w:r w:rsidR="008B6B31">
        <w:rPr>
          <w:b w:val="0"/>
          <w:bCs w:val="0"/>
          <w:szCs w:val="22"/>
        </w:rPr>
        <w:t xml:space="preserve">exposed by </w:t>
      </w:r>
      <w:proofErr w:type="spellStart"/>
      <w:r w:rsidR="008B6B31">
        <w:rPr>
          <w:b w:val="0"/>
          <w:bCs w:val="0"/>
          <w:szCs w:val="22"/>
        </w:rPr>
        <w:t>evote</w:t>
      </w:r>
      <w:proofErr w:type="spellEnd"/>
      <w:r w:rsidR="008B6B31">
        <w:rPr>
          <w:b w:val="0"/>
          <w:bCs w:val="0"/>
          <w:szCs w:val="22"/>
        </w:rPr>
        <w:t xml:space="preserve"> a revised SSAP No. 7 to capture accounting guidance within the SSAP instead of the annual statement instructions</w:t>
      </w:r>
      <w:r w:rsidR="00320A81">
        <w:rPr>
          <w:b w:val="0"/>
          <w:bCs w:val="0"/>
          <w:szCs w:val="22"/>
        </w:rPr>
        <w:t xml:space="preserve">, </w:t>
      </w:r>
      <w:r w:rsidR="00927B64">
        <w:rPr>
          <w:b w:val="0"/>
          <w:bCs w:val="0"/>
          <w:szCs w:val="22"/>
        </w:rPr>
        <w:t>pursuant to</w:t>
      </w:r>
      <w:r w:rsidR="00C510B8">
        <w:rPr>
          <w:b w:val="0"/>
          <w:bCs w:val="0"/>
          <w:szCs w:val="22"/>
        </w:rPr>
        <w:t xml:space="preserve"> the December 1, </w:t>
      </w:r>
      <w:r w:rsidR="00927B64">
        <w:rPr>
          <w:b w:val="0"/>
          <w:bCs w:val="0"/>
          <w:szCs w:val="22"/>
        </w:rPr>
        <w:t>2023,</w:t>
      </w:r>
      <w:r w:rsidR="00C510B8">
        <w:rPr>
          <w:b w:val="0"/>
          <w:bCs w:val="0"/>
          <w:szCs w:val="22"/>
        </w:rPr>
        <w:t xml:space="preserve"> </w:t>
      </w:r>
      <w:r w:rsidR="00320A81">
        <w:rPr>
          <w:b w:val="0"/>
          <w:bCs w:val="0"/>
          <w:szCs w:val="22"/>
        </w:rPr>
        <w:t xml:space="preserve">Working Group </w:t>
      </w:r>
      <w:r w:rsidR="00C510B8">
        <w:rPr>
          <w:b w:val="0"/>
          <w:bCs w:val="0"/>
          <w:szCs w:val="22"/>
        </w:rPr>
        <w:t>direction</w:t>
      </w:r>
      <w:r w:rsidR="008B6B31">
        <w:rPr>
          <w:b w:val="0"/>
          <w:bCs w:val="0"/>
          <w:szCs w:val="22"/>
        </w:rPr>
        <w:t>.</w:t>
      </w:r>
      <w:r w:rsidR="00F07A0F">
        <w:rPr>
          <w:b w:val="0"/>
          <w:bCs w:val="0"/>
          <w:szCs w:val="22"/>
        </w:rPr>
        <w:t xml:space="preserve"> </w:t>
      </w:r>
      <w:r w:rsidR="00D13DF2">
        <w:rPr>
          <w:b w:val="0"/>
          <w:bCs w:val="0"/>
          <w:szCs w:val="22"/>
        </w:rPr>
        <w:t>The draft SSAP reflect</w:t>
      </w:r>
      <w:r w:rsidR="00320A81">
        <w:rPr>
          <w:b w:val="0"/>
          <w:bCs w:val="0"/>
          <w:szCs w:val="22"/>
        </w:rPr>
        <w:t>s</w:t>
      </w:r>
      <w:r w:rsidR="00D13DF2">
        <w:rPr>
          <w:b w:val="0"/>
          <w:bCs w:val="0"/>
          <w:szCs w:val="22"/>
        </w:rPr>
        <w:t xml:space="preserve"> conclusion reached by the IMR Ad Hoc Group</w:t>
      </w:r>
      <w:r w:rsidR="00320A81">
        <w:rPr>
          <w:b w:val="0"/>
          <w:bCs w:val="0"/>
          <w:szCs w:val="22"/>
        </w:rPr>
        <w:t>, which include</w:t>
      </w:r>
      <w:r w:rsidR="00927B64">
        <w:rPr>
          <w:b w:val="0"/>
          <w:bCs w:val="0"/>
          <w:szCs w:val="22"/>
        </w:rPr>
        <w:t>s</w:t>
      </w:r>
      <w:r w:rsidR="00320A81">
        <w:rPr>
          <w:b w:val="0"/>
          <w:bCs w:val="0"/>
          <w:szCs w:val="22"/>
        </w:rPr>
        <w:t xml:space="preserve"> various </w:t>
      </w:r>
      <w:r w:rsidR="00F07A0F">
        <w:rPr>
          <w:b w:val="0"/>
          <w:bCs w:val="0"/>
          <w:szCs w:val="22"/>
        </w:rPr>
        <w:t>revisions to historical guidance</w:t>
      </w:r>
      <w:r w:rsidR="00BD645C">
        <w:rPr>
          <w:b w:val="0"/>
          <w:bCs w:val="0"/>
          <w:szCs w:val="22"/>
        </w:rPr>
        <w:t>.</w:t>
      </w:r>
      <w:r w:rsidR="00D13DF2">
        <w:rPr>
          <w:b w:val="0"/>
          <w:bCs w:val="0"/>
          <w:szCs w:val="22"/>
        </w:rPr>
        <w:t xml:space="preserve"> </w:t>
      </w:r>
      <w:r w:rsidR="00743B94">
        <w:rPr>
          <w:b w:val="0"/>
          <w:bCs w:val="0"/>
          <w:szCs w:val="22"/>
        </w:rPr>
        <w:t>In addition to the revised SSAP, the exposure included an issue paper that details the discussions and conclusions of the IMR Ad Hoc Group, proposed revisions to other SSAP</w:t>
      </w:r>
      <w:r w:rsidR="00BD645C">
        <w:rPr>
          <w:b w:val="0"/>
          <w:bCs w:val="0"/>
          <w:szCs w:val="22"/>
        </w:rPr>
        <w:t>s</w:t>
      </w:r>
      <w:r w:rsidR="00743B94">
        <w:rPr>
          <w:b w:val="0"/>
          <w:bCs w:val="0"/>
          <w:szCs w:val="22"/>
        </w:rPr>
        <w:t xml:space="preserve"> related to IMR, and proposed reporting changes. </w:t>
      </w:r>
      <w:r w:rsidR="00C510B8">
        <w:rPr>
          <w:b w:val="0"/>
          <w:bCs w:val="0"/>
          <w:szCs w:val="22"/>
        </w:rPr>
        <w:t>The comment deadline for the exposure i</w:t>
      </w:r>
      <w:r w:rsidR="00BD645C">
        <w:rPr>
          <w:b w:val="0"/>
          <w:bCs w:val="0"/>
          <w:szCs w:val="22"/>
        </w:rPr>
        <w:t>s</w:t>
      </w:r>
      <w:r w:rsidR="00C510B8">
        <w:rPr>
          <w:b w:val="0"/>
          <w:bCs w:val="0"/>
          <w:szCs w:val="22"/>
        </w:rPr>
        <w:t xml:space="preserve"> June 22, 2026. </w:t>
      </w:r>
    </w:p>
    <w:p w14:paraId="058FE957" w14:textId="77777777" w:rsidR="0056041B" w:rsidRDefault="0056041B" w:rsidP="00C71C2C">
      <w:pPr>
        <w:pStyle w:val="BodyText2"/>
        <w:rPr>
          <w:b w:val="0"/>
          <w:szCs w:val="22"/>
        </w:rPr>
      </w:pPr>
    </w:p>
    <w:p w14:paraId="5E6D9757" w14:textId="77777777" w:rsidR="00BF60CD" w:rsidRDefault="00BF60CD" w:rsidP="00C71C2C">
      <w:pPr>
        <w:pStyle w:val="BodyText2"/>
        <w:rPr>
          <w:b w:val="0"/>
          <w:szCs w:val="22"/>
        </w:rPr>
      </w:pPr>
    </w:p>
    <w:p w14:paraId="0386CD04" w14:textId="77777777" w:rsidR="00BF60CD" w:rsidRPr="00D5145D" w:rsidRDefault="00BF60CD" w:rsidP="00C71C2C">
      <w:pPr>
        <w:pStyle w:val="BodyText2"/>
        <w:rPr>
          <w:b w:val="0"/>
          <w:szCs w:val="22"/>
        </w:rPr>
      </w:pPr>
    </w:p>
    <w:p w14:paraId="71BBEFE0" w14:textId="77777777" w:rsidR="002A1316" w:rsidRDefault="002A1316" w:rsidP="00B30CA0">
      <w:pPr>
        <w:rPr>
          <w:sz w:val="22"/>
        </w:rPr>
      </w:pPr>
    </w:p>
    <w:p w14:paraId="68BD6302" w14:textId="5A53EC7F"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C02B2A">
        <w:rPr>
          <w:noProof/>
          <w:sz w:val="16"/>
          <w:szCs w:val="16"/>
        </w:rPr>
        <w:t>https://naiconline.sharepoint.com/teams/FRSStatutoryAccounting/National Meetings/A. National Meeting Materials/2025/03-24-25 Spring National Meeting/Exposures/23-14 - IMR AVR.docx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6C9" w14:textId="77777777" w:rsidR="009F61EB" w:rsidRDefault="009F61EB">
      <w:r>
        <w:separator/>
      </w:r>
    </w:p>
  </w:endnote>
  <w:endnote w:type="continuationSeparator" w:id="0">
    <w:p w14:paraId="6F47A49E" w14:textId="77777777" w:rsidR="009F61EB" w:rsidRDefault="009F61EB">
      <w:r>
        <w:continuationSeparator/>
      </w:r>
    </w:p>
  </w:endnote>
  <w:endnote w:type="continuationNotice" w:id="1">
    <w:p w14:paraId="05B56283" w14:textId="77777777" w:rsidR="009F61EB" w:rsidRDefault="009F6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507FB6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C02B2A">
      <w:rPr>
        <w:sz w:val="20"/>
      </w:rPr>
      <w:t>5</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4CD4" w14:textId="77777777" w:rsidR="009F61EB" w:rsidRDefault="009F61EB">
      <w:r>
        <w:separator/>
      </w:r>
    </w:p>
  </w:footnote>
  <w:footnote w:type="continuationSeparator" w:id="0">
    <w:p w14:paraId="780AB96C" w14:textId="77777777" w:rsidR="009F61EB" w:rsidRDefault="009F61EB">
      <w:r>
        <w:continuationSeparator/>
      </w:r>
    </w:p>
  </w:footnote>
  <w:footnote w:type="continuationNotice" w:id="1">
    <w:p w14:paraId="7B13D578" w14:textId="77777777" w:rsidR="009F61EB" w:rsidRDefault="009F6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893F" w14:textId="77777777" w:rsidR="00F72AD4" w:rsidRDefault="00F72AD4">
    <w:pPr>
      <w:pStyle w:val="Header"/>
      <w:jc w:val="right"/>
      <w:rPr>
        <w:bCs/>
        <w:sz w:val="20"/>
      </w:rPr>
    </w:pPr>
  </w:p>
  <w:p w14:paraId="14FEED1A" w14:textId="08FF1021"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464195">
      <w:rPr>
        <w:bCs/>
        <w:sz w:val="20"/>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86C47"/>
    <w:multiLevelType w:val="singleLevel"/>
    <w:tmpl w:val="D8827A28"/>
    <w:lvl w:ilvl="0">
      <w:start w:val="1"/>
      <w:numFmt w:val="lowerLetter"/>
      <w:lvlText w:val="%1."/>
      <w:lvlJc w:val="left"/>
      <w:pPr>
        <w:tabs>
          <w:tab w:val="num" w:pos="0"/>
        </w:tabs>
        <w:ind w:left="1440" w:hanging="720"/>
      </w:pPr>
    </w:lvl>
  </w:abstractNum>
  <w:abstractNum w:abstractNumId="6" w15:restartNumberingAfterBreak="0">
    <w:nsid w:val="2AE835DB"/>
    <w:multiLevelType w:val="hybridMultilevel"/>
    <w:tmpl w:val="FD8A5714"/>
    <w:lvl w:ilvl="0" w:tplc="8438C944">
      <w:start w:val="18"/>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2"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0D1BEE"/>
    <w:multiLevelType w:val="hybridMultilevel"/>
    <w:tmpl w:val="61CA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100183"/>
    <w:multiLevelType w:val="hybridMultilevel"/>
    <w:tmpl w:val="FCC4B2A6"/>
    <w:lvl w:ilvl="0" w:tplc="3920EEC6">
      <w:start w:val="1"/>
      <w:numFmt w:val="decimal"/>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11"/>
  </w:num>
  <w:num w:numId="2" w16cid:durableId="19017550">
    <w:abstractNumId w:val="14"/>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20"/>
  </w:num>
  <w:num w:numId="7" w16cid:durableId="197864344">
    <w:abstractNumId w:val="9"/>
  </w:num>
  <w:num w:numId="8" w16cid:durableId="355549082">
    <w:abstractNumId w:val="18"/>
  </w:num>
  <w:num w:numId="9" w16cid:durableId="1412777357">
    <w:abstractNumId w:val="16"/>
  </w:num>
  <w:num w:numId="10" w16cid:durableId="2137597126">
    <w:abstractNumId w:val="17"/>
  </w:num>
  <w:num w:numId="11" w16cid:durableId="433406096">
    <w:abstractNumId w:val="7"/>
  </w:num>
  <w:num w:numId="12" w16cid:durableId="1074552508">
    <w:abstractNumId w:val="12"/>
  </w:num>
  <w:num w:numId="13" w16cid:durableId="697316799">
    <w:abstractNumId w:val="4"/>
  </w:num>
  <w:num w:numId="14" w16cid:durableId="1178884407">
    <w:abstractNumId w:val="15"/>
  </w:num>
  <w:num w:numId="15" w16cid:durableId="759253091">
    <w:abstractNumId w:val="0"/>
  </w:num>
  <w:num w:numId="16" w16cid:durableId="1272276904">
    <w:abstractNumId w:val="13"/>
  </w:num>
  <w:num w:numId="17" w16cid:durableId="1958413341">
    <w:abstractNumId w:val="8"/>
  </w:num>
  <w:num w:numId="18" w16cid:durableId="1458836272">
    <w:abstractNumId w:val="10"/>
  </w:num>
  <w:num w:numId="19" w16cid:durableId="1960914111">
    <w:abstractNumId w:val="5"/>
  </w:num>
  <w:num w:numId="20" w16cid:durableId="449277076">
    <w:abstractNumId w:val="5"/>
    <w:lvlOverride w:ilvl="0">
      <w:startOverride w:val="1"/>
    </w:lvlOverride>
  </w:num>
  <w:num w:numId="21" w16cid:durableId="868224108">
    <w:abstractNumId w:val="6"/>
  </w:num>
  <w:num w:numId="22" w16cid:durableId="205279836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3391"/>
    <w:rsid w:val="000238DA"/>
    <w:rsid w:val="00023E5B"/>
    <w:rsid w:val="00025317"/>
    <w:rsid w:val="00025817"/>
    <w:rsid w:val="000273D7"/>
    <w:rsid w:val="00027A72"/>
    <w:rsid w:val="000301A7"/>
    <w:rsid w:val="000309E6"/>
    <w:rsid w:val="0003404E"/>
    <w:rsid w:val="000340AB"/>
    <w:rsid w:val="00034B2F"/>
    <w:rsid w:val="0003553F"/>
    <w:rsid w:val="000360CE"/>
    <w:rsid w:val="0003610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4BC7"/>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B0D"/>
    <w:rsid w:val="00097320"/>
    <w:rsid w:val="00097D1E"/>
    <w:rsid w:val="000A198F"/>
    <w:rsid w:val="000A1F32"/>
    <w:rsid w:val="000A338D"/>
    <w:rsid w:val="000A3E6D"/>
    <w:rsid w:val="000A612E"/>
    <w:rsid w:val="000A711B"/>
    <w:rsid w:val="000A7381"/>
    <w:rsid w:val="000A745C"/>
    <w:rsid w:val="000B1BA0"/>
    <w:rsid w:val="000B4849"/>
    <w:rsid w:val="000B5B00"/>
    <w:rsid w:val="000B5FC9"/>
    <w:rsid w:val="000B72D4"/>
    <w:rsid w:val="000C07C7"/>
    <w:rsid w:val="000C11B3"/>
    <w:rsid w:val="000C1AD7"/>
    <w:rsid w:val="000C21F0"/>
    <w:rsid w:val="000C2D7A"/>
    <w:rsid w:val="000C38E3"/>
    <w:rsid w:val="000C4240"/>
    <w:rsid w:val="000C453A"/>
    <w:rsid w:val="000C5EA8"/>
    <w:rsid w:val="000C61ED"/>
    <w:rsid w:val="000C6EE3"/>
    <w:rsid w:val="000C7D35"/>
    <w:rsid w:val="000D045D"/>
    <w:rsid w:val="000D0AE1"/>
    <w:rsid w:val="000D1226"/>
    <w:rsid w:val="000D2AD3"/>
    <w:rsid w:val="000D4576"/>
    <w:rsid w:val="000D6AE8"/>
    <w:rsid w:val="000D6CB3"/>
    <w:rsid w:val="000D74B1"/>
    <w:rsid w:val="000E09FA"/>
    <w:rsid w:val="000E1131"/>
    <w:rsid w:val="000E16CA"/>
    <w:rsid w:val="000E3325"/>
    <w:rsid w:val="000E4751"/>
    <w:rsid w:val="000E6BDE"/>
    <w:rsid w:val="000F118F"/>
    <w:rsid w:val="000F17DA"/>
    <w:rsid w:val="000F5114"/>
    <w:rsid w:val="000F6124"/>
    <w:rsid w:val="000F74B4"/>
    <w:rsid w:val="000F792A"/>
    <w:rsid w:val="000F79D9"/>
    <w:rsid w:val="000F7BCD"/>
    <w:rsid w:val="00100949"/>
    <w:rsid w:val="0010170F"/>
    <w:rsid w:val="00102900"/>
    <w:rsid w:val="00104063"/>
    <w:rsid w:val="00104188"/>
    <w:rsid w:val="001077A1"/>
    <w:rsid w:val="0011091C"/>
    <w:rsid w:val="00110932"/>
    <w:rsid w:val="00110952"/>
    <w:rsid w:val="00111698"/>
    <w:rsid w:val="001127D9"/>
    <w:rsid w:val="001127F5"/>
    <w:rsid w:val="00112A59"/>
    <w:rsid w:val="00113CC8"/>
    <w:rsid w:val="00115EF5"/>
    <w:rsid w:val="0011602D"/>
    <w:rsid w:val="00117566"/>
    <w:rsid w:val="00120AF2"/>
    <w:rsid w:val="00121458"/>
    <w:rsid w:val="0012174E"/>
    <w:rsid w:val="00124880"/>
    <w:rsid w:val="001248B2"/>
    <w:rsid w:val="00125301"/>
    <w:rsid w:val="001317A6"/>
    <w:rsid w:val="00131FC5"/>
    <w:rsid w:val="00133830"/>
    <w:rsid w:val="0013539B"/>
    <w:rsid w:val="00135EC4"/>
    <w:rsid w:val="001365A9"/>
    <w:rsid w:val="00137E60"/>
    <w:rsid w:val="00140E6B"/>
    <w:rsid w:val="00142381"/>
    <w:rsid w:val="001452F9"/>
    <w:rsid w:val="00145730"/>
    <w:rsid w:val="0014655D"/>
    <w:rsid w:val="00146BED"/>
    <w:rsid w:val="00151F90"/>
    <w:rsid w:val="00154012"/>
    <w:rsid w:val="0015429C"/>
    <w:rsid w:val="0015560C"/>
    <w:rsid w:val="0015579F"/>
    <w:rsid w:val="001579D2"/>
    <w:rsid w:val="00160306"/>
    <w:rsid w:val="00160362"/>
    <w:rsid w:val="00161964"/>
    <w:rsid w:val="0016377E"/>
    <w:rsid w:val="00164657"/>
    <w:rsid w:val="001653C5"/>
    <w:rsid w:val="00165EFA"/>
    <w:rsid w:val="00166423"/>
    <w:rsid w:val="00167224"/>
    <w:rsid w:val="00170450"/>
    <w:rsid w:val="00170A9B"/>
    <w:rsid w:val="00171928"/>
    <w:rsid w:val="00171ED1"/>
    <w:rsid w:val="00172377"/>
    <w:rsid w:val="0017261A"/>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579C"/>
    <w:rsid w:val="001A5863"/>
    <w:rsid w:val="001A78DE"/>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8EC"/>
    <w:rsid w:val="001C654E"/>
    <w:rsid w:val="001C6BD4"/>
    <w:rsid w:val="001C70EA"/>
    <w:rsid w:val="001C72FA"/>
    <w:rsid w:val="001C7A03"/>
    <w:rsid w:val="001C7DA4"/>
    <w:rsid w:val="001D143D"/>
    <w:rsid w:val="001D345E"/>
    <w:rsid w:val="001D37C2"/>
    <w:rsid w:val="001D58BA"/>
    <w:rsid w:val="001D64DC"/>
    <w:rsid w:val="001E0ACD"/>
    <w:rsid w:val="001E18EF"/>
    <w:rsid w:val="001E403F"/>
    <w:rsid w:val="001E4A9B"/>
    <w:rsid w:val="001E4ECA"/>
    <w:rsid w:val="001E5002"/>
    <w:rsid w:val="001E54BA"/>
    <w:rsid w:val="001E7723"/>
    <w:rsid w:val="001F008E"/>
    <w:rsid w:val="001F0E42"/>
    <w:rsid w:val="001F3CF4"/>
    <w:rsid w:val="001F4498"/>
    <w:rsid w:val="001F46EB"/>
    <w:rsid w:val="001F4BF6"/>
    <w:rsid w:val="001F4C3C"/>
    <w:rsid w:val="001F62D5"/>
    <w:rsid w:val="00200007"/>
    <w:rsid w:val="00200367"/>
    <w:rsid w:val="002014DA"/>
    <w:rsid w:val="002028B1"/>
    <w:rsid w:val="002033E6"/>
    <w:rsid w:val="0020360B"/>
    <w:rsid w:val="00203FF7"/>
    <w:rsid w:val="0020428F"/>
    <w:rsid w:val="002046F5"/>
    <w:rsid w:val="0020476B"/>
    <w:rsid w:val="00205882"/>
    <w:rsid w:val="00207C52"/>
    <w:rsid w:val="00207E1D"/>
    <w:rsid w:val="00213009"/>
    <w:rsid w:val="002141B3"/>
    <w:rsid w:val="00214E55"/>
    <w:rsid w:val="00214EC7"/>
    <w:rsid w:val="002156C3"/>
    <w:rsid w:val="00215B42"/>
    <w:rsid w:val="00215D99"/>
    <w:rsid w:val="002164C1"/>
    <w:rsid w:val="00216D66"/>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D28"/>
    <w:rsid w:val="002312D4"/>
    <w:rsid w:val="00231B56"/>
    <w:rsid w:val="00231BED"/>
    <w:rsid w:val="00233D96"/>
    <w:rsid w:val="00234312"/>
    <w:rsid w:val="00234AB2"/>
    <w:rsid w:val="00234DE3"/>
    <w:rsid w:val="00235312"/>
    <w:rsid w:val="0023724F"/>
    <w:rsid w:val="00237383"/>
    <w:rsid w:val="002376FD"/>
    <w:rsid w:val="002408D3"/>
    <w:rsid w:val="00240C5C"/>
    <w:rsid w:val="00240D4E"/>
    <w:rsid w:val="002410C7"/>
    <w:rsid w:val="00241671"/>
    <w:rsid w:val="00241B60"/>
    <w:rsid w:val="00242209"/>
    <w:rsid w:val="00244916"/>
    <w:rsid w:val="002465DC"/>
    <w:rsid w:val="002477DE"/>
    <w:rsid w:val="00247D09"/>
    <w:rsid w:val="00252846"/>
    <w:rsid w:val="00253116"/>
    <w:rsid w:val="00253C3F"/>
    <w:rsid w:val="002557C2"/>
    <w:rsid w:val="00255882"/>
    <w:rsid w:val="0025590C"/>
    <w:rsid w:val="00256398"/>
    <w:rsid w:val="00256464"/>
    <w:rsid w:val="00256AF9"/>
    <w:rsid w:val="00256E80"/>
    <w:rsid w:val="00257A99"/>
    <w:rsid w:val="00260C0E"/>
    <w:rsid w:val="00261085"/>
    <w:rsid w:val="002611A7"/>
    <w:rsid w:val="00261273"/>
    <w:rsid w:val="00261A24"/>
    <w:rsid w:val="00261C0A"/>
    <w:rsid w:val="00261DC7"/>
    <w:rsid w:val="00262AC4"/>
    <w:rsid w:val="00264256"/>
    <w:rsid w:val="002642A9"/>
    <w:rsid w:val="00264551"/>
    <w:rsid w:val="00264BF2"/>
    <w:rsid w:val="00270CE4"/>
    <w:rsid w:val="00274005"/>
    <w:rsid w:val="002744C4"/>
    <w:rsid w:val="0027541F"/>
    <w:rsid w:val="00275BC0"/>
    <w:rsid w:val="002766DB"/>
    <w:rsid w:val="0028233C"/>
    <w:rsid w:val="00282F22"/>
    <w:rsid w:val="00283648"/>
    <w:rsid w:val="002848CD"/>
    <w:rsid w:val="0028663B"/>
    <w:rsid w:val="00286D1B"/>
    <w:rsid w:val="00287A96"/>
    <w:rsid w:val="002918F9"/>
    <w:rsid w:val="00291D71"/>
    <w:rsid w:val="00292517"/>
    <w:rsid w:val="00293119"/>
    <w:rsid w:val="00294082"/>
    <w:rsid w:val="0029443E"/>
    <w:rsid w:val="00294999"/>
    <w:rsid w:val="00294FE6"/>
    <w:rsid w:val="00295430"/>
    <w:rsid w:val="00296403"/>
    <w:rsid w:val="00296B86"/>
    <w:rsid w:val="00296E66"/>
    <w:rsid w:val="002A1316"/>
    <w:rsid w:val="002A2CC3"/>
    <w:rsid w:val="002A2F16"/>
    <w:rsid w:val="002A429D"/>
    <w:rsid w:val="002A44FE"/>
    <w:rsid w:val="002A4E9D"/>
    <w:rsid w:val="002A6BDC"/>
    <w:rsid w:val="002A6CB4"/>
    <w:rsid w:val="002B12A6"/>
    <w:rsid w:val="002B5AC1"/>
    <w:rsid w:val="002B792D"/>
    <w:rsid w:val="002C2216"/>
    <w:rsid w:val="002C2278"/>
    <w:rsid w:val="002C2B63"/>
    <w:rsid w:val="002C3A5D"/>
    <w:rsid w:val="002C5CBA"/>
    <w:rsid w:val="002C6171"/>
    <w:rsid w:val="002C666A"/>
    <w:rsid w:val="002C7C73"/>
    <w:rsid w:val="002D0028"/>
    <w:rsid w:val="002D0149"/>
    <w:rsid w:val="002D0A6C"/>
    <w:rsid w:val="002D162A"/>
    <w:rsid w:val="002D1DEE"/>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3197"/>
    <w:rsid w:val="002E3A7B"/>
    <w:rsid w:val="002E3FF0"/>
    <w:rsid w:val="002E535F"/>
    <w:rsid w:val="002E5DCE"/>
    <w:rsid w:val="002E702D"/>
    <w:rsid w:val="002E7901"/>
    <w:rsid w:val="002F055F"/>
    <w:rsid w:val="002F05F4"/>
    <w:rsid w:val="002F0D79"/>
    <w:rsid w:val="002F1EBF"/>
    <w:rsid w:val="002F2935"/>
    <w:rsid w:val="002F5D54"/>
    <w:rsid w:val="002F5EAD"/>
    <w:rsid w:val="002F6FF9"/>
    <w:rsid w:val="00300EA4"/>
    <w:rsid w:val="0030135B"/>
    <w:rsid w:val="00302A97"/>
    <w:rsid w:val="00304CEC"/>
    <w:rsid w:val="0030546C"/>
    <w:rsid w:val="0030560B"/>
    <w:rsid w:val="00305EFE"/>
    <w:rsid w:val="00312502"/>
    <w:rsid w:val="003137D2"/>
    <w:rsid w:val="003148E8"/>
    <w:rsid w:val="003157DB"/>
    <w:rsid w:val="00315880"/>
    <w:rsid w:val="00316044"/>
    <w:rsid w:val="003170AF"/>
    <w:rsid w:val="00317369"/>
    <w:rsid w:val="00317D79"/>
    <w:rsid w:val="00320A81"/>
    <w:rsid w:val="00320CFF"/>
    <w:rsid w:val="0032153F"/>
    <w:rsid w:val="00321DE0"/>
    <w:rsid w:val="003245DA"/>
    <w:rsid w:val="00324997"/>
    <w:rsid w:val="00325660"/>
    <w:rsid w:val="00326416"/>
    <w:rsid w:val="003266E0"/>
    <w:rsid w:val="00326D84"/>
    <w:rsid w:val="00327340"/>
    <w:rsid w:val="00327CB8"/>
    <w:rsid w:val="00330EF0"/>
    <w:rsid w:val="0033165C"/>
    <w:rsid w:val="003325E9"/>
    <w:rsid w:val="00333FC0"/>
    <w:rsid w:val="00334255"/>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72EC"/>
    <w:rsid w:val="003675EC"/>
    <w:rsid w:val="00367BBB"/>
    <w:rsid w:val="00367F7A"/>
    <w:rsid w:val="00367F9C"/>
    <w:rsid w:val="00370E1C"/>
    <w:rsid w:val="0037204C"/>
    <w:rsid w:val="003725D2"/>
    <w:rsid w:val="003735D9"/>
    <w:rsid w:val="00373D0A"/>
    <w:rsid w:val="0037483C"/>
    <w:rsid w:val="0037579B"/>
    <w:rsid w:val="00375A23"/>
    <w:rsid w:val="00376450"/>
    <w:rsid w:val="00376842"/>
    <w:rsid w:val="00376C2F"/>
    <w:rsid w:val="00376FCE"/>
    <w:rsid w:val="00377A90"/>
    <w:rsid w:val="00377D50"/>
    <w:rsid w:val="00380CDF"/>
    <w:rsid w:val="00382453"/>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D8D"/>
    <w:rsid w:val="003A3E88"/>
    <w:rsid w:val="003A6148"/>
    <w:rsid w:val="003A63F2"/>
    <w:rsid w:val="003A670B"/>
    <w:rsid w:val="003B0FD5"/>
    <w:rsid w:val="003B12DE"/>
    <w:rsid w:val="003B17C0"/>
    <w:rsid w:val="003B33EB"/>
    <w:rsid w:val="003B3F47"/>
    <w:rsid w:val="003B4A81"/>
    <w:rsid w:val="003B6907"/>
    <w:rsid w:val="003B7FF4"/>
    <w:rsid w:val="003C07B6"/>
    <w:rsid w:val="003C07DE"/>
    <w:rsid w:val="003C14D0"/>
    <w:rsid w:val="003C14E1"/>
    <w:rsid w:val="003C174C"/>
    <w:rsid w:val="003C337D"/>
    <w:rsid w:val="003C410E"/>
    <w:rsid w:val="003C57EA"/>
    <w:rsid w:val="003C73D7"/>
    <w:rsid w:val="003C7A17"/>
    <w:rsid w:val="003D05BE"/>
    <w:rsid w:val="003D1402"/>
    <w:rsid w:val="003D19A1"/>
    <w:rsid w:val="003D27DC"/>
    <w:rsid w:val="003D29CA"/>
    <w:rsid w:val="003D2F2D"/>
    <w:rsid w:val="003D4420"/>
    <w:rsid w:val="003D58F1"/>
    <w:rsid w:val="003D608C"/>
    <w:rsid w:val="003D6928"/>
    <w:rsid w:val="003D6E6E"/>
    <w:rsid w:val="003D6F9C"/>
    <w:rsid w:val="003D7C55"/>
    <w:rsid w:val="003D7DC1"/>
    <w:rsid w:val="003E026F"/>
    <w:rsid w:val="003E0392"/>
    <w:rsid w:val="003E0702"/>
    <w:rsid w:val="003E28CF"/>
    <w:rsid w:val="003E2E5D"/>
    <w:rsid w:val="003E4272"/>
    <w:rsid w:val="003E5116"/>
    <w:rsid w:val="003E52E5"/>
    <w:rsid w:val="003E53BD"/>
    <w:rsid w:val="003E57F2"/>
    <w:rsid w:val="003E5884"/>
    <w:rsid w:val="003E6DD2"/>
    <w:rsid w:val="003E7060"/>
    <w:rsid w:val="003F0893"/>
    <w:rsid w:val="003F08CA"/>
    <w:rsid w:val="003F0CB9"/>
    <w:rsid w:val="003F2B28"/>
    <w:rsid w:val="003F4038"/>
    <w:rsid w:val="003F41B9"/>
    <w:rsid w:val="003F4634"/>
    <w:rsid w:val="003F4831"/>
    <w:rsid w:val="003F4A75"/>
    <w:rsid w:val="003F572C"/>
    <w:rsid w:val="003F5A47"/>
    <w:rsid w:val="003F6829"/>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29C"/>
    <w:rsid w:val="004107EC"/>
    <w:rsid w:val="004108E7"/>
    <w:rsid w:val="00410F4D"/>
    <w:rsid w:val="00412614"/>
    <w:rsid w:val="004128F1"/>
    <w:rsid w:val="00413914"/>
    <w:rsid w:val="00414676"/>
    <w:rsid w:val="004146C7"/>
    <w:rsid w:val="00414BDC"/>
    <w:rsid w:val="00414EAE"/>
    <w:rsid w:val="00416BC2"/>
    <w:rsid w:val="004201DC"/>
    <w:rsid w:val="00421277"/>
    <w:rsid w:val="00421554"/>
    <w:rsid w:val="00421692"/>
    <w:rsid w:val="004228F5"/>
    <w:rsid w:val="00422CB8"/>
    <w:rsid w:val="00424570"/>
    <w:rsid w:val="00426456"/>
    <w:rsid w:val="00426919"/>
    <w:rsid w:val="00426F7F"/>
    <w:rsid w:val="004302C9"/>
    <w:rsid w:val="0043188F"/>
    <w:rsid w:val="004320C1"/>
    <w:rsid w:val="004326F0"/>
    <w:rsid w:val="00432A1F"/>
    <w:rsid w:val="00433E0D"/>
    <w:rsid w:val="00433E1D"/>
    <w:rsid w:val="00434207"/>
    <w:rsid w:val="00434711"/>
    <w:rsid w:val="00434970"/>
    <w:rsid w:val="00434F70"/>
    <w:rsid w:val="00434F98"/>
    <w:rsid w:val="00435281"/>
    <w:rsid w:val="00435DAC"/>
    <w:rsid w:val="00436721"/>
    <w:rsid w:val="00436AD8"/>
    <w:rsid w:val="0044022E"/>
    <w:rsid w:val="00441F52"/>
    <w:rsid w:val="004431D9"/>
    <w:rsid w:val="00443381"/>
    <w:rsid w:val="0044533B"/>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D2"/>
    <w:rsid w:val="0045639A"/>
    <w:rsid w:val="00456EC8"/>
    <w:rsid w:val="00457EC9"/>
    <w:rsid w:val="004600B3"/>
    <w:rsid w:val="004623DC"/>
    <w:rsid w:val="00462C30"/>
    <w:rsid w:val="00463E5B"/>
    <w:rsid w:val="00464195"/>
    <w:rsid w:val="004646D6"/>
    <w:rsid w:val="004654C3"/>
    <w:rsid w:val="00465572"/>
    <w:rsid w:val="00466170"/>
    <w:rsid w:val="004662AE"/>
    <w:rsid w:val="00466D26"/>
    <w:rsid w:val="0046757B"/>
    <w:rsid w:val="00470446"/>
    <w:rsid w:val="004726AA"/>
    <w:rsid w:val="0047523A"/>
    <w:rsid w:val="00475942"/>
    <w:rsid w:val="00477340"/>
    <w:rsid w:val="004774AD"/>
    <w:rsid w:val="00480491"/>
    <w:rsid w:val="0048080F"/>
    <w:rsid w:val="004812C5"/>
    <w:rsid w:val="004813F4"/>
    <w:rsid w:val="00481B00"/>
    <w:rsid w:val="00481C54"/>
    <w:rsid w:val="004829CD"/>
    <w:rsid w:val="004833B9"/>
    <w:rsid w:val="004836C4"/>
    <w:rsid w:val="00483AEC"/>
    <w:rsid w:val="0048488F"/>
    <w:rsid w:val="00484BD5"/>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53F"/>
    <w:rsid w:val="004947FF"/>
    <w:rsid w:val="004953BB"/>
    <w:rsid w:val="00495439"/>
    <w:rsid w:val="00495D3E"/>
    <w:rsid w:val="0049733D"/>
    <w:rsid w:val="00497B6F"/>
    <w:rsid w:val="00497F4E"/>
    <w:rsid w:val="004A166E"/>
    <w:rsid w:val="004A23C7"/>
    <w:rsid w:val="004A47CB"/>
    <w:rsid w:val="004A4BBF"/>
    <w:rsid w:val="004A4F25"/>
    <w:rsid w:val="004A52CF"/>
    <w:rsid w:val="004A79D8"/>
    <w:rsid w:val="004B0875"/>
    <w:rsid w:val="004B1375"/>
    <w:rsid w:val="004B3F4D"/>
    <w:rsid w:val="004B4AD1"/>
    <w:rsid w:val="004B51B6"/>
    <w:rsid w:val="004B57D9"/>
    <w:rsid w:val="004B5C26"/>
    <w:rsid w:val="004B7385"/>
    <w:rsid w:val="004B7AC8"/>
    <w:rsid w:val="004B7C1B"/>
    <w:rsid w:val="004C1990"/>
    <w:rsid w:val="004C1F17"/>
    <w:rsid w:val="004C2367"/>
    <w:rsid w:val="004C2B99"/>
    <w:rsid w:val="004C49B1"/>
    <w:rsid w:val="004C69C3"/>
    <w:rsid w:val="004C6D63"/>
    <w:rsid w:val="004C7B2E"/>
    <w:rsid w:val="004D0463"/>
    <w:rsid w:val="004D125C"/>
    <w:rsid w:val="004D4855"/>
    <w:rsid w:val="004D696F"/>
    <w:rsid w:val="004D722F"/>
    <w:rsid w:val="004E08D5"/>
    <w:rsid w:val="004E0A4F"/>
    <w:rsid w:val="004E1EAF"/>
    <w:rsid w:val="004E2BB9"/>
    <w:rsid w:val="004E3B7D"/>
    <w:rsid w:val="004E4B26"/>
    <w:rsid w:val="004E4FFB"/>
    <w:rsid w:val="004E74E7"/>
    <w:rsid w:val="004F08F5"/>
    <w:rsid w:val="004F0EF3"/>
    <w:rsid w:val="004F1AB7"/>
    <w:rsid w:val="004F5274"/>
    <w:rsid w:val="004F6FC8"/>
    <w:rsid w:val="00501CAC"/>
    <w:rsid w:val="00501D63"/>
    <w:rsid w:val="00503CDA"/>
    <w:rsid w:val="00504D25"/>
    <w:rsid w:val="005064A5"/>
    <w:rsid w:val="00507048"/>
    <w:rsid w:val="00507684"/>
    <w:rsid w:val="005078AD"/>
    <w:rsid w:val="00510AFB"/>
    <w:rsid w:val="0051121F"/>
    <w:rsid w:val="00511A4C"/>
    <w:rsid w:val="005131DD"/>
    <w:rsid w:val="005141C7"/>
    <w:rsid w:val="00517F39"/>
    <w:rsid w:val="0052035A"/>
    <w:rsid w:val="00520EED"/>
    <w:rsid w:val="00520FE2"/>
    <w:rsid w:val="00522062"/>
    <w:rsid w:val="005220EC"/>
    <w:rsid w:val="0052307F"/>
    <w:rsid w:val="00523870"/>
    <w:rsid w:val="00525A97"/>
    <w:rsid w:val="00527CA1"/>
    <w:rsid w:val="00527DAD"/>
    <w:rsid w:val="0053011F"/>
    <w:rsid w:val="0053046B"/>
    <w:rsid w:val="00531194"/>
    <w:rsid w:val="0053202B"/>
    <w:rsid w:val="00532057"/>
    <w:rsid w:val="00532095"/>
    <w:rsid w:val="005320F6"/>
    <w:rsid w:val="00532E28"/>
    <w:rsid w:val="005337D3"/>
    <w:rsid w:val="005338B9"/>
    <w:rsid w:val="00535A9E"/>
    <w:rsid w:val="00540095"/>
    <w:rsid w:val="005408B8"/>
    <w:rsid w:val="00540DFB"/>
    <w:rsid w:val="0054164B"/>
    <w:rsid w:val="0054209F"/>
    <w:rsid w:val="005433D0"/>
    <w:rsid w:val="00543E8E"/>
    <w:rsid w:val="0054717F"/>
    <w:rsid w:val="00547E79"/>
    <w:rsid w:val="00551E8F"/>
    <w:rsid w:val="00552337"/>
    <w:rsid w:val="005523CB"/>
    <w:rsid w:val="00552C82"/>
    <w:rsid w:val="00552DF0"/>
    <w:rsid w:val="0055313D"/>
    <w:rsid w:val="00553720"/>
    <w:rsid w:val="00555983"/>
    <w:rsid w:val="005569F5"/>
    <w:rsid w:val="00556D61"/>
    <w:rsid w:val="0056041B"/>
    <w:rsid w:val="00560EA7"/>
    <w:rsid w:val="00560F52"/>
    <w:rsid w:val="0056125F"/>
    <w:rsid w:val="00562444"/>
    <w:rsid w:val="00562D61"/>
    <w:rsid w:val="005636B1"/>
    <w:rsid w:val="00564023"/>
    <w:rsid w:val="005654AA"/>
    <w:rsid w:val="005700E1"/>
    <w:rsid w:val="005702D0"/>
    <w:rsid w:val="005705DF"/>
    <w:rsid w:val="0057078A"/>
    <w:rsid w:val="00574355"/>
    <w:rsid w:val="00574D5A"/>
    <w:rsid w:val="0057575E"/>
    <w:rsid w:val="00577038"/>
    <w:rsid w:val="005822D6"/>
    <w:rsid w:val="00582366"/>
    <w:rsid w:val="00583161"/>
    <w:rsid w:val="00585849"/>
    <w:rsid w:val="0058721A"/>
    <w:rsid w:val="00587B3E"/>
    <w:rsid w:val="00587E39"/>
    <w:rsid w:val="00590AF2"/>
    <w:rsid w:val="00592CD1"/>
    <w:rsid w:val="00592D7D"/>
    <w:rsid w:val="005932AF"/>
    <w:rsid w:val="0059440E"/>
    <w:rsid w:val="005A01EB"/>
    <w:rsid w:val="005A0AE4"/>
    <w:rsid w:val="005A1CAA"/>
    <w:rsid w:val="005A2114"/>
    <w:rsid w:val="005A259E"/>
    <w:rsid w:val="005A2E55"/>
    <w:rsid w:val="005A3051"/>
    <w:rsid w:val="005A359A"/>
    <w:rsid w:val="005A4C31"/>
    <w:rsid w:val="005A6231"/>
    <w:rsid w:val="005A6325"/>
    <w:rsid w:val="005A7693"/>
    <w:rsid w:val="005A77E0"/>
    <w:rsid w:val="005B17F6"/>
    <w:rsid w:val="005B23C2"/>
    <w:rsid w:val="005B25A3"/>
    <w:rsid w:val="005B3975"/>
    <w:rsid w:val="005B3FDE"/>
    <w:rsid w:val="005B478B"/>
    <w:rsid w:val="005B6F6C"/>
    <w:rsid w:val="005C0F76"/>
    <w:rsid w:val="005C193C"/>
    <w:rsid w:val="005C22EC"/>
    <w:rsid w:val="005C3866"/>
    <w:rsid w:val="005C49BA"/>
    <w:rsid w:val="005C5145"/>
    <w:rsid w:val="005C5FF2"/>
    <w:rsid w:val="005C729E"/>
    <w:rsid w:val="005C7AFD"/>
    <w:rsid w:val="005D0451"/>
    <w:rsid w:val="005D3B90"/>
    <w:rsid w:val="005D3D8B"/>
    <w:rsid w:val="005D59B5"/>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238"/>
    <w:rsid w:val="006014FD"/>
    <w:rsid w:val="006024CC"/>
    <w:rsid w:val="00605860"/>
    <w:rsid w:val="006069E1"/>
    <w:rsid w:val="00606F6E"/>
    <w:rsid w:val="00610914"/>
    <w:rsid w:val="00611D7D"/>
    <w:rsid w:val="006124C3"/>
    <w:rsid w:val="00612694"/>
    <w:rsid w:val="00612B11"/>
    <w:rsid w:val="006130B6"/>
    <w:rsid w:val="006143EE"/>
    <w:rsid w:val="00615345"/>
    <w:rsid w:val="00615514"/>
    <w:rsid w:val="006158F7"/>
    <w:rsid w:val="00615BA5"/>
    <w:rsid w:val="00615CD4"/>
    <w:rsid w:val="00617004"/>
    <w:rsid w:val="00617D5C"/>
    <w:rsid w:val="006224F6"/>
    <w:rsid w:val="006229E3"/>
    <w:rsid w:val="00623E2A"/>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C40"/>
    <w:rsid w:val="00640801"/>
    <w:rsid w:val="00640B70"/>
    <w:rsid w:val="0064182B"/>
    <w:rsid w:val="00642512"/>
    <w:rsid w:val="00643562"/>
    <w:rsid w:val="00645D0D"/>
    <w:rsid w:val="006463F5"/>
    <w:rsid w:val="00647BB4"/>
    <w:rsid w:val="00650594"/>
    <w:rsid w:val="006514EB"/>
    <w:rsid w:val="00651D38"/>
    <w:rsid w:val="00653E79"/>
    <w:rsid w:val="00653F63"/>
    <w:rsid w:val="00654185"/>
    <w:rsid w:val="006543A8"/>
    <w:rsid w:val="00654938"/>
    <w:rsid w:val="006611D9"/>
    <w:rsid w:val="0066247E"/>
    <w:rsid w:val="006641E5"/>
    <w:rsid w:val="0066429D"/>
    <w:rsid w:val="00664F6B"/>
    <w:rsid w:val="00665E45"/>
    <w:rsid w:val="00665E46"/>
    <w:rsid w:val="00666129"/>
    <w:rsid w:val="00666825"/>
    <w:rsid w:val="00667110"/>
    <w:rsid w:val="006705B3"/>
    <w:rsid w:val="00671704"/>
    <w:rsid w:val="00671C73"/>
    <w:rsid w:val="00672E50"/>
    <w:rsid w:val="00673523"/>
    <w:rsid w:val="006740EB"/>
    <w:rsid w:val="006744B1"/>
    <w:rsid w:val="00675140"/>
    <w:rsid w:val="0067514B"/>
    <w:rsid w:val="00675F6F"/>
    <w:rsid w:val="00676116"/>
    <w:rsid w:val="00676A9F"/>
    <w:rsid w:val="00676E34"/>
    <w:rsid w:val="00677498"/>
    <w:rsid w:val="006775A0"/>
    <w:rsid w:val="006775DC"/>
    <w:rsid w:val="006800D0"/>
    <w:rsid w:val="00681DFC"/>
    <w:rsid w:val="006828FD"/>
    <w:rsid w:val="00683BD8"/>
    <w:rsid w:val="00683C56"/>
    <w:rsid w:val="00684437"/>
    <w:rsid w:val="00686433"/>
    <w:rsid w:val="00686E0C"/>
    <w:rsid w:val="00690138"/>
    <w:rsid w:val="006903CF"/>
    <w:rsid w:val="00690FEC"/>
    <w:rsid w:val="006924B7"/>
    <w:rsid w:val="0069258E"/>
    <w:rsid w:val="006926A3"/>
    <w:rsid w:val="006950F1"/>
    <w:rsid w:val="006957BA"/>
    <w:rsid w:val="00695B08"/>
    <w:rsid w:val="00695BDD"/>
    <w:rsid w:val="0069621E"/>
    <w:rsid w:val="00696C35"/>
    <w:rsid w:val="0069783B"/>
    <w:rsid w:val="006A0A01"/>
    <w:rsid w:val="006A0D36"/>
    <w:rsid w:val="006A11EF"/>
    <w:rsid w:val="006A1322"/>
    <w:rsid w:val="006A1CC1"/>
    <w:rsid w:val="006A28E1"/>
    <w:rsid w:val="006A3A65"/>
    <w:rsid w:val="006A47F5"/>
    <w:rsid w:val="006A4CC2"/>
    <w:rsid w:val="006A62CF"/>
    <w:rsid w:val="006B0EFF"/>
    <w:rsid w:val="006B2756"/>
    <w:rsid w:val="006B341C"/>
    <w:rsid w:val="006B363F"/>
    <w:rsid w:val="006B37DD"/>
    <w:rsid w:val="006B4174"/>
    <w:rsid w:val="006B6C8C"/>
    <w:rsid w:val="006B6D7F"/>
    <w:rsid w:val="006B76E4"/>
    <w:rsid w:val="006B7876"/>
    <w:rsid w:val="006C157C"/>
    <w:rsid w:val="006C5221"/>
    <w:rsid w:val="006C6B7A"/>
    <w:rsid w:val="006C7387"/>
    <w:rsid w:val="006C7513"/>
    <w:rsid w:val="006C7DA7"/>
    <w:rsid w:val="006D14CF"/>
    <w:rsid w:val="006D3A59"/>
    <w:rsid w:val="006D41DD"/>
    <w:rsid w:val="006D508E"/>
    <w:rsid w:val="006D5BF1"/>
    <w:rsid w:val="006D7A8E"/>
    <w:rsid w:val="006D7E68"/>
    <w:rsid w:val="006E0007"/>
    <w:rsid w:val="006E02D3"/>
    <w:rsid w:val="006E0B41"/>
    <w:rsid w:val="006E27AE"/>
    <w:rsid w:val="006E2E80"/>
    <w:rsid w:val="006E3CAA"/>
    <w:rsid w:val="006E75A7"/>
    <w:rsid w:val="006E786F"/>
    <w:rsid w:val="006E7F80"/>
    <w:rsid w:val="006F02BA"/>
    <w:rsid w:val="006F088C"/>
    <w:rsid w:val="006F124E"/>
    <w:rsid w:val="006F193A"/>
    <w:rsid w:val="006F280C"/>
    <w:rsid w:val="006F4E58"/>
    <w:rsid w:val="006F5CA0"/>
    <w:rsid w:val="006F656C"/>
    <w:rsid w:val="006F7985"/>
    <w:rsid w:val="006F7D5B"/>
    <w:rsid w:val="00700679"/>
    <w:rsid w:val="00702BF6"/>
    <w:rsid w:val="00703CCF"/>
    <w:rsid w:val="007042DD"/>
    <w:rsid w:val="00706B68"/>
    <w:rsid w:val="007072F8"/>
    <w:rsid w:val="0071027F"/>
    <w:rsid w:val="00711335"/>
    <w:rsid w:val="00711390"/>
    <w:rsid w:val="00712BFC"/>
    <w:rsid w:val="00713259"/>
    <w:rsid w:val="00714FDF"/>
    <w:rsid w:val="00715743"/>
    <w:rsid w:val="00716222"/>
    <w:rsid w:val="00722F3A"/>
    <w:rsid w:val="0072331C"/>
    <w:rsid w:val="007247FF"/>
    <w:rsid w:val="007250D9"/>
    <w:rsid w:val="0072525D"/>
    <w:rsid w:val="007257CB"/>
    <w:rsid w:val="00725B41"/>
    <w:rsid w:val="007260AB"/>
    <w:rsid w:val="00727D72"/>
    <w:rsid w:val="007306B9"/>
    <w:rsid w:val="00732DD8"/>
    <w:rsid w:val="0073318F"/>
    <w:rsid w:val="00734E48"/>
    <w:rsid w:val="007354A3"/>
    <w:rsid w:val="00735620"/>
    <w:rsid w:val="0073587D"/>
    <w:rsid w:val="00736729"/>
    <w:rsid w:val="007367DE"/>
    <w:rsid w:val="0073714B"/>
    <w:rsid w:val="00740788"/>
    <w:rsid w:val="00742608"/>
    <w:rsid w:val="007429E0"/>
    <w:rsid w:val="0074346D"/>
    <w:rsid w:val="00743B94"/>
    <w:rsid w:val="00746146"/>
    <w:rsid w:val="0074616C"/>
    <w:rsid w:val="00746C2F"/>
    <w:rsid w:val="007470B3"/>
    <w:rsid w:val="00747C3E"/>
    <w:rsid w:val="00750A93"/>
    <w:rsid w:val="00750C76"/>
    <w:rsid w:val="00751364"/>
    <w:rsid w:val="00751DD7"/>
    <w:rsid w:val="00753C4E"/>
    <w:rsid w:val="007540BC"/>
    <w:rsid w:val="00755974"/>
    <w:rsid w:val="00755ABB"/>
    <w:rsid w:val="00755B3F"/>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3508"/>
    <w:rsid w:val="00773755"/>
    <w:rsid w:val="0077434D"/>
    <w:rsid w:val="00774EEB"/>
    <w:rsid w:val="00775992"/>
    <w:rsid w:val="007767B8"/>
    <w:rsid w:val="007774AA"/>
    <w:rsid w:val="007776E8"/>
    <w:rsid w:val="007805DF"/>
    <w:rsid w:val="00781AFE"/>
    <w:rsid w:val="00782A29"/>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2BCE"/>
    <w:rsid w:val="007B331B"/>
    <w:rsid w:val="007B4554"/>
    <w:rsid w:val="007B4B5F"/>
    <w:rsid w:val="007B508A"/>
    <w:rsid w:val="007B6716"/>
    <w:rsid w:val="007C1E90"/>
    <w:rsid w:val="007C2698"/>
    <w:rsid w:val="007C275C"/>
    <w:rsid w:val="007C304B"/>
    <w:rsid w:val="007C3BDB"/>
    <w:rsid w:val="007C5894"/>
    <w:rsid w:val="007C6DF7"/>
    <w:rsid w:val="007C6F6C"/>
    <w:rsid w:val="007C7365"/>
    <w:rsid w:val="007C77BF"/>
    <w:rsid w:val="007D0379"/>
    <w:rsid w:val="007D042F"/>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7E9"/>
    <w:rsid w:val="007E4EA8"/>
    <w:rsid w:val="007E50A9"/>
    <w:rsid w:val="007E68DB"/>
    <w:rsid w:val="007F04C5"/>
    <w:rsid w:val="007F053B"/>
    <w:rsid w:val="007F0BCA"/>
    <w:rsid w:val="007F1389"/>
    <w:rsid w:val="007F2559"/>
    <w:rsid w:val="007F2D4D"/>
    <w:rsid w:val="007F344C"/>
    <w:rsid w:val="008003E2"/>
    <w:rsid w:val="0080099B"/>
    <w:rsid w:val="00801388"/>
    <w:rsid w:val="00802DAB"/>
    <w:rsid w:val="0080375E"/>
    <w:rsid w:val="0080591C"/>
    <w:rsid w:val="00806FC1"/>
    <w:rsid w:val="008073B7"/>
    <w:rsid w:val="00811EB7"/>
    <w:rsid w:val="00812028"/>
    <w:rsid w:val="00812A19"/>
    <w:rsid w:val="00815284"/>
    <w:rsid w:val="00815A37"/>
    <w:rsid w:val="00816F35"/>
    <w:rsid w:val="00821B11"/>
    <w:rsid w:val="008236BC"/>
    <w:rsid w:val="0082374D"/>
    <w:rsid w:val="00826345"/>
    <w:rsid w:val="00827FA5"/>
    <w:rsid w:val="00832B2C"/>
    <w:rsid w:val="0083381C"/>
    <w:rsid w:val="008348E9"/>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685"/>
    <w:rsid w:val="00862915"/>
    <w:rsid w:val="00863561"/>
    <w:rsid w:val="008642AC"/>
    <w:rsid w:val="00864D9B"/>
    <w:rsid w:val="0086559C"/>
    <w:rsid w:val="00867601"/>
    <w:rsid w:val="00867DB1"/>
    <w:rsid w:val="008706E4"/>
    <w:rsid w:val="00870F11"/>
    <w:rsid w:val="00871328"/>
    <w:rsid w:val="008720D7"/>
    <w:rsid w:val="008724B2"/>
    <w:rsid w:val="008727CE"/>
    <w:rsid w:val="00874B55"/>
    <w:rsid w:val="00874D08"/>
    <w:rsid w:val="008758B4"/>
    <w:rsid w:val="00876671"/>
    <w:rsid w:val="008769D5"/>
    <w:rsid w:val="008772F1"/>
    <w:rsid w:val="00880244"/>
    <w:rsid w:val="008803A0"/>
    <w:rsid w:val="00881374"/>
    <w:rsid w:val="00881A83"/>
    <w:rsid w:val="00883BED"/>
    <w:rsid w:val="00884420"/>
    <w:rsid w:val="00884937"/>
    <w:rsid w:val="00885FA5"/>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B6B31"/>
    <w:rsid w:val="008C1F5F"/>
    <w:rsid w:val="008C26E4"/>
    <w:rsid w:val="008C3A60"/>
    <w:rsid w:val="008C471E"/>
    <w:rsid w:val="008C4CAB"/>
    <w:rsid w:val="008C59AA"/>
    <w:rsid w:val="008C718A"/>
    <w:rsid w:val="008D0DB1"/>
    <w:rsid w:val="008D14F5"/>
    <w:rsid w:val="008D236E"/>
    <w:rsid w:val="008D24E4"/>
    <w:rsid w:val="008D272C"/>
    <w:rsid w:val="008D2CF6"/>
    <w:rsid w:val="008D3694"/>
    <w:rsid w:val="008D385C"/>
    <w:rsid w:val="008D391A"/>
    <w:rsid w:val="008D5077"/>
    <w:rsid w:val="008D5578"/>
    <w:rsid w:val="008D55D5"/>
    <w:rsid w:val="008D5CDD"/>
    <w:rsid w:val="008D6264"/>
    <w:rsid w:val="008D6923"/>
    <w:rsid w:val="008D6BF6"/>
    <w:rsid w:val="008D7A3C"/>
    <w:rsid w:val="008E05C1"/>
    <w:rsid w:val="008E1747"/>
    <w:rsid w:val="008E3CAD"/>
    <w:rsid w:val="008F0B06"/>
    <w:rsid w:val="008F0BEB"/>
    <w:rsid w:val="008F2190"/>
    <w:rsid w:val="008F2E7F"/>
    <w:rsid w:val="008F357E"/>
    <w:rsid w:val="008F639B"/>
    <w:rsid w:val="0090228C"/>
    <w:rsid w:val="00902494"/>
    <w:rsid w:val="009029A1"/>
    <w:rsid w:val="009034C1"/>
    <w:rsid w:val="00903AD5"/>
    <w:rsid w:val="0090784B"/>
    <w:rsid w:val="00907FCA"/>
    <w:rsid w:val="009106D7"/>
    <w:rsid w:val="0091120D"/>
    <w:rsid w:val="0091183B"/>
    <w:rsid w:val="00911869"/>
    <w:rsid w:val="00915AE8"/>
    <w:rsid w:val="00915B53"/>
    <w:rsid w:val="009173DE"/>
    <w:rsid w:val="00917C0D"/>
    <w:rsid w:val="009201D8"/>
    <w:rsid w:val="0092196B"/>
    <w:rsid w:val="00921FC1"/>
    <w:rsid w:val="00922951"/>
    <w:rsid w:val="0092447B"/>
    <w:rsid w:val="009245FA"/>
    <w:rsid w:val="009249B4"/>
    <w:rsid w:val="00924FC3"/>
    <w:rsid w:val="00925CB7"/>
    <w:rsid w:val="00927AB5"/>
    <w:rsid w:val="00927B64"/>
    <w:rsid w:val="00927EFD"/>
    <w:rsid w:val="00930E48"/>
    <w:rsid w:val="00931150"/>
    <w:rsid w:val="009319C5"/>
    <w:rsid w:val="00931CF3"/>
    <w:rsid w:val="00932E4E"/>
    <w:rsid w:val="0093422C"/>
    <w:rsid w:val="009373FF"/>
    <w:rsid w:val="00937619"/>
    <w:rsid w:val="009400BB"/>
    <w:rsid w:val="009402A5"/>
    <w:rsid w:val="00940970"/>
    <w:rsid w:val="00940993"/>
    <w:rsid w:val="009409DA"/>
    <w:rsid w:val="00940BF7"/>
    <w:rsid w:val="00942F1B"/>
    <w:rsid w:val="009430E3"/>
    <w:rsid w:val="0094520E"/>
    <w:rsid w:val="009462E3"/>
    <w:rsid w:val="00946733"/>
    <w:rsid w:val="0094681B"/>
    <w:rsid w:val="00947048"/>
    <w:rsid w:val="00947A49"/>
    <w:rsid w:val="0095008F"/>
    <w:rsid w:val="009505EC"/>
    <w:rsid w:val="00951324"/>
    <w:rsid w:val="00951959"/>
    <w:rsid w:val="00951EA4"/>
    <w:rsid w:val="00952A97"/>
    <w:rsid w:val="009534DB"/>
    <w:rsid w:val="009535DE"/>
    <w:rsid w:val="00953B80"/>
    <w:rsid w:val="009542AD"/>
    <w:rsid w:val="00955090"/>
    <w:rsid w:val="00955E89"/>
    <w:rsid w:val="00957780"/>
    <w:rsid w:val="00957BE9"/>
    <w:rsid w:val="0096003A"/>
    <w:rsid w:val="009604FB"/>
    <w:rsid w:val="00960852"/>
    <w:rsid w:val="009624DD"/>
    <w:rsid w:val="009628D2"/>
    <w:rsid w:val="009632B9"/>
    <w:rsid w:val="00963524"/>
    <w:rsid w:val="0096428F"/>
    <w:rsid w:val="009643E6"/>
    <w:rsid w:val="00970BBF"/>
    <w:rsid w:val="009718F5"/>
    <w:rsid w:val="00972A11"/>
    <w:rsid w:val="00973B33"/>
    <w:rsid w:val="00974DB6"/>
    <w:rsid w:val="009767F7"/>
    <w:rsid w:val="00976B70"/>
    <w:rsid w:val="00977124"/>
    <w:rsid w:val="00977371"/>
    <w:rsid w:val="009774F6"/>
    <w:rsid w:val="00980638"/>
    <w:rsid w:val="00980AB6"/>
    <w:rsid w:val="00981108"/>
    <w:rsid w:val="00981578"/>
    <w:rsid w:val="0098238E"/>
    <w:rsid w:val="009829E9"/>
    <w:rsid w:val="00983C33"/>
    <w:rsid w:val="00984ABE"/>
    <w:rsid w:val="00984FA6"/>
    <w:rsid w:val="009856E8"/>
    <w:rsid w:val="009857ED"/>
    <w:rsid w:val="0098632A"/>
    <w:rsid w:val="009905FD"/>
    <w:rsid w:val="009905FE"/>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AA8"/>
    <w:rsid w:val="009A5409"/>
    <w:rsid w:val="009A5D4F"/>
    <w:rsid w:val="009A6727"/>
    <w:rsid w:val="009A6BEA"/>
    <w:rsid w:val="009B0306"/>
    <w:rsid w:val="009B20EB"/>
    <w:rsid w:val="009B3903"/>
    <w:rsid w:val="009B39D9"/>
    <w:rsid w:val="009B4F08"/>
    <w:rsid w:val="009B5063"/>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6CC"/>
    <w:rsid w:val="009E079F"/>
    <w:rsid w:val="009E0FE6"/>
    <w:rsid w:val="009E1470"/>
    <w:rsid w:val="009E3B83"/>
    <w:rsid w:val="009E4493"/>
    <w:rsid w:val="009E4FF1"/>
    <w:rsid w:val="009E78EC"/>
    <w:rsid w:val="009F3531"/>
    <w:rsid w:val="009F417D"/>
    <w:rsid w:val="009F5833"/>
    <w:rsid w:val="009F5C8C"/>
    <w:rsid w:val="009F5F0A"/>
    <w:rsid w:val="009F61EB"/>
    <w:rsid w:val="009F664B"/>
    <w:rsid w:val="009F6705"/>
    <w:rsid w:val="00A014C7"/>
    <w:rsid w:val="00A01800"/>
    <w:rsid w:val="00A01F35"/>
    <w:rsid w:val="00A02AB1"/>
    <w:rsid w:val="00A03E31"/>
    <w:rsid w:val="00A04C3E"/>
    <w:rsid w:val="00A0563E"/>
    <w:rsid w:val="00A05DF1"/>
    <w:rsid w:val="00A05EDC"/>
    <w:rsid w:val="00A06100"/>
    <w:rsid w:val="00A063F5"/>
    <w:rsid w:val="00A111C2"/>
    <w:rsid w:val="00A11226"/>
    <w:rsid w:val="00A11581"/>
    <w:rsid w:val="00A1180F"/>
    <w:rsid w:val="00A127AF"/>
    <w:rsid w:val="00A145CF"/>
    <w:rsid w:val="00A15D42"/>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456C"/>
    <w:rsid w:val="00A34ED4"/>
    <w:rsid w:val="00A358C9"/>
    <w:rsid w:val="00A36090"/>
    <w:rsid w:val="00A370D9"/>
    <w:rsid w:val="00A3787A"/>
    <w:rsid w:val="00A37CE1"/>
    <w:rsid w:val="00A37FFB"/>
    <w:rsid w:val="00A40E7A"/>
    <w:rsid w:val="00A436C1"/>
    <w:rsid w:val="00A45893"/>
    <w:rsid w:val="00A45921"/>
    <w:rsid w:val="00A532E4"/>
    <w:rsid w:val="00A533DF"/>
    <w:rsid w:val="00A541A3"/>
    <w:rsid w:val="00A549AA"/>
    <w:rsid w:val="00A5641E"/>
    <w:rsid w:val="00A62941"/>
    <w:rsid w:val="00A63E97"/>
    <w:rsid w:val="00A63EB3"/>
    <w:rsid w:val="00A64505"/>
    <w:rsid w:val="00A666EC"/>
    <w:rsid w:val="00A676CB"/>
    <w:rsid w:val="00A6774C"/>
    <w:rsid w:val="00A6777B"/>
    <w:rsid w:val="00A67E67"/>
    <w:rsid w:val="00A70E0E"/>
    <w:rsid w:val="00A7178F"/>
    <w:rsid w:val="00A721AD"/>
    <w:rsid w:val="00A752CB"/>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2C59"/>
    <w:rsid w:val="00A93E69"/>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CB4"/>
    <w:rsid w:val="00AC4241"/>
    <w:rsid w:val="00AC6007"/>
    <w:rsid w:val="00AC6B73"/>
    <w:rsid w:val="00AC7DCC"/>
    <w:rsid w:val="00AD0AD5"/>
    <w:rsid w:val="00AD2376"/>
    <w:rsid w:val="00AD334A"/>
    <w:rsid w:val="00AD45B0"/>
    <w:rsid w:val="00AD5AA8"/>
    <w:rsid w:val="00AD6318"/>
    <w:rsid w:val="00AD6CC6"/>
    <w:rsid w:val="00AE01FD"/>
    <w:rsid w:val="00AE27CE"/>
    <w:rsid w:val="00AE30EB"/>
    <w:rsid w:val="00AE34CE"/>
    <w:rsid w:val="00AE3D2A"/>
    <w:rsid w:val="00AE491D"/>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97A"/>
    <w:rsid w:val="00AF3DB4"/>
    <w:rsid w:val="00AF480B"/>
    <w:rsid w:val="00AF4E99"/>
    <w:rsid w:val="00B000E3"/>
    <w:rsid w:val="00B01F58"/>
    <w:rsid w:val="00B02ACB"/>
    <w:rsid w:val="00B033B4"/>
    <w:rsid w:val="00B04148"/>
    <w:rsid w:val="00B0468C"/>
    <w:rsid w:val="00B046C2"/>
    <w:rsid w:val="00B04AB1"/>
    <w:rsid w:val="00B06409"/>
    <w:rsid w:val="00B06CD4"/>
    <w:rsid w:val="00B10C19"/>
    <w:rsid w:val="00B11B6F"/>
    <w:rsid w:val="00B11C2C"/>
    <w:rsid w:val="00B11DE8"/>
    <w:rsid w:val="00B1396A"/>
    <w:rsid w:val="00B1422E"/>
    <w:rsid w:val="00B14460"/>
    <w:rsid w:val="00B14B67"/>
    <w:rsid w:val="00B14E33"/>
    <w:rsid w:val="00B1560D"/>
    <w:rsid w:val="00B164E9"/>
    <w:rsid w:val="00B16DC5"/>
    <w:rsid w:val="00B170E9"/>
    <w:rsid w:val="00B20D7E"/>
    <w:rsid w:val="00B22DE0"/>
    <w:rsid w:val="00B22E16"/>
    <w:rsid w:val="00B23C54"/>
    <w:rsid w:val="00B24058"/>
    <w:rsid w:val="00B25018"/>
    <w:rsid w:val="00B252EB"/>
    <w:rsid w:val="00B2584E"/>
    <w:rsid w:val="00B25868"/>
    <w:rsid w:val="00B25E9F"/>
    <w:rsid w:val="00B26A7C"/>
    <w:rsid w:val="00B30B66"/>
    <w:rsid w:val="00B30CA0"/>
    <w:rsid w:val="00B31403"/>
    <w:rsid w:val="00B32FAE"/>
    <w:rsid w:val="00B3337E"/>
    <w:rsid w:val="00B33674"/>
    <w:rsid w:val="00B33F92"/>
    <w:rsid w:val="00B3538F"/>
    <w:rsid w:val="00B360AF"/>
    <w:rsid w:val="00B361B8"/>
    <w:rsid w:val="00B362EC"/>
    <w:rsid w:val="00B40C2B"/>
    <w:rsid w:val="00B437A5"/>
    <w:rsid w:val="00B437F3"/>
    <w:rsid w:val="00B43971"/>
    <w:rsid w:val="00B43C6D"/>
    <w:rsid w:val="00B4432B"/>
    <w:rsid w:val="00B44ED0"/>
    <w:rsid w:val="00B4666D"/>
    <w:rsid w:val="00B46EBD"/>
    <w:rsid w:val="00B472B5"/>
    <w:rsid w:val="00B47585"/>
    <w:rsid w:val="00B4760E"/>
    <w:rsid w:val="00B476ED"/>
    <w:rsid w:val="00B51A76"/>
    <w:rsid w:val="00B51ECA"/>
    <w:rsid w:val="00B51FB4"/>
    <w:rsid w:val="00B5304C"/>
    <w:rsid w:val="00B55784"/>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4763"/>
    <w:rsid w:val="00B80398"/>
    <w:rsid w:val="00B8166D"/>
    <w:rsid w:val="00B82997"/>
    <w:rsid w:val="00B82C9C"/>
    <w:rsid w:val="00B83D79"/>
    <w:rsid w:val="00B8480F"/>
    <w:rsid w:val="00B84DC1"/>
    <w:rsid w:val="00B86864"/>
    <w:rsid w:val="00B86868"/>
    <w:rsid w:val="00B902CA"/>
    <w:rsid w:val="00B9071C"/>
    <w:rsid w:val="00B90D62"/>
    <w:rsid w:val="00B90E5E"/>
    <w:rsid w:val="00B90F08"/>
    <w:rsid w:val="00B911E2"/>
    <w:rsid w:val="00B913ED"/>
    <w:rsid w:val="00B92198"/>
    <w:rsid w:val="00B92336"/>
    <w:rsid w:val="00B93047"/>
    <w:rsid w:val="00B93D09"/>
    <w:rsid w:val="00B9545A"/>
    <w:rsid w:val="00B9563C"/>
    <w:rsid w:val="00B957B3"/>
    <w:rsid w:val="00B976F7"/>
    <w:rsid w:val="00B97C7C"/>
    <w:rsid w:val="00BA15FE"/>
    <w:rsid w:val="00BA18E8"/>
    <w:rsid w:val="00BA3233"/>
    <w:rsid w:val="00BA40D6"/>
    <w:rsid w:val="00BA4C76"/>
    <w:rsid w:val="00BA57BE"/>
    <w:rsid w:val="00BA5ED9"/>
    <w:rsid w:val="00BA5FB9"/>
    <w:rsid w:val="00BA6B79"/>
    <w:rsid w:val="00BA6BC1"/>
    <w:rsid w:val="00BA6D8A"/>
    <w:rsid w:val="00BA7476"/>
    <w:rsid w:val="00BA7FB3"/>
    <w:rsid w:val="00BB14A2"/>
    <w:rsid w:val="00BB14DF"/>
    <w:rsid w:val="00BB1B2F"/>
    <w:rsid w:val="00BB35EF"/>
    <w:rsid w:val="00BB4445"/>
    <w:rsid w:val="00BB44BD"/>
    <w:rsid w:val="00BB476F"/>
    <w:rsid w:val="00BB4D5B"/>
    <w:rsid w:val="00BB5939"/>
    <w:rsid w:val="00BB6030"/>
    <w:rsid w:val="00BC0EA8"/>
    <w:rsid w:val="00BC161B"/>
    <w:rsid w:val="00BC1A66"/>
    <w:rsid w:val="00BC2230"/>
    <w:rsid w:val="00BC299A"/>
    <w:rsid w:val="00BC3625"/>
    <w:rsid w:val="00BC3D55"/>
    <w:rsid w:val="00BC4B54"/>
    <w:rsid w:val="00BC4F09"/>
    <w:rsid w:val="00BC5354"/>
    <w:rsid w:val="00BC6142"/>
    <w:rsid w:val="00BC63BB"/>
    <w:rsid w:val="00BD0C92"/>
    <w:rsid w:val="00BD19A5"/>
    <w:rsid w:val="00BD2D6A"/>
    <w:rsid w:val="00BD3E44"/>
    <w:rsid w:val="00BD3F83"/>
    <w:rsid w:val="00BD41A7"/>
    <w:rsid w:val="00BD4316"/>
    <w:rsid w:val="00BD645C"/>
    <w:rsid w:val="00BE13E0"/>
    <w:rsid w:val="00BE1CD3"/>
    <w:rsid w:val="00BE2541"/>
    <w:rsid w:val="00BE2758"/>
    <w:rsid w:val="00BE41BB"/>
    <w:rsid w:val="00BE51D5"/>
    <w:rsid w:val="00BE5786"/>
    <w:rsid w:val="00BE6A11"/>
    <w:rsid w:val="00BE794A"/>
    <w:rsid w:val="00BF0936"/>
    <w:rsid w:val="00BF0A89"/>
    <w:rsid w:val="00BF138D"/>
    <w:rsid w:val="00BF181C"/>
    <w:rsid w:val="00BF1A55"/>
    <w:rsid w:val="00BF3B51"/>
    <w:rsid w:val="00BF3BF5"/>
    <w:rsid w:val="00BF4EBD"/>
    <w:rsid w:val="00BF54AE"/>
    <w:rsid w:val="00BF5C4F"/>
    <w:rsid w:val="00BF60CD"/>
    <w:rsid w:val="00BF724E"/>
    <w:rsid w:val="00BF7273"/>
    <w:rsid w:val="00BF73EE"/>
    <w:rsid w:val="00BF7CDE"/>
    <w:rsid w:val="00C000EC"/>
    <w:rsid w:val="00C005E9"/>
    <w:rsid w:val="00C00918"/>
    <w:rsid w:val="00C02345"/>
    <w:rsid w:val="00C02B2A"/>
    <w:rsid w:val="00C03376"/>
    <w:rsid w:val="00C048E4"/>
    <w:rsid w:val="00C04FA0"/>
    <w:rsid w:val="00C051DB"/>
    <w:rsid w:val="00C05C54"/>
    <w:rsid w:val="00C077E7"/>
    <w:rsid w:val="00C07CB0"/>
    <w:rsid w:val="00C10E60"/>
    <w:rsid w:val="00C114BE"/>
    <w:rsid w:val="00C118ED"/>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6106"/>
    <w:rsid w:val="00C26B71"/>
    <w:rsid w:val="00C27794"/>
    <w:rsid w:val="00C309EF"/>
    <w:rsid w:val="00C313BD"/>
    <w:rsid w:val="00C31420"/>
    <w:rsid w:val="00C3226C"/>
    <w:rsid w:val="00C33C58"/>
    <w:rsid w:val="00C36075"/>
    <w:rsid w:val="00C3623A"/>
    <w:rsid w:val="00C41909"/>
    <w:rsid w:val="00C41B1A"/>
    <w:rsid w:val="00C426FD"/>
    <w:rsid w:val="00C43446"/>
    <w:rsid w:val="00C43628"/>
    <w:rsid w:val="00C437CC"/>
    <w:rsid w:val="00C44D05"/>
    <w:rsid w:val="00C4510F"/>
    <w:rsid w:val="00C463BD"/>
    <w:rsid w:val="00C47406"/>
    <w:rsid w:val="00C510B8"/>
    <w:rsid w:val="00C51487"/>
    <w:rsid w:val="00C53443"/>
    <w:rsid w:val="00C5382D"/>
    <w:rsid w:val="00C5431B"/>
    <w:rsid w:val="00C54362"/>
    <w:rsid w:val="00C5437C"/>
    <w:rsid w:val="00C54519"/>
    <w:rsid w:val="00C57131"/>
    <w:rsid w:val="00C572A2"/>
    <w:rsid w:val="00C573D8"/>
    <w:rsid w:val="00C6124F"/>
    <w:rsid w:val="00C624BA"/>
    <w:rsid w:val="00C634DE"/>
    <w:rsid w:val="00C63770"/>
    <w:rsid w:val="00C63A17"/>
    <w:rsid w:val="00C64BBA"/>
    <w:rsid w:val="00C6544D"/>
    <w:rsid w:val="00C6564B"/>
    <w:rsid w:val="00C66143"/>
    <w:rsid w:val="00C66177"/>
    <w:rsid w:val="00C66D18"/>
    <w:rsid w:val="00C71424"/>
    <w:rsid w:val="00C71C2C"/>
    <w:rsid w:val="00C757D3"/>
    <w:rsid w:val="00C7588F"/>
    <w:rsid w:val="00C761EF"/>
    <w:rsid w:val="00C76D1C"/>
    <w:rsid w:val="00C77C33"/>
    <w:rsid w:val="00C77E0A"/>
    <w:rsid w:val="00C8063E"/>
    <w:rsid w:val="00C80E34"/>
    <w:rsid w:val="00C85210"/>
    <w:rsid w:val="00C85D4B"/>
    <w:rsid w:val="00C85FE2"/>
    <w:rsid w:val="00C86D6C"/>
    <w:rsid w:val="00C87DFC"/>
    <w:rsid w:val="00C9002D"/>
    <w:rsid w:val="00C9066D"/>
    <w:rsid w:val="00C90BD5"/>
    <w:rsid w:val="00C92A90"/>
    <w:rsid w:val="00C9527B"/>
    <w:rsid w:val="00C95811"/>
    <w:rsid w:val="00C9654C"/>
    <w:rsid w:val="00CA0132"/>
    <w:rsid w:val="00CA08C4"/>
    <w:rsid w:val="00CA115B"/>
    <w:rsid w:val="00CA39BF"/>
    <w:rsid w:val="00CA4E49"/>
    <w:rsid w:val="00CA6632"/>
    <w:rsid w:val="00CA6E06"/>
    <w:rsid w:val="00CA7310"/>
    <w:rsid w:val="00CA7C1D"/>
    <w:rsid w:val="00CB1277"/>
    <w:rsid w:val="00CB12D9"/>
    <w:rsid w:val="00CB13E1"/>
    <w:rsid w:val="00CB248F"/>
    <w:rsid w:val="00CB2654"/>
    <w:rsid w:val="00CB290D"/>
    <w:rsid w:val="00CB31E1"/>
    <w:rsid w:val="00CB394F"/>
    <w:rsid w:val="00CB3E9B"/>
    <w:rsid w:val="00CB503B"/>
    <w:rsid w:val="00CB56FB"/>
    <w:rsid w:val="00CB5A4B"/>
    <w:rsid w:val="00CB5AC8"/>
    <w:rsid w:val="00CB6AC2"/>
    <w:rsid w:val="00CB6E04"/>
    <w:rsid w:val="00CB7CFA"/>
    <w:rsid w:val="00CC1887"/>
    <w:rsid w:val="00CC23D1"/>
    <w:rsid w:val="00CC2CD1"/>
    <w:rsid w:val="00CC35E1"/>
    <w:rsid w:val="00CC51ED"/>
    <w:rsid w:val="00CC53AA"/>
    <w:rsid w:val="00CC5B83"/>
    <w:rsid w:val="00CC5CE3"/>
    <w:rsid w:val="00CC6D21"/>
    <w:rsid w:val="00CC7F14"/>
    <w:rsid w:val="00CD2CE4"/>
    <w:rsid w:val="00CD4AD9"/>
    <w:rsid w:val="00CD5A72"/>
    <w:rsid w:val="00CD7087"/>
    <w:rsid w:val="00CD795C"/>
    <w:rsid w:val="00CE0B00"/>
    <w:rsid w:val="00CE0B23"/>
    <w:rsid w:val="00CE29C9"/>
    <w:rsid w:val="00CE2C52"/>
    <w:rsid w:val="00CE2CF9"/>
    <w:rsid w:val="00CE3974"/>
    <w:rsid w:val="00CE3B76"/>
    <w:rsid w:val="00CE5D4C"/>
    <w:rsid w:val="00CE62C5"/>
    <w:rsid w:val="00CE6FB3"/>
    <w:rsid w:val="00CE7513"/>
    <w:rsid w:val="00CF06A7"/>
    <w:rsid w:val="00CF1777"/>
    <w:rsid w:val="00CF291A"/>
    <w:rsid w:val="00CF298C"/>
    <w:rsid w:val="00CF2BCF"/>
    <w:rsid w:val="00CF3629"/>
    <w:rsid w:val="00CF3750"/>
    <w:rsid w:val="00CF3837"/>
    <w:rsid w:val="00CF3C10"/>
    <w:rsid w:val="00CF6365"/>
    <w:rsid w:val="00CF64F9"/>
    <w:rsid w:val="00CF732E"/>
    <w:rsid w:val="00CF73D1"/>
    <w:rsid w:val="00D0059E"/>
    <w:rsid w:val="00D00FF1"/>
    <w:rsid w:val="00D023D9"/>
    <w:rsid w:val="00D036C2"/>
    <w:rsid w:val="00D03992"/>
    <w:rsid w:val="00D03EC6"/>
    <w:rsid w:val="00D04B57"/>
    <w:rsid w:val="00D051A0"/>
    <w:rsid w:val="00D05306"/>
    <w:rsid w:val="00D05744"/>
    <w:rsid w:val="00D05A33"/>
    <w:rsid w:val="00D05B9D"/>
    <w:rsid w:val="00D06250"/>
    <w:rsid w:val="00D0793D"/>
    <w:rsid w:val="00D079E7"/>
    <w:rsid w:val="00D10E21"/>
    <w:rsid w:val="00D12B2A"/>
    <w:rsid w:val="00D139CC"/>
    <w:rsid w:val="00D13DF2"/>
    <w:rsid w:val="00D13E79"/>
    <w:rsid w:val="00D140D3"/>
    <w:rsid w:val="00D15189"/>
    <w:rsid w:val="00D152C8"/>
    <w:rsid w:val="00D166E8"/>
    <w:rsid w:val="00D16FFE"/>
    <w:rsid w:val="00D17E22"/>
    <w:rsid w:val="00D20AD2"/>
    <w:rsid w:val="00D21513"/>
    <w:rsid w:val="00D2237D"/>
    <w:rsid w:val="00D23BEE"/>
    <w:rsid w:val="00D2500E"/>
    <w:rsid w:val="00D27F58"/>
    <w:rsid w:val="00D31858"/>
    <w:rsid w:val="00D318A5"/>
    <w:rsid w:val="00D31A22"/>
    <w:rsid w:val="00D3333F"/>
    <w:rsid w:val="00D3354C"/>
    <w:rsid w:val="00D34D6A"/>
    <w:rsid w:val="00D34F58"/>
    <w:rsid w:val="00D34FC4"/>
    <w:rsid w:val="00D36060"/>
    <w:rsid w:val="00D360D8"/>
    <w:rsid w:val="00D369F5"/>
    <w:rsid w:val="00D36F21"/>
    <w:rsid w:val="00D378FB"/>
    <w:rsid w:val="00D37F01"/>
    <w:rsid w:val="00D430A2"/>
    <w:rsid w:val="00D43BB1"/>
    <w:rsid w:val="00D43C47"/>
    <w:rsid w:val="00D4433E"/>
    <w:rsid w:val="00D47F0E"/>
    <w:rsid w:val="00D506C4"/>
    <w:rsid w:val="00D5090D"/>
    <w:rsid w:val="00D5145D"/>
    <w:rsid w:val="00D51795"/>
    <w:rsid w:val="00D51F35"/>
    <w:rsid w:val="00D52C59"/>
    <w:rsid w:val="00D52F09"/>
    <w:rsid w:val="00D5415A"/>
    <w:rsid w:val="00D54CDE"/>
    <w:rsid w:val="00D55D98"/>
    <w:rsid w:val="00D55EFE"/>
    <w:rsid w:val="00D562F8"/>
    <w:rsid w:val="00D56A84"/>
    <w:rsid w:val="00D57545"/>
    <w:rsid w:val="00D617D4"/>
    <w:rsid w:val="00D6192A"/>
    <w:rsid w:val="00D62BDD"/>
    <w:rsid w:val="00D63A0A"/>
    <w:rsid w:val="00D67D44"/>
    <w:rsid w:val="00D67D5E"/>
    <w:rsid w:val="00D70222"/>
    <w:rsid w:val="00D70B60"/>
    <w:rsid w:val="00D714B6"/>
    <w:rsid w:val="00D720CB"/>
    <w:rsid w:val="00D72695"/>
    <w:rsid w:val="00D72C39"/>
    <w:rsid w:val="00D733A2"/>
    <w:rsid w:val="00D73A66"/>
    <w:rsid w:val="00D779AA"/>
    <w:rsid w:val="00D80D65"/>
    <w:rsid w:val="00D80D74"/>
    <w:rsid w:val="00D80DEB"/>
    <w:rsid w:val="00D81054"/>
    <w:rsid w:val="00D833B7"/>
    <w:rsid w:val="00D83EA4"/>
    <w:rsid w:val="00D867A0"/>
    <w:rsid w:val="00D8700D"/>
    <w:rsid w:val="00D90546"/>
    <w:rsid w:val="00D9168B"/>
    <w:rsid w:val="00D91948"/>
    <w:rsid w:val="00D924B0"/>
    <w:rsid w:val="00D924D4"/>
    <w:rsid w:val="00D92F0C"/>
    <w:rsid w:val="00D9349B"/>
    <w:rsid w:val="00D93EF4"/>
    <w:rsid w:val="00D9483B"/>
    <w:rsid w:val="00D96A59"/>
    <w:rsid w:val="00D9762D"/>
    <w:rsid w:val="00DA0E3E"/>
    <w:rsid w:val="00DA1602"/>
    <w:rsid w:val="00DA1C46"/>
    <w:rsid w:val="00DA28FE"/>
    <w:rsid w:val="00DA40B1"/>
    <w:rsid w:val="00DA734B"/>
    <w:rsid w:val="00DA7C22"/>
    <w:rsid w:val="00DB06A7"/>
    <w:rsid w:val="00DB130C"/>
    <w:rsid w:val="00DB3066"/>
    <w:rsid w:val="00DB306A"/>
    <w:rsid w:val="00DB3EEE"/>
    <w:rsid w:val="00DB53CB"/>
    <w:rsid w:val="00DB6E3C"/>
    <w:rsid w:val="00DC071A"/>
    <w:rsid w:val="00DC1DBB"/>
    <w:rsid w:val="00DC2041"/>
    <w:rsid w:val="00DC26E2"/>
    <w:rsid w:val="00DC2C44"/>
    <w:rsid w:val="00DC2D14"/>
    <w:rsid w:val="00DC32DF"/>
    <w:rsid w:val="00DC3FBB"/>
    <w:rsid w:val="00DC4699"/>
    <w:rsid w:val="00DC5476"/>
    <w:rsid w:val="00DC6C1F"/>
    <w:rsid w:val="00DD176A"/>
    <w:rsid w:val="00DD5350"/>
    <w:rsid w:val="00DD5C67"/>
    <w:rsid w:val="00DD6AF6"/>
    <w:rsid w:val="00DD7038"/>
    <w:rsid w:val="00DE01AB"/>
    <w:rsid w:val="00DE01B6"/>
    <w:rsid w:val="00DE047F"/>
    <w:rsid w:val="00DE0BFD"/>
    <w:rsid w:val="00DE0F8F"/>
    <w:rsid w:val="00DE155C"/>
    <w:rsid w:val="00DE1FCD"/>
    <w:rsid w:val="00DE2B0B"/>
    <w:rsid w:val="00DE3563"/>
    <w:rsid w:val="00DE4BEA"/>
    <w:rsid w:val="00DE506F"/>
    <w:rsid w:val="00DE5CF7"/>
    <w:rsid w:val="00DE7226"/>
    <w:rsid w:val="00DE7AB4"/>
    <w:rsid w:val="00DF2331"/>
    <w:rsid w:val="00DF2782"/>
    <w:rsid w:val="00DF2A91"/>
    <w:rsid w:val="00DF2BBE"/>
    <w:rsid w:val="00DF2C33"/>
    <w:rsid w:val="00DF31CA"/>
    <w:rsid w:val="00DF3565"/>
    <w:rsid w:val="00DF407B"/>
    <w:rsid w:val="00DF620C"/>
    <w:rsid w:val="00DF7F12"/>
    <w:rsid w:val="00E01062"/>
    <w:rsid w:val="00E010F0"/>
    <w:rsid w:val="00E01EB9"/>
    <w:rsid w:val="00E02D39"/>
    <w:rsid w:val="00E05911"/>
    <w:rsid w:val="00E077F0"/>
    <w:rsid w:val="00E07AA3"/>
    <w:rsid w:val="00E1180E"/>
    <w:rsid w:val="00E12AB3"/>
    <w:rsid w:val="00E1311E"/>
    <w:rsid w:val="00E136A0"/>
    <w:rsid w:val="00E14E2D"/>
    <w:rsid w:val="00E1522A"/>
    <w:rsid w:val="00E166CC"/>
    <w:rsid w:val="00E16F0C"/>
    <w:rsid w:val="00E17A88"/>
    <w:rsid w:val="00E17C03"/>
    <w:rsid w:val="00E2026E"/>
    <w:rsid w:val="00E2304B"/>
    <w:rsid w:val="00E23DF5"/>
    <w:rsid w:val="00E24010"/>
    <w:rsid w:val="00E2462E"/>
    <w:rsid w:val="00E2688F"/>
    <w:rsid w:val="00E26ADB"/>
    <w:rsid w:val="00E27DE9"/>
    <w:rsid w:val="00E30ACC"/>
    <w:rsid w:val="00E31CF5"/>
    <w:rsid w:val="00E35449"/>
    <w:rsid w:val="00E355A8"/>
    <w:rsid w:val="00E357A1"/>
    <w:rsid w:val="00E36570"/>
    <w:rsid w:val="00E3671B"/>
    <w:rsid w:val="00E37FC2"/>
    <w:rsid w:val="00E407EB"/>
    <w:rsid w:val="00E40BBC"/>
    <w:rsid w:val="00E4121B"/>
    <w:rsid w:val="00E43DE3"/>
    <w:rsid w:val="00E453A1"/>
    <w:rsid w:val="00E45689"/>
    <w:rsid w:val="00E458B0"/>
    <w:rsid w:val="00E5134C"/>
    <w:rsid w:val="00E51ECD"/>
    <w:rsid w:val="00E51FEF"/>
    <w:rsid w:val="00E53E5E"/>
    <w:rsid w:val="00E53FD0"/>
    <w:rsid w:val="00E549F6"/>
    <w:rsid w:val="00E54B54"/>
    <w:rsid w:val="00E54D05"/>
    <w:rsid w:val="00E567BC"/>
    <w:rsid w:val="00E56BF7"/>
    <w:rsid w:val="00E56CA8"/>
    <w:rsid w:val="00E57922"/>
    <w:rsid w:val="00E57B54"/>
    <w:rsid w:val="00E6144C"/>
    <w:rsid w:val="00E61724"/>
    <w:rsid w:val="00E63FD9"/>
    <w:rsid w:val="00E64438"/>
    <w:rsid w:val="00E64857"/>
    <w:rsid w:val="00E6560A"/>
    <w:rsid w:val="00E6662D"/>
    <w:rsid w:val="00E67BE6"/>
    <w:rsid w:val="00E67D87"/>
    <w:rsid w:val="00E7029D"/>
    <w:rsid w:val="00E720D5"/>
    <w:rsid w:val="00E720DA"/>
    <w:rsid w:val="00E744E0"/>
    <w:rsid w:val="00E74F8F"/>
    <w:rsid w:val="00E75C6A"/>
    <w:rsid w:val="00E76F26"/>
    <w:rsid w:val="00E77DDE"/>
    <w:rsid w:val="00E80E7E"/>
    <w:rsid w:val="00E8199F"/>
    <w:rsid w:val="00E82CD7"/>
    <w:rsid w:val="00E836CB"/>
    <w:rsid w:val="00E86035"/>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4638"/>
    <w:rsid w:val="00EC5295"/>
    <w:rsid w:val="00EC6182"/>
    <w:rsid w:val="00EC61F1"/>
    <w:rsid w:val="00EC6940"/>
    <w:rsid w:val="00EC7441"/>
    <w:rsid w:val="00ED0D78"/>
    <w:rsid w:val="00ED10E5"/>
    <w:rsid w:val="00ED1B02"/>
    <w:rsid w:val="00ED4D4F"/>
    <w:rsid w:val="00ED518A"/>
    <w:rsid w:val="00ED63B2"/>
    <w:rsid w:val="00ED6A5E"/>
    <w:rsid w:val="00ED74F9"/>
    <w:rsid w:val="00EE03F8"/>
    <w:rsid w:val="00EE1324"/>
    <w:rsid w:val="00EE365F"/>
    <w:rsid w:val="00EE410E"/>
    <w:rsid w:val="00EE47DB"/>
    <w:rsid w:val="00EE4CC2"/>
    <w:rsid w:val="00EE5479"/>
    <w:rsid w:val="00EE5A07"/>
    <w:rsid w:val="00EF2FDB"/>
    <w:rsid w:val="00EF32D3"/>
    <w:rsid w:val="00EF373C"/>
    <w:rsid w:val="00EF417A"/>
    <w:rsid w:val="00EF4925"/>
    <w:rsid w:val="00EF4958"/>
    <w:rsid w:val="00EF4B8B"/>
    <w:rsid w:val="00EF5178"/>
    <w:rsid w:val="00EF5DE9"/>
    <w:rsid w:val="00EF720B"/>
    <w:rsid w:val="00EF7299"/>
    <w:rsid w:val="00EF732C"/>
    <w:rsid w:val="00F002BC"/>
    <w:rsid w:val="00F00DFF"/>
    <w:rsid w:val="00F02353"/>
    <w:rsid w:val="00F03DC4"/>
    <w:rsid w:val="00F04F9A"/>
    <w:rsid w:val="00F05F13"/>
    <w:rsid w:val="00F06BCB"/>
    <w:rsid w:val="00F0781F"/>
    <w:rsid w:val="00F07836"/>
    <w:rsid w:val="00F07A0F"/>
    <w:rsid w:val="00F10B23"/>
    <w:rsid w:val="00F11AF1"/>
    <w:rsid w:val="00F127DB"/>
    <w:rsid w:val="00F12A57"/>
    <w:rsid w:val="00F13099"/>
    <w:rsid w:val="00F13601"/>
    <w:rsid w:val="00F1459F"/>
    <w:rsid w:val="00F15897"/>
    <w:rsid w:val="00F16EDB"/>
    <w:rsid w:val="00F174CB"/>
    <w:rsid w:val="00F179AD"/>
    <w:rsid w:val="00F21062"/>
    <w:rsid w:val="00F2182F"/>
    <w:rsid w:val="00F22962"/>
    <w:rsid w:val="00F22B6F"/>
    <w:rsid w:val="00F234B6"/>
    <w:rsid w:val="00F237B3"/>
    <w:rsid w:val="00F23DC6"/>
    <w:rsid w:val="00F24024"/>
    <w:rsid w:val="00F250C1"/>
    <w:rsid w:val="00F25DA2"/>
    <w:rsid w:val="00F27BF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5DB"/>
    <w:rsid w:val="00F4231F"/>
    <w:rsid w:val="00F43271"/>
    <w:rsid w:val="00F43516"/>
    <w:rsid w:val="00F4522C"/>
    <w:rsid w:val="00F45A88"/>
    <w:rsid w:val="00F45D51"/>
    <w:rsid w:val="00F46670"/>
    <w:rsid w:val="00F47552"/>
    <w:rsid w:val="00F50384"/>
    <w:rsid w:val="00F50E87"/>
    <w:rsid w:val="00F51343"/>
    <w:rsid w:val="00F516B7"/>
    <w:rsid w:val="00F5198C"/>
    <w:rsid w:val="00F52664"/>
    <w:rsid w:val="00F531EE"/>
    <w:rsid w:val="00F537D0"/>
    <w:rsid w:val="00F54842"/>
    <w:rsid w:val="00F54884"/>
    <w:rsid w:val="00F55072"/>
    <w:rsid w:val="00F55C3F"/>
    <w:rsid w:val="00F55F5E"/>
    <w:rsid w:val="00F5674A"/>
    <w:rsid w:val="00F60437"/>
    <w:rsid w:val="00F6183B"/>
    <w:rsid w:val="00F61F65"/>
    <w:rsid w:val="00F63553"/>
    <w:rsid w:val="00F63E60"/>
    <w:rsid w:val="00F64F27"/>
    <w:rsid w:val="00F65191"/>
    <w:rsid w:val="00F65AC4"/>
    <w:rsid w:val="00F66268"/>
    <w:rsid w:val="00F6630A"/>
    <w:rsid w:val="00F67487"/>
    <w:rsid w:val="00F706F3"/>
    <w:rsid w:val="00F723F1"/>
    <w:rsid w:val="00F72502"/>
    <w:rsid w:val="00F72AD4"/>
    <w:rsid w:val="00F7468A"/>
    <w:rsid w:val="00F7595C"/>
    <w:rsid w:val="00F75E0D"/>
    <w:rsid w:val="00F767A3"/>
    <w:rsid w:val="00F77215"/>
    <w:rsid w:val="00F77253"/>
    <w:rsid w:val="00F773E6"/>
    <w:rsid w:val="00F77990"/>
    <w:rsid w:val="00F77C81"/>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106"/>
    <w:rsid w:val="00F93088"/>
    <w:rsid w:val="00F95A33"/>
    <w:rsid w:val="00F96507"/>
    <w:rsid w:val="00F96F0B"/>
    <w:rsid w:val="00F97748"/>
    <w:rsid w:val="00FA1412"/>
    <w:rsid w:val="00FA2EEF"/>
    <w:rsid w:val="00FA4F2C"/>
    <w:rsid w:val="00FA5A50"/>
    <w:rsid w:val="00FA6401"/>
    <w:rsid w:val="00FA7CA8"/>
    <w:rsid w:val="00FB0E37"/>
    <w:rsid w:val="00FB112E"/>
    <w:rsid w:val="00FB18FF"/>
    <w:rsid w:val="00FB3826"/>
    <w:rsid w:val="00FB3D97"/>
    <w:rsid w:val="00FB4077"/>
    <w:rsid w:val="00FB40AD"/>
    <w:rsid w:val="00FB445C"/>
    <w:rsid w:val="00FB4894"/>
    <w:rsid w:val="00FB77BF"/>
    <w:rsid w:val="00FB78A7"/>
    <w:rsid w:val="00FC178B"/>
    <w:rsid w:val="00FC2B27"/>
    <w:rsid w:val="00FC2DCE"/>
    <w:rsid w:val="00FC3E39"/>
    <w:rsid w:val="00FC41D2"/>
    <w:rsid w:val="00FC572E"/>
    <w:rsid w:val="00FC5928"/>
    <w:rsid w:val="00FC613B"/>
    <w:rsid w:val="00FC69F6"/>
    <w:rsid w:val="00FC7140"/>
    <w:rsid w:val="00FD01B4"/>
    <w:rsid w:val="00FD1187"/>
    <w:rsid w:val="00FD1A9C"/>
    <w:rsid w:val="00FD22C0"/>
    <w:rsid w:val="00FD2B4F"/>
    <w:rsid w:val="00FD2FEE"/>
    <w:rsid w:val="00FD39D8"/>
    <w:rsid w:val="00FD3FB8"/>
    <w:rsid w:val="00FD4038"/>
    <w:rsid w:val="00FD44E3"/>
    <w:rsid w:val="00FD4AF9"/>
    <w:rsid w:val="00FD6BAE"/>
    <w:rsid w:val="00FD6FBB"/>
    <w:rsid w:val="00FD74BC"/>
    <w:rsid w:val="00FD768C"/>
    <w:rsid w:val="00FD7F59"/>
    <w:rsid w:val="00FE00E6"/>
    <w:rsid w:val="00FE08FC"/>
    <w:rsid w:val="00FE140B"/>
    <w:rsid w:val="00FE205F"/>
    <w:rsid w:val="00FE3FFD"/>
    <w:rsid w:val="00FE4E79"/>
    <w:rsid w:val="00FE5D9F"/>
    <w:rsid w:val="00FE6335"/>
    <w:rsid w:val="00FE6510"/>
    <w:rsid w:val="00FE72BC"/>
    <w:rsid w:val="00FE7FAA"/>
    <w:rsid w:val="00FF0118"/>
    <w:rsid w:val="00FF1017"/>
    <w:rsid w:val="00FF2813"/>
    <w:rsid w:val="00FF3073"/>
    <w:rsid w:val="00FF31D1"/>
    <w:rsid w:val="00FF3F8D"/>
    <w:rsid w:val="00FF3F9C"/>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semiHidden/>
    <w:unhideWhenUsed/>
    <w:rsid w:val="00A818A1"/>
    <w:pPr>
      <w:spacing w:after="120"/>
      <w:ind w:left="360"/>
    </w:pPr>
  </w:style>
  <w:style w:type="character" w:customStyle="1" w:styleId="BodyTextIndentChar">
    <w:name w:val="Body Text Indent Char"/>
    <w:basedOn w:val="DefaultParagraphFont"/>
    <w:link w:val="BodyTextIndent"/>
    <w:semiHidden/>
    <w:rsid w:val="00A81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DAE10FD6C846AC1CDC91C6DA4C5D" ma:contentTypeVersion="16" ma:contentTypeDescription="Create a new document." ma:contentTypeScope="" ma:versionID="5ce20755dc53f14a5b45b5fe708001b7">
  <xsd:schema xmlns:xsd="http://www.w3.org/2001/XMLSchema" xmlns:xs="http://www.w3.org/2001/XMLSchema" xmlns:p="http://schemas.microsoft.com/office/2006/metadata/properties" xmlns:ns2="7c2a9adb-fdcc-4f75-9422-5ebd668d467e" xmlns:ns3="826143e3-bbcb-45bb-8829-107013e701e5" xmlns:ns4="3c9e15a3-223f-4584-afb1-1dbe0b3878fa" targetNamespace="http://schemas.microsoft.com/office/2006/metadata/properties" ma:root="true" ma:fieldsID="2fa032cd963e87300e69e3dc49ddd143" ns2:_="" ns3:_="" ns4:_="">
    <xsd:import namespace="7c2a9adb-fdcc-4f75-9422-5ebd668d467e"/>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Test"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9adb-fdcc-4f75-9422-5ebd668d4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est" ma:index="15" nillable="true" ma:displayName="Last Copy Back" ma:format="DateOnly" ma:internalName="Test">
      <xsd:simpleType>
        <xsd:restriction base="dms:DateTim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7c2a9adb-fdcc-4f75-9422-5ebd668d467e">
      <Terms xmlns="http://schemas.microsoft.com/office/infopath/2007/PartnerControls"/>
    </lcf76f155ced4ddcb4097134ff3c332f>
    <Test xmlns="7c2a9adb-fdcc-4f75-9422-5ebd668d467e">2025-03-24T05:00:00+00:00</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A0767-5A7F-49E3-B817-A2B7869F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9adb-fdcc-4f75-9422-5ebd668d467e"/>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7c2a9adb-fdcc-4f75-9422-5ebd668d467e"/>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2696</Words>
  <Characters>14641</Characters>
  <Application>Microsoft Office Word</Application>
  <DocSecurity>0</DocSecurity>
  <Lines>248</Lines>
  <Paragraphs>90</Paragraphs>
  <ScaleCrop>false</ScaleCrop>
  <Company>NAIC</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181</cp:revision>
  <cp:lastPrinted>2011-03-02T00:07:00Z</cp:lastPrinted>
  <dcterms:created xsi:type="dcterms:W3CDTF">2023-05-02T18:57:00Z</dcterms:created>
  <dcterms:modified xsi:type="dcterms:W3CDTF">2026-04-22T12:26:00Z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0x01010061C3DAE10FD6C846AC1CDC91C6DA4C5D</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2023-08-13T05:00:00Z</vt:filetime>
  </property>
  <property fmtid="{D5CDD505-2E9C-101B-9397-08002B2CF9AE}" pid="6" name="docLang">
    <vt:lpwstr>en</vt:lpwstr>
  </property>
</Properties>
</file>