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0EC8" w14:textId="438635E7" w:rsidR="0078474D" w:rsidRDefault="009351BC" w:rsidP="00EE4022">
      <w:pPr>
        <w:pStyle w:val="Heading1"/>
        <w:spacing w:before="0" w:line="480" w:lineRule="auto"/>
        <w:jc w:val="center"/>
      </w:pPr>
      <w:r>
        <w:t>ESG</w:t>
      </w:r>
      <w:r w:rsidR="00EE4022">
        <w:t xml:space="preserve"> </w:t>
      </w:r>
      <w:r w:rsidR="005832A2">
        <w:t>Exposure 1/</w:t>
      </w:r>
      <w:r w:rsidR="003752E3">
        <w:t>21</w:t>
      </w:r>
      <w:r w:rsidR="005832A2">
        <w:t>/21</w:t>
      </w:r>
      <w:r w:rsidR="00236696">
        <w:t xml:space="preserve">:  </w:t>
      </w:r>
      <w:r w:rsidR="000A649C">
        <w:t>Scenario Picker Tool</w:t>
      </w:r>
    </w:p>
    <w:p w14:paraId="68272834" w14:textId="5CA2E77A" w:rsidR="00EE4022" w:rsidRDefault="003752E3" w:rsidP="00CA3153">
      <w:pPr>
        <w:pStyle w:val="Heading1"/>
        <w:spacing w:before="0" w:line="240" w:lineRule="auto"/>
      </w:pPr>
      <w:r>
        <w:t>A</w:t>
      </w:r>
      <w:r w:rsidR="000D7DFC">
        <w:t xml:space="preserve"> </w:t>
      </w:r>
      <w:r w:rsidR="00EE4022">
        <w:t xml:space="preserve">Scenario </w:t>
      </w:r>
      <w:r w:rsidR="001A5E18">
        <w:t>Picker</w:t>
      </w:r>
      <w:r w:rsidR="00EE4022">
        <w:t xml:space="preserve"> Tool</w:t>
      </w:r>
      <w:r w:rsidR="006975DB">
        <w:t xml:space="preserve"> (</w:t>
      </w:r>
      <w:r>
        <w:t xml:space="preserve">ESG </w:t>
      </w:r>
      <w:r w:rsidR="006975DB">
        <w:t>Timeline Item #9)</w:t>
      </w:r>
      <w:r w:rsidR="000D7DFC">
        <w:t xml:space="preserve"> is being exposed for a public comment period.  Please send comments to Reggie Mazyck (</w:t>
      </w:r>
      <w:hyperlink r:id="rId5" w:history="1">
        <w:r w:rsidR="000D7DFC" w:rsidRPr="003B5ABA">
          <w:rPr>
            <w:rStyle w:val="Hyperlink"/>
          </w:rPr>
          <w:t>RMazyck@naic.org</w:t>
        </w:r>
      </w:hyperlink>
      <w:r w:rsidR="000D7DFC">
        <w:t xml:space="preserve">) </w:t>
      </w:r>
      <w:r w:rsidR="00CA3153">
        <w:t xml:space="preserve">by close of business </w:t>
      </w:r>
      <w:r>
        <w:t>March 7th</w:t>
      </w:r>
      <w:r w:rsidR="00CA3153">
        <w:t>, 2021.</w:t>
      </w:r>
    </w:p>
    <w:p w14:paraId="48DAE61D" w14:textId="77777777" w:rsidR="00CA3153" w:rsidRDefault="00CA3153" w:rsidP="00DF7AD0">
      <w:pPr>
        <w:spacing w:after="0" w:line="240" w:lineRule="auto"/>
        <w:rPr>
          <w:u w:val="single"/>
        </w:rPr>
      </w:pPr>
    </w:p>
    <w:p w14:paraId="3637E573" w14:textId="59C2987E" w:rsidR="00FE651D" w:rsidRPr="001D56F2" w:rsidRDefault="00022569" w:rsidP="00DF7AD0">
      <w:pPr>
        <w:spacing w:after="0" w:line="240" w:lineRule="auto"/>
        <w:rPr>
          <w:b/>
          <w:bCs/>
          <w:u w:val="single"/>
        </w:rPr>
      </w:pPr>
      <w:r w:rsidRPr="001D56F2">
        <w:rPr>
          <w:b/>
          <w:bCs/>
          <w:u w:val="single"/>
        </w:rPr>
        <w:t>Background</w:t>
      </w:r>
      <w:r w:rsidR="003B7441" w:rsidRPr="001D56F2">
        <w:rPr>
          <w:b/>
          <w:bCs/>
          <w:u w:val="single"/>
        </w:rPr>
        <w:t xml:space="preserve"> </w:t>
      </w:r>
    </w:p>
    <w:p w14:paraId="45182606" w14:textId="0638E16C" w:rsidR="00EE4022" w:rsidRPr="00F8694B" w:rsidRDefault="00EE4022" w:rsidP="00F8694B">
      <w:pPr>
        <w:spacing w:after="0" w:line="240" w:lineRule="auto"/>
        <w:rPr>
          <w:u w:val="single"/>
        </w:rPr>
      </w:pPr>
      <w:r>
        <w:t xml:space="preserve">One of the components of the Academy Interest Rate Generator which needs to be replaced is the Scenario </w:t>
      </w:r>
      <w:r w:rsidR="001A5E18">
        <w:t>Picker</w:t>
      </w:r>
      <w:r>
        <w:t xml:space="preserve"> Tool.  This tool creates </w:t>
      </w:r>
      <w:r w:rsidR="001A5E18">
        <w:t>s</w:t>
      </w:r>
      <w:r>
        <w:t>ubsets</w:t>
      </w:r>
      <w:r w:rsidR="001A5E18">
        <w:t xml:space="preserve"> (i.e., 50, 200, 500, and 1000 scenarios)</w:t>
      </w:r>
      <w:r>
        <w:t xml:space="preserve"> </w:t>
      </w:r>
      <w:r w:rsidR="001A5E18">
        <w:t>from</w:t>
      </w:r>
      <w:r>
        <w:t xml:space="preserve"> the full </w:t>
      </w:r>
      <w:r w:rsidR="00FB12C9">
        <w:t xml:space="preserve">set of </w:t>
      </w:r>
      <w:r>
        <w:t>10,000 scenarios</w:t>
      </w:r>
      <w:r w:rsidR="001A5E18">
        <w:t>,</w:t>
      </w:r>
      <w:r>
        <w:t xml:space="preserve"> which can </w:t>
      </w:r>
      <w:r w:rsidR="001A5E18">
        <w:t xml:space="preserve">be </w:t>
      </w:r>
      <w:r>
        <w:t>use</w:t>
      </w:r>
      <w:r w:rsidR="001A5E18">
        <w:t>d</w:t>
      </w:r>
      <w:r>
        <w:t xml:space="preserve"> to reflect the full distribution.</w:t>
      </w:r>
    </w:p>
    <w:p w14:paraId="4159F717" w14:textId="62E859CB" w:rsidR="00EE4022" w:rsidRDefault="00EE4022">
      <w:pPr>
        <w:spacing w:after="0" w:line="240" w:lineRule="auto"/>
      </w:pPr>
    </w:p>
    <w:p w14:paraId="6952FEF2" w14:textId="38E35706" w:rsidR="00CA3153" w:rsidRDefault="00CA3153">
      <w:pPr>
        <w:spacing w:after="0" w:line="240" w:lineRule="auto"/>
      </w:pPr>
      <w:r>
        <w:t xml:space="preserve">Currently, </w:t>
      </w:r>
      <w:r w:rsidR="001D56F2">
        <w:t xml:space="preserve">if a scenario subset is used in reserve calculations, </w:t>
      </w:r>
      <w:r>
        <w:t xml:space="preserve">VM-20 prescribes </w:t>
      </w:r>
      <w:r w:rsidR="00FB12C9">
        <w:t xml:space="preserve">use of </w:t>
      </w:r>
      <w:r>
        <w:t xml:space="preserve">the scenario picker </w:t>
      </w:r>
      <w:proofErr w:type="gramStart"/>
      <w:r>
        <w:t>tool</w:t>
      </w:r>
      <w:proofErr w:type="gramEnd"/>
      <w:r>
        <w:t xml:space="preserve"> </w:t>
      </w:r>
      <w:r w:rsidR="001D56F2">
        <w:t>but VM-21 does not.</w:t>
      </w:r>
      <w:r w:rsidR="00FB12C9">
        <w:t xml:space="preserve"> Applicable VM language is shown below.</w:t>
      </w:r>
    </w:p>
    <w:p w14:paraId="46064F56" w14:textId="77777777" w:rsidR="00CA3153" w:rsidRDefault="00CA3153">
      <w:pPr>
        <w:spacing w:after="0" w:line="240" w:lineRule="auto"/>
      </w:pPr>
    </w:p>
    <w:p w14:paraId="06C9BABC" w14:textId="73373280" w:rsidR="00DA5275" w:rsidRDefault="00DA5275" w:rsidP="00FB12C9">
      <w:pPr>
        <w:spacing w:after="120" w:line="240" w:lineRule="auto"/>
        <w:ind w:firstLine="360"/>
      </w:pPr>
      <w:r>
        <w:t>VM-20 Section 7.G.2.c</w:t>
      </w:r>
      <w:r w:rsidR="001D56F2">
        <w:t>:</w:t>
      </w:r>
    </w:p>
    <w:p w14:paraId="3F7713F3" w14:textId="77777777" w:rsidR="001D56F2" w:rsidRDefault="00E02C34" w:rsidP="00FB12C9">
      <w:pPr>
        <w:spacing w:after="0" w:line="240" w:lineRule="auto"/>
        <w:ind w:left="360"/>
      </w:pPr>
      <w:r>
        <w:t xml:space="preserve">Use of fewer scenarios rather than a higher number of scenarios is permissible as a model efficiency technique provided that: </w:t>
      </w:r>
    </w:p>
    <w:p w14:paraId="375A46A6" w14:textId="1D5517E3" w:rsidR="001D56F2" w:rsidRDefault="00E02C34" w:rsidP="001D56F2">
      <w:pPr>
        <w:pStyle w:val="ListParagraph"/>
        <w:numPr>
          <w:ilvl w:val="0"/>
          <w:numId w:val="9"/>
        </w:numPr>
        <w:spacing w:after="0" w:line="240" w:lineRule="auto"/>
      </w:pPr>
      <w:r>
        <w:t xml:space="preserve">The smaller set of scenarios is generated using the scenario picker tool provided within the prescribed scenario generator, and </w:t>
      </w:r>
    </w:p>
    <w:p w14:paraId="05D72DBD" w14:textId="12E596D7" w:rsidR="00E02C34" w:rsidRDefault="00E02C34" w:rsidP="001D56F2">
      <w:pPr>
        <w:pStyle w:val="ListParagraph"/>
        <w:numPr>
          <w:ilvl w:val="0"/>
          <w:numId w:val="9"/>
        </w:numPr>
        <w:spacing w:after="0" w:line="240" w:lineRule="auto"/>
      </w:pPr>
      <w:r>
        <w:t>The use of the technique is consistent with Section 2.G.</w:t>
      </w:r>
    </w:p>
    <w:p w14:paraId="3A1F6EBF" w14:textId="384BA81B" w:rsidR="00DA5275" w:rsidRDefault="00DA5275" w:rsidP="00F8694B">
      <w:pPr>
        <w:spacing w:after="0" w:line="240" w:lineRule="auto"/>
      </w:pPr>
    </w:p>
    <w:p w14:paraId="497CD825" w14:textId="1153AA6C" w:rsidR="001D56F2" w:rsidRDefault="001D56F2" w:rsidP="00FB12C9">
      <w:pPr>
        <w:spacing w:after="120" w:line="240" w:lineRule="auto"/>
        <w:ind w:firstLine="360"/>
      </w:pPr>
      <w:r>
        <w:t>VM-21 Section 8.F:</w:t>
      </w:r>
    </w:p>
    <w:p w14:paraId="0AA446C3" w14:textId="4B32AB64" w:rsidR="001D56F2" w:rsidRDefault="001D56F2" w:rsidP="00FB12C9">
      <w:pPr>
        <w:spacing w:after="120" w:line="240" w:lineRule="auto"/>
        <w:ind w:left="360"/>
      </w:pPr>
      <w:r>
        <w:t xml:space="preserve">1. For straight Monte Carlo simulation (with equally probable “paths” of fund returns), the number of scenarios should typically equal or exceed 1000. The appropriate number will depend on how the scenarios will be used and the materiality of the results. The company should use </w:t>
      </w:r>
      <w:proofErr w:type="gramStart"/>
      <w:r>
        <w:t>a number of</w:t>
      </w:r>
      <w:proofErr w:type="gramEnd"/>
      <w:r>
        <w:t xml:space="preserve"> scenarios that will provide an acceptable level of precision. </w:t>
      </w:r>
    </w:p>
    <w:p w14:paraId="0D109499" w14:textId="163481E7" w:rsidR="001D56F2" w:rsidRDefault="001D56F2" w:rsidP="00FB12C9">
      <w:pPr>
        <w:spacing w:after="120" w:line="240" w:lineRule="auto"/>
        <w:ind w:left="360"/>
      </w:pPr>
      <w:r>
        <w:t xml:space="preserve">2. Fewer than 1,000 scenarios may be used provided that the company has determined through prior testing (perhaps on a subset of the portfolio) that the CTE values so obtained materially reproduce the results from running a larger scenario set. </w:t>
      </w:r>
    </w:p>
    <w:p w14:paraId="2C70DF26" w14:textId="742A495E" w:rsidR="001D56F2" w:rsidRDefault="001D56F2" w:rsidP="00FB12C9">
      <w:pPr>
        <w:spacing w:after="120" w:line="240" w:lineRule="auto"/>
        <w:ind w:left="360"/>
      </w:pPr>
      <w:r>
        <w:t xml:space="preserve">3. Variance reduction and other sampling techniques are intended to improve the accuracy of an estimate more efficiently than simply increasing the number of simulations. Such methods can be used provided the company can demonstrate that they do not lead to a material understatement of results.  Many of the techniques are specifically designed for estimating means, not tail measures, and could in fact reduce accuracy (and efficiency) relative to straight Monte Carlo simulation. </w:t>
      </w:r>
    </w:p>
    <w:p w14:paraId="4900218E" w14:textId="1E5F9818" w:rsidR="001D56F2" w:rsidRPr="00FB12C9" w:rsidRDefault="001D56F2" w:rsidP="00FB12C9">
      <w:pPr>
        <w:spacing w:after="120" w:line="240" w:lineRule="auto"/>
        <w:ind w:left="360"/>
        <w:rPr>
          <w:b/>
          <w:bCs/>
        </w:rPr>
      </w:pPr>
      <w:r w:rsidRPr="00FB12C9">
        <w:rPr>
          <w:b/>
          <w:bCs/>
        </w:rPr>
        <w:t xml:space="preserve">Guidance Note: With careful implementation, many variance reduction techniques can work well for CTE estimators. For example, see </w:t>
      </w:r>
      <w:proofErr w:type="spellStart"/>
      <w:r w:rsidRPr="00FB12C9">
        <w:rPr>
          <w:b/>
          <w:bCs/>
        </w:rPr>
        <w:t>Manistre</w:t>
      </w:r>
      <w:proofErr w:type="spellEnd"/>
      <w:r w:rsidRPr="00FB12C9">
        <w:rPr>
          <w:b/>
          <w:bCs/>
        </w:rPr>
        <w:t xml:space="preserve">, B.J., and Hancock, G. (2003), “Variance of the CTE Estimator,” 2003 Stochastic Modeling Symposium, Toronto, September 2003. </w:t>
      </w:r>
    </w:p>
    <w:p w14:paraId="51BDB9B0" w14:textId="4D4F6BD5" w:rsidR="001D56F2" w:rsidRPr="00FB12C9" w:rsidRDefault="001D56F2" w:rsidP="00FB12C9">
      <w:pPr>
        <w:spacing w:after="0" w:line="240" w:lineRule="auto"/>
        <w:ind w:left="360"/>
        <w:rPr>
          <w:b/>
          <w:bCs/>
        </w:rPr>
      </w:pPr>
      <w:r w:rsidRPr="00FB12C9">
        <w:rPr>
          <w:b/>
          <w:bCs/>
        </w:rPr>
        <w:t>4. 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p>
    <w:p w14:paraId="3047FB97" w14:textId="77777777" w:rsidR="001D56F2" w:rsidRDefault="001D56F2" w:rsidP="00F8694B">
      <w:pPr>
        <w:spacing w:after="0" w:line="240" w:lineRule="auto"/>
      </w:pPr>
    </w:p>
    <w:p w14:paraId="0049EF1A" w14:textId="77777777" w:rsidR="008F629E" w:rsidRDefault="008F629E" w:rsidP="00DF7AD0">
      <w:pPr>
        <w:spacing w:after="0" w:line="240" w:lineRule="auto"/>
        <w:rPr>
          <w:b/>
          <w:bCs/>
          <w:u w:val="single"/>
        </w:rPr>
      </w:pPr>
    </w:p>
    <w:p w14:paraId="2880A045" w14:textId="30BDE6BF" w:rsidR="00260071" w:rsidRDefault="00654D77" w:rsidP="00DF7AD0">
      <w:pPr>
        <w:spacing w:after="0" w:line="240" w:lineRule="auto"/>
        <w:rPr>
          <w:b/>
          <w:bCs/>
          <w:u w:val="single"/>
        </w:rPr>
      </w:pPr>
      <w:r>
        <w:rPr>
          <w:b/>
          <w:bCs/>
          <w:u w:val="single"/>
        </w:rPr>
        <w:lastRenderedPageBreak/>
        <w:t>Scenario Picker Tool Methodology</w:t>
      </w:r>
    </w:p>
    <w:p w14:paraId="6686AF5D" w14:textId="77777777" w:rsidR="00260071" w:rsidRDefault="00260071" w:rsidP="00DF7AD0">
      <w:pPr>
        <w:spacing w:after="0" w:line="240" w:lineRule="auto"/>
        <w:rPr>
          <w:b/>
          <w:bCs/>
          <w:u w:val="single"/>
        </w:rPr>
      </w:pPr>
    </w:p>
    <w:p w14:paraId="180DF8B2" w14:textId="3BB2E5D1" w:rsidR="00654D77" w:rsidRDefault="00654D77" w:rsidP="00DF7AD0">
      <w:pPr>
        <w:spacing w:after="0" w:line="240" w:lineRule="auto"/>
      </w:pPr>
      <w:r>
        <w:t>The proposed</w:t>
      </w:r>
      <w:r w:rsidR="00EE4022">
        <w:t xml:space="preserve"> </w:t>
      </w:r>
      <w:r>
        <w:t xml:space="preserve">scenario picker </w:t>
      </w:r>
      <w:r w:rsidR="00EE4022">
        <w:t xml:space="preserve">tool </w:t>
      </w:r>
      <w:r w:rsidR="00260071">
        <w:t>f</w:t>
      </w:r>
      <w:r w:rsidR="00717894">
        <w:t xml:space="preserve">ollows </w:t>
      </w:r>
      <w:r w:rsidR="009351BC">
        <w:t>the current Academy methodology</w:t>
      </w:r>
      <w:r w:rsidR="00260071">
        <w:t xml:space="preserve"> (</w:t>
      </w:r>
      <w:hyperlink r:id="rId6" w:history="1">
        <w:r w:rsidR="00260071" w:rsidRPr="00A827AC">
          <w:rPr>
            <w:rStyle w:val="Hyperlink"/>
          </w:rPr>
          <w:t>https://www.actuary.org/sites/default/files/files/esg/2009_ESWG_tool.zip</w:t>
        </w:r>
      </w:hyperlink>
      <w:r w:rsidR="00260071">
        <w:t>)</w:t>
      </w:r>
      <w:r w:rsidR="009351BC">
        <w:t xml:space="preserve"> to create </w:t>
      </w:r>
      <w:r w:rsidR="001D56F2">
        <w:t>scenario subsets</w:t>
      </w:r>
      <w:r w:rsidR="009351BC">
        <w:t>.</w:t>
      </w:r>
      <w:r w:rsidR="00894B51">
        <w:t xml:space="preserve"> </w:t>
      </w:r>
      <w:r w:rsidR="00FA4BFE" w:rsidRPr="00FA4BFE">
        <w:t xml:space="preserve">Scenario subsets as of a </w:t>
      </w:r>
      <w:r w:rsidR="00FA4BFE">
        <w:t xml:space="preserve">given </w:t>
      </w:r>
      <w:r w:rsidR="00FA4BFE" w:rsidRPr="00FA4BFE">
        <w:t xml:space="preserve">valuation date </w:t>
      </w:r>
      <w:r w:rsidR="00FA4BFE">
        <w:t>will</w:t>
      </w:r>
      <w:r w:rsidR="00FA4BFE" w:rsidRPr="00FA4BFE">
        <w:t xml:space="preserve"> contain the same scenarios for all users</w:t>
      </w:r>
      <w:r w:rsidR="00FA4BFE">
        <w:t>.</w:t>
      </w:r>
    </w:p>
    <w:p w14:paraId="0EFA08DC" w14:textId="2932A72E" w:rsidR="00654D77" w:rsidRDefault="00654D77" w:rsidP="00DF7AD0">
      <w:pPr>
        <w:spacing w:after="0" w:line="240" w:lineRule="auto"/>
      </w:pPr>
    </w:p>
    <w:p w14:paraId="17445F96" w14:textId="68D6ACA3" w:rsidR="00654D77" w:rsidRPr="00C20CF2" w:rsidRDefault="00654D77" w:rsidP="00DF7AD0">
      <w:pPr>
        <w:spacing w:after="0" w:line="240" w:lineRule="auto"/>
        <w:rPr>
          <w:b/>
          <w:bCs/>
          <w:u w:val="single"/>
        </w:rPr>
      </w:pPr>
      <w:r w:rsidRPr="00C20CF2">
        <w:rPr>
          <w:b/>
          <w:bCs/>
          <w:u w:val="single"/>
        </w:rPr>
        <w:t>Monthly Process</w:t>
      </w:r>
    </w:p>
    <w:p w14:paraId="5C46782E" w14:textId="167D6444" w:rsidR="00E349B1" w:rsidRPr="00E349B1" w:rsidRDefault="00E349B1" w:rsidP="00DF7AD0">
      <w:pPr>
        <w:spacing w:after="0" w:line="240" w:lineRule="auto"/>
      </w:pPr>
    </w:p>
    <w:p w14:paraId="13741789" w14:textId="099D5383" w:rsidR="00E349B1" w:rsidRPr="00E349B1" w:rsidRDefault="00E349B1" w:rsidP="00E349B1">
      <w:pPr>
        <w:spacing w:after="0" w:line="240" w:lineRule="auto"/>
      </w:pPr>
      <w:r w:rsidRPr="00E349B1">
        <w:t>Conning will run the Basic Data Set as of each month-end</w:t>
      </w:r>
      <w:r>
        <w:t xml:space="preserve"> </w:t>
      </w:r>
      <w:r w:rsidRPr="00E349B1">
        <w:t xml:space="preserve">and produce the </w:t>
      </w:r>
      <w:r>
        <w:t xml:space="preserve">full set of 10,000 </w:t>
      </w:r>
      <w:r w:rsidRPr="00E349B1">
        <w:t>scenarios</w:t>
      </w:r>
      <w:r>
        <w:t>, along with four subsets containing 50, 200, 500, and 1</w:t>
      </w:r>
      <w:r w:rsidR="00DA2D1E">
        <w:t>,</w:t>
      </w:r>
      <w:r>
        <w:t xml:space="preserve">000 scenarios. </w:t>
      </w:r>
      <w:r w:rsidRPr="00E349B1">
        <w:t xml:space="preserve">This process </w:t>
      </w:r>
      <w:r>
        <w:t>will</w:t>
      </w:r>
      <w:r w:rsidRPr="00E349B1">
        <w:t xml:space="preserve"> be completed in time to post </w:t>
      </w:r>
      <w:r>
        <w:t xml:space="preserve">the output </w:t>
      </w:r>
      <w:r w:rsidRPr="00E349B1">
        <w:t>by 4:00 PM Central Time on the first business day of the following month.</w:t>
      </w:r>
    </w:p>
    <w:p w14:paraId="59DA2F22" w14:textId="77777777" w:rsidR="00E349B1" w:rsidRDefault="00E349B1" w:rsidP="00E349B1">
      <w:pPr>
        <w:spacing w:after="0" w:line="240" w:lineRule="auto"/>
      </w:pPr>
    </w:p>
    <w:p w14:paraId="3883088C" w14:textId="0FA47D00" w:rsidR="00FA4BFE" w:rsidRDefault="00E349B1" w:rsidP="00DF7AD0">
      <w:pPr>
        <w:spacing w:after="0" w:line="240" w:lineRule="auto"/>
      </w:pPr>
      <w:r>
        <w:t xml:space="preserve">Note: </w:t>
      </w:r>
      <w:r w:rsidRPr="00E349B1">
        <w:t xml:space="preserve">Validation reports for the Basic Data Set and additional statistics </w:t>
      </w:r>
      <w:r>
        <w:t xml:space="preserve">will </w:t>
      </w:r>
      <w:r w:rsidRPr="00E349B1">
        <w:t>be delivered simultaneously with the scenario files.</w:t>
      </w:r>
      <w:r>
        <w:t xml:space="preserve"> </w:t>
      </w:r>
      <w:r w:rsidR="006072EF">
        <w:t xml:space="preserve">Users will be provided access to these items via a link from the PBR </w:t>
      </w:r>
      <w:r w:rsidR="00260071">
        <w:t>section on the NAIC’s website</w:t>
      </w:r>
      <w:r w:rsidR="006072EF">
        <w:t xml:space="preserve"> to the ESG landing page on Conning’s website</w:t>
      </w:r>
      <w:r w:rsidR="00FB12C9">
        <w:t>.</w:t>
      </w:r>
    </w:p>
    <w:p w14:paraId="345C2B16" w14:textId="77777777" w:rsidR="00FB12C9" w:rsidRDefault="00FB12C9" w:rsidP="00DF7AD0">
      <w:pPr>
        <w:spacing w:after="0" w:line="240" w:lineRule="auto"/>
      </w:pPr>
    </w:p>
    <w:p w14:paraId="7FE4FE67" w14:textId="73997339" w:rsidR="007B61AE" w:rsidRPr="00DA2D1E" w:rsidRDefault="00FA4BFE" w:rsidP="00DF7AD0">
      <w:pPr>
        <w:spacing w:after="0" w:line="240" w:lineRule="auto"/>
      </w:pPr>
      <w:r w:rsidRPr="00DA2D1E">
        <w:t>Note</w:t>
      </w:r>
      <w:r w:rsidR="0001052D" w:rsidRPr="00DA2D1E">
        <w:t xml:space="preserve">: Rather than providing a scenario picker tool for users to run, Conning will </w:t>
      </w:r>
      <w:r w:rsidR="00482897" w:rsidRPr="00DA2D1E">
        <w:t>deliver</w:t>
      </w:r>
      <w:r w:rsidR="0001052D" w:rsidRPr="00DA2D1E">
        <w:t xml:space="preserve"> four</w:t>
      </w:r>
      <w:r w:rsidRPr="00DA2D1E">
        <w:t xml:space="preserve"> </w:t>
      </w:r>
      <w:r w:rsidR="0001052D" w:rsidRPr="00DA2D1E">
        <w:t xml:space="preserve">scenario </w:t>
      </w:r>
      <w:r w:rsidRPr="00DA2D1E">
        <w:t>subsets (50, 200, 500, and 1</w:t>
      </w:r>
      <w:r w:rsidR="00DA2D1E" w:rsidRPr="00DA2D1E">
        <w:t>,</w:t>
      </w:r>
      <w:r w:rsidRPr="00DA2D1E">
        <w:t xml:space="preserve">000) monthly. Users will not be able to </w:t>
      </w:r>
      <w:r w:rsidR="00482897" w:rsidRPr="00DA2D1E">
        <w:t>pick</w:t>
      </w:r>
      <w:r w:rsidR="0001052D" w:rsidRPr="00DA2D1E">
        <w:t xml:space="preserve"> a custom number of scenarios.</w:t>
      </w:r>
    </w:p>
    <w:p w14:paraId="238748AF" w14:textId="5CA9131E" w:rsidR="0001052D" w:rsidRDefault="0001052D" w:rsidP="00DF7AD0">
      <w:pPr>
        <w:spacing w:after="0" w:line="240" w:lineRule="auto"/>
      </w:pPr>
    </w:p>
    <w:p w14:paraId="5D4F5DA2" w14:textId="5BA0B084" w:rsidR="000B25DF" w:rsidRPr="00C20CF2" w:rsidRDefault="000B25DF" w:rsidP="00DF7AD0">
      <w:pPr>
        <w:spacing w:after="0" w:line="240" w:lineRule="auto"/>
        <w:rPr>
          <w:b/>
          <w:bCs/>
          <w:u w:val="single"/>
        </w:rPr>
      </w:pPr>
      <w:r w:rsidRPr="00C20CF2">
        <w:rPr>
          <w:b/>
          <w:bCs/>
          <w:u w:val="single"/>
        </w:rPr>
        <w:t>12/31/2019 Scenario Subsets</w:t>
      </w:r>
    </w:p>
    <w:p w14:paraId="52592AE1" w14:textId="2598E5B6" w:rsidR="005F2E35" w:rsidRDefault="000B25DF" w:rsidP="00DF7AD0">
      <w:pPr>
        <w:spacing w:after="0" w:line="240" w:lineRule="auto"/>
      </w:pPr>
      <w:r>
        <w:rPr>
          <w:rFonts w:eastAsia="Times New Roman"/>
        </w:rPr>
        <w:t xml:space="preserve">Scenario subsets produced as of 12/31/2019 </w:t>
      </w:r>
      <w:r w:rsidR="00454E3B">
        <w:rPr>
          <w:rFonts w:eastAsia="Times New Roman"/>
        </w:rPr>
        <w:t>will be</w:t>
      </w:r>
      <w:r>
        <w:rPr>
          <w:rFonts w:eastAsia="Times New Roman"/>
        </w:rPr>
        <w:t xml:space="preserve"> provided</w:t>
      </w:r>
      <w:r w:rsidR="00454E3B">
        <w:rPr>
          <w:rFonts w:eastAsia="Times New Roman"/>
        </w:rPr>
        <w:t xml:space="preserve"> shortly</w:t>
      </w:r>
      <w:r>
        <w:rPr>
          <w:rFonts w:eastAsia="Times New Roman"/>
        </w:rPr>
        <w:t xml:space="preserve"> via a link from the </w:t>
      </w:r>
      <w:hyperlink r:id="rId7" w:history="1">
        <w:r w:rsidRPr="000B25DF">
          <w:rPr>
            <w:rStyle w:val="Hyperlink"/>
            <w:rFonts w:eastAsia="Times New Roman"/>
          </w:rPr>
          <w:t>PBR section</w:t>
        </w:r>
      </w:hyperlink>
      <w:r>
        <w:rPr>
          <w:rFonts w:eastAsia="Times New Roman"/>
        </w:rPr>
        <w:t xml:space="preserve"> on the NAIC’s website</w:t>
      </w:r>
      <w:r w:rsidR="00511710">
        <w:rPr>
          <w:rFonts w:eastAsia="Times New Roman"/>
        </w:rPr>
        <w:t xml:space="preserve"> </w:t>
      </w:r>
      <w:r w:rsidR="00511710">
        <w:t>to the ESG landing page on Conning’s website</w:t>
      </w:r>
      <w:r>
        <w:rPr>
          <w:rFonts w:eastAsia="Times New Roman"/>
        </w:rPr>
        <w:t xml:space="preserve">. These </w:t>
      </w:r>
      <w:r w:rsidR="00DA2D1E">
        <w:rPr>
          <w:rFonts w:eastAsia="Times New Roman"/>
        </w:rPr>
        <w:t>will be</w:t>
      </w:r>
      <w:r>
        <w:rPr>
          <w:rFonts w:eastAsia="Times New Roman"/>
        </w:rPr>
        <w:t xml:space="preserve"> selected from the full set of 10,000 scenarios included with the December 18</w:t>
      </w:r>
      <w:r w:rsidRPr="000B25DF">
        <w:rPr>
          <w:rFonts w:eastAsia="Times New Roman"/>
          <w:vertAlign w:val="superscript"/>
        </w:rPr>
        <w:t>th</w:t>
      </w:r>
      <w:r>
        <w:rPr>
          <w:rFonts w:eastAsia="Times New Roman"/>
        </w:rPr>
        <w:t>, 2020 exposure.</w:t>
      </w:r>
    </w:p>
    <w:p w14:paraId="7DBE9E0A" w14:textId="77777777" w:rsidR="00511710" w:rsidRDefault="00511710" w:rsidP="00DF7AD0">
      <w:pPr>
        <w:spacing w:after="0" w:line="240" w:lineRule="auto"/>
      </w:pPr>
    </w:p>
    <w:p w14:paraId="7958A7DE" w14:textId="3313B57B" w:rsidR="007B61AE" w:rsidRPr="00D016DE" w:rsidRDefault="00DF7AD0" w:rsidP="003B7441">
      <w:pPr>
        <w:spacing w:after="0" w:line="240" w:lineRule="auto"/>
        <w:rPr>
          <w:b/>
          <w:bCs/>
          <w:u w:val="single"/>
        </w:rPr>
      </w:pPr>
      <w:r w:rsidRPr="00D016DE">
        <w:rPr>
          <w:b/>
          <w:bCs/>
          <w:u w:val="single"/>
        </w:rPr>
        <w:t>Request for Comments</w:t>
      </w:r>
      <w:r w:rsidR="003B7441" w:rsidRPr="00D016DE">
        <w:rPr>
          <w:b/>
          <w:bCs/>
          <w:u w:val="single"/>
        </w:rPr>
        <w:t xml:space="preserve">  </w:t>
      </w:r>
    </w:p>
    <w:p w14:paraId="048E8DBB" w14:textId="0308DA29" w:rsidR="00D016DE" w:rsidRDefault="007B61AE" w:rsidP="00F8694B">
      <w:pPr>
        <w:spacing w:after="0" w:line="240" w:lineRule="auto"/>
      </w:pPr>
      <w:r>
        <w:t>Please send your comments to Reggie Mazyck (</w:t>
      </w:r>
      <w:hyperlink r:id="rId8" w:history="1">
        <w:r w:rsidR="00DA5275" w:rsidRPr="003B5ABA">
          <w:rPr>
            <w:rStyle w:val="Hyperlink"/>
          </w:rPr>
          <w:t>RMazyck@naic.org</w:t>
        </w:r>
      </w:hyperlink>
      <w:r>
        <w:t>)</w:t>
      </w:r>
      <w:r w:rsidR="00D016DE">
        <w:t xml:space="preserve"> by close of business </w:t>
      </w:r>
      <w:r w:rsidR="000C3DA6">
        <w:t>March 7</w:t>
      </w:r>
      <w:r w:rsidR="000C3DA6" w:rsidRPr="000C3DA6">
        <w:rPr>
          <w:vertAlign w:val="superscript"/>
        </w:rPr>
        <w:t>th</w:t>
      </w:r>
      <w:r w:rsidR="000C3DA6">
        <w:t>, 2021</w:t>
      </w:r>
      <w:r>
        <w:t>.</w:t>
      </w:r>
      <w:r w:rsidR="00D016DE">
        <w:t xml:space="preserve">  </w:t>
      </w:r>
      <w:r w:rsidR="00511710" w:rsidRPr="00511710">
        <w:t xml:space="preserve">Comments are appreciated on any aspect of the </w:t>
      </w:r>
      <w:r w:rsidR="00511710">
        <w:t>scenario picker tool, such as</w:t>
      </w:r>
      <w:r w:rsidR="005468CD">
        <w:t>:</w:t>
      </w:r>
    </w:p>
    <w:p w14:paraId="5ABECAFB" w14:textId="24D55B12" w:rsidR="005468CD" w:rsidRDefault="00511710" w:rsidP="005468CD">
      <w:pPr>
        <w:pStyle w:val="ListParagraph"/>
        <w:numPr>
          <w:ilvl w:val="0"/>
          <w:numId w:val="10"/>
        </w:numPr>
      </w:pPr>
      <w:r>
        <w:t>T</w:t>
      </w:r>
      <w:r w:rsidR="005468CD">
        <w:t xml:space="preserve">he methodology </w:t>
      </w:r>
      <w:r w:rsidR="000C3DA6">
        <w:t>used in the proposed scenario picker tool</w:t>
      </w:r>
      <w:r>
        <w:t>,</w:t>
      </w:r>
    </w:p>
    <w:p w14:paraId="67A6D442" w14:textId="423FA02E" w:rsidR="005468CD" w:rsidRDefault="00511710" w:rsidP="005468CD">
      <w:pPr>
        <w:pStyle w:val="ListParagraph"/>
        <w:numPr>
          <w:ilvl w:val="0"/>
          <w:numId w:val="10"/>
        </w:numPr>
      </w:pPr>
      <w:r>
        <w:t>The number and sizes</w:t>
      </w:r>
      <w:r w:rsidR="005468CD">
        <w:t xml:space="preserve"> of the subsets to be produced</w:t>
      </w:r>
      <w:r>
        <w:t>, and</w:t>
      </w:r>
    </w:p>
    <w:p w14:paraId="4D0C10C3" w14:textId="393215D3" w:rsidR="00714744" w:rsidRPr="00614B95" w:rsidRDefault="00511710" w:rsidP="00614B95">
      <w:pPr>
        <w:pStyle w:val="ListParagraph"/>
        <w:numPr>
          <w:ilvl w:val="0"/>
          <w:numId w:val="10"/>
        </w:numPr>
      </w:pPr>
      <w:r>
        <w:t>The format and usability of the output.</w:t>
      </w:r>
    </w:p>
    <w:sectPr w:rsidR="00714744" w:rsidRPr="0061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0A6"/>
    <w:multiLevelType w:val="hybridMultilevel"/>
    <w:tmpl w:val="26CCC6C6"/>
    <w:lvl w:ilvl="0" w:tplc="17C2C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66120"/>
    <w:multiLevelType w:val="hybridMultilevel"/>
    <w:tmpl w:val="CCB8248E"/>
    <w:lvl w:ilvl="0" w:tplc="D4D213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365DF"/>
    <w:multiLevelType w:val="hybridMultilevel"/>
    <w:tmpl w:val="BC34B61E"/>
    <w:lvl w:ilvl="0" w:tplc="C2DCFC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6E5224"/>
    <w:multiLevelType w:val="hybridMultilevel"/>
    <w:tmpl w:val="197E579C"/>
    <w:lvl w:ilvl="0" w:tplc="3A38D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752A8"/>
    <w:multiLevelType w:val="hybridMultilevel"/>
    <w:tmpl w:val="564E597A"/>
    <w:lvl w:ilvl="0" w:tplc="1DE8A274">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30"/>
    <w:multiLevelType w:val="hybridMultilevel"/>
    <w:tmpl w:val="F9B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15F63"/>
    <w:multiLevelType w:val="hybridMultilevel"/>
    <w:tmpl w:val="E762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7097B"/>
    <w:multiLevelType w:val="hybridMultilevel"/>
    <w:tmpl w:val="BF62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16F3E"/>
    <w:multiLevelType w:val="hybridMultilevel"/>
    <w:tmpl w:val="B4301B06"/>
    <w:lvl w:ilvl="0" w:tplc="BC4C5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31E65"/>
    <w:multiLevelType w:val="hybridMultilevel"/>
    <w:tmpl w:val="959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0"/>
  </w:num>
  <w:num w:numId="6">
    <w:abstractNumId w:val="5"/>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22"/>
    <w:rsid w:val="00001DB8"/>
    <w:rsid w:val="00004523"/>
    <w:rsid w:val="0001052D"/>
    <w:rsid w:val="0001472F"/>
    <w:rsid w:val="00022569"/>
    <w:rsid w:val="00025A80"/>
    <w:rsid w:val="000304B4"/>
    <w:rsid w:val="00057ED2"/>
    <w:rsid w:val="0007049F"/>
    <w:rsid w:val="00083B06"/>
    <w:rsid w:val="000A649C"/>
    <w:rsid w:val="000B25DF"/>
    <w:rsid w:val="000C0C43"/>
    <w:rsid w:val="000C3DA6"/>
    <w:rsid w:val="000D7DFC"/>
    <w:rsid w:val="00101BAA"/>
    <w:rsid w:val="00103E67"/>
    <w:rsid w:val="00163835"/>
    <w:rsid w:val="001A5E18"/>
    <w:rsid w:val="001D56F2"/>
    <w:rsid w:val="00203641"/>
    <w:rsid w:val="00236696"/>
    <w:rsid w:val="00260071"/>
    <w:rsid w:val="00293381"/>
    <w:rsid w:val="003752E3"/>
    <w:rsid w:val="0038255C"/>
    <w:rsid w:val="003B2A5F"/>
    <w:rsid w:val="003B7441"/>
    <w:rsid w:val="00403415"/>
    <w:rsid w:val="004342F9"/>
    <w:rsid w:val="00446739"/>
    <w:rsid w:val="00454E3B"/>
    <w:rsid w:val="004601E3"/>
    <w:rsid w:val="00482897"/>
    <w:rsid w:val="00483053"/>
    <w:rsid w:val="004A297E"/>
    <w:rsid w:val="004B099C"/>
    <w:rsid w:val="004B2E44"/>
    <w:rsid w:val="004B4523"/>
    <w:rsid w:val="004B743A"/>
    <w:rsid w:val="00511710"/>
    <w:rsid w:val="005468CD"/>
    <w:rsid w:val="00554D9E"/>
    <w:rsid w:val="0056641B"/>
    <w:rsid w:val="005832A2"/>
    <w:rsid w:val="005C7433"/>
    <w:rsid w:val="005E3E43"/>
    <w:rsid w:val="005F2E35"/>
    <w:rsid w:val="006072EF"/>
    <w:rsid w:val="00614B95"/>
    <w:rsid w:val="00654D77"/>
    <w:rsid w:val="006975DB"/>
    <w:rsid w:val="006C6F2F"/>
    <w:rsid w:val="00714744"/>
    <w:rsid w:val="00717894"/>
    <w:rsid w:val="007263DB"/>
    <w:rsid w:val="00741BA7"/>
    <w:rsid w:val="00767B15"/>
    <w:rsid w:val="0078474D"/>
    <w:rsid w:val="007B4B62"/>
    <w:rsid w:val="007B61AE"/>
    <w:rsid w:val="008055AB"/>
    <w:rsid w:val="008327B0"/>
    <w:rsid w:val="00835E93"/>
    <w:rsid w:val="00854144"/>
    <w:rsid w:val="0086511D"/>
    <w:rsid w:val="00894B51"/>
    <w:rsid w:val="008F0F8E"/>
    <w:rsid w:val="008F629E"/>
    <w:rsid w:val="00922794"/>
    <w:rsid w:val="009351BC"/>
    <w:rsid w:val="00966E0A"/>
    <w:rsid w:val="00983C1B"/>
    <w:rsid w:val="009B5399"/>
    <w:rsid w:val="009E75FF"/>
    <w:rsid w:val="009F67CE"/>
    <w:rsid w:val="009F793F"/>
    <w:rsid w:val="00A205C6"/>
    <w:rsid w:val="00A827AC"/>
    <w:rsid w:val="00A84261"/>
    <w:rsid w:val="00A97E95"/>
    <w:rsid w:val="00AA56C5"/>
    <w:rsid w:val="00B8280E"/>
    <w:rsid w:val="00B877DB"/>
    <w:rsid w:val="00C02BC2"/>
    <w:rsid w:val="00C033CB"/>
    <w:rsid w:val="00C13D8B"/>
    <w:rsid w:val="00C20CF2"/>
    <w:rsid w:val="00C31654"/>
    <w:rsid w:val="00C33DE1"/>
    <w:rsid w:val="00C37E29"/>
    <w:rsid w:val="00C43F46"/>
    <w:rsid w:val="00C5650C"/>
    <w:rsid w:val="00CA3153"/>
    <w:rsid w:val="00CB511E"/>
    <w:rsid w:val="00CF61EE"/>
    <w:rsid w:val="00D016DE"/>
    <w:rsid w:val="00D31CA5"/>
    <w:rsid w:val="00D36CD4"/>
    <w:rsid w:val="00D62517"/>
    <w:rsid w:val="00DA2D1E"/>
    <w:rsid w:val="00DA5275"/>
    <w:rsid w:val="00DF7AD0"/>
    <w:rsid w:val="00E02C34"/>
    <w:rsid w:val="00E078BC"/>
    <w:rsid w:val="00E20E6D"/>
    <w:rsid w:val="00E349B1"/>
    <w:rsid w:val="00E520C8"/>
    <w:rsid w:val="00E74341"/>
    <w:rsid w:val="00E76BDE"/>
    <w:rsid w:val="00EA7039"/>
    <w:rsid w:val="00EE4022"/>
    <w:rsid w:val="00EF07B8"/>
    <w:rsid w:val="00F77253"/>
    <w:rsid w:val="00F8694B"/>
    <w:rsid w:val="00FA4BFE"/>
    <w:rsid w:val="00FB12C9"/>
    <w:rsid w:val="00FB50F4"/>
    <w:rsid w:val="00FC46EB"/>
    <w:rsid w:val="00FE651D"/>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05C3"/>
  <w15:chartTrackingRefBased/>
  <w15:docId w15:val="{93287524-F1A6-49FA-982C-BF02744A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0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0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61EE"/>
    <w:pPr>
      <w:ind w:left="720"/>
      <w:contextualSpacing/>
    </w:pPr>
  </w:style>
  <w:style w:type="character" w:styleId="CommentReference">
    <w:name w:val="annotation reference"/>
    <w:basedOn w:val="DefaultParagraphFont"/>
    <w:uiPriority w:val="99"/>
    <w:semiHidden/>
    <w:unhideWhenUsed/>
    <w:rsid w:val="009351BC"/>
    <w:rPr>
      <w:sz w:val="16"/>
      <w:szCs w:val="16"/>
    </w:rPr>
  </w:style>
  <w:style w:type="paragraph" w:styleId="CommentText">
    <w:name w:val="annotation text"/>
    <w:basedOn w:val="Normal"/>
    <w:link w:val="CommentTextChar"/>
    <w:uiPriority w:val="99"/>
    <w:semiHidden/>
    <w:unhideWhenUsed/>
    <w:rsid w:val="009351BC"/>
    <w:pPr>
      <w:spacing w:line="240" w:lineRule="auto"/>
    </w:pPr>
    <w:rPr>
      <w:sz w:val="20"/>
      <w:szCs w:val="20"/>
    </w:rPr>
  </w:style>
  <w:style w:type="character" w:customStyle="1" w:styleId="CommentTextChar">
    <w:name w:val="Comment Text Char"/>
    <w:basedOn w:val="DefaultParagraphFont"/>
    <w:link w:val="CommentText"/>
    <w:uiPriority w:val="99"/>
    <w:semiHidden/>
    <w:rsid w:val="009351BC"/>
    <w:rPr>
      <w:sz w:val="20"/>
      <w:szCs w:val="20"/>
    </w:rPr>
  </w:style>
  <w:style w:type="paragraph" w:styleId="CommentSubject">
    <w:name w:val="annotation subject"/>
    <w:basedOn w:val="CommentText"/>
    <w:next w:val="CommentText"/>
    <w:link w:val="CommentSubjectChar"/>
    <w:uiPriority w:val="99"/>
    <w:semiHidden/>
    <w:unhideWhenUsed/>
    <w:rsid w:val="009351BC"/>
    <w:rPr>
      <w:b/>
      <w:bCs/>
    </w:rPr>
  </w:style>
  <w:style w:type="character" w:customStyle="1" w:styleId="CommentSubjectChar">
    <w:name w:val="Comment Subject Char"/>
    <w:basedOn w:val="CommentTextChar"/>
    <w:link w:val="CommentSubject"/>
    <w:uiPriority w:val="99"/>
    <w:semiHidden/>
    <w:rsid w:val="009351BC"/>
    <w:rPr>
      <w:b/>
      <w:bCs/>
      <w:sz w:val="20"/>
      <w:szCs w:val="20"/>
    </w:rPr>
  </w:style>
  <w:style w:type="character" w:styleId="Hyperlink">
    <w:name w:val="Hyperlink"/>
    <w:basedOn w:val="DefaultParagraphFont"/>
    <w:uiPriority w:val="99"/>
    <w:unhideWhenUsed/>
    <w:rsid w:val="00E20E6D"/>
    <w:rPr>
      <w:color w:val="0563C1" w:themeColor="hyperlink"/>
      <w:u w:val="single"/>
    </w:rPr>
  </w:style>
  <w:style w:type="character" w:styleId="UnresolvedMention">
    <w:name w:val="Unresolved Mention"/>
    <w:basedOn w:val="DefaultParagraphFont"/>
    <w:uiPriority w:val="99"/>
    <w:semiHidden/>
    <w:unhideWhenUsed/>
    <w:rsid w:val="00E20E6D"/>
    <w:rPr>
      <w:color w:val="605E5C"/>
      <w:shd w:val="clear" w:color="auto" w:fill="E1DFDD"/>
    </w:rPr>
  </w:style>
  <w:style w:type="paragraph" w:styleId="Revision">
    <w:name w:val="Revision"/>
    <w:hidden/>
    <w:uiPriority w:val="99"/>
    <w:semiHidden/>
    <w:rsid w:val="00C033CB"/>
    <w:pPr>
      <w:spacing w:after="0" w:line="240" w:lineRule="auto"/>
    </w:pPr>
  </w:style>
  <w:style w:type="character" w:styleId="FollowedHyperlink">
    <w:name w:val="FollowedHyperlink"/>
    <w:basedOn w:val="DefaultParagraphFont"/>
    <w:uiPriority w:val="99"/>
    <w:semiHidden/>
    <w:unhideWhenUsed/>
    <w:rsid w:val="000B2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3" Type="http://schemas.openxmlformats.org/officeDocument/2006/relationships/settings" Target="settings.xml"/><Relationship Id="rId7" Type="http://schemas.openxmlformats.org/officeDocument/2006/relationships/hyperlink" Target="https://content.naic.org/pbr_da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ary.org/sites/default/files/files/esg/2009_ESWG_tool.zip" TargetMode="External"/><Relationship Id="rId5" Type="http://schemas.openxmlformats.org/officeDocument/2006/relationships/hyperlink" Target="mailto:RMazyck@nai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Finn</dc:creator>
  <cp:keywords/>
  <dc:description/>
  <cp:lastModifiedBy>O'Neal, Scott</cp:lastModifiedBy>
  <cp:revision>6</cp:revision>
  <dcterms:created xsi:type="dcterms:W3CDTF">2021-01-19T21:23:00Z</dcterms:created>
  <dcterms:modified xsi:type="dcterms:W3CDTF">2021-01-20T19:31:00Z</dcterms:modified>
</cp:coreProperties>
</file>