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97568" w14:textId="77777777" w:rsidR="000634EE" w:rsidRDefault="000634EE">
      <w:pPr>
        <w:jc w:val="center"/>
        <w:rPr>
          <w:b/>
          <w:sz w:val="24"/>
        </w:rPr>
      </w:pPr>
      <w:r>
        <w:rPr>
          <w:b/>
          <w:sz w:val="24"/>
        </w:rPr>
        <w:t>Statutory Accounting Principles</w:t>
      </w:r>
      <w:r w:rsidR="003F6960">
        <w:rPr>
          <w:b/>
          <w:sz w:val="24"/>
        </w:rPr>
        <w:t xml:space="preserve"> (E)</w:t>
      </w:r>
      <w:r>
        <w:rPr>
          <w:b/>
          <w:sz w:val="24"/>
        </w:rPr>
        <w:t xml:space="preserve"> Working Group</w:t>
      </w:r>
    </w:p>
    <w:p w14:paraId="797A0167" w14:textId="77777777" w:rsidR="000634EE" w:rsidRDefault="000634EE">
      <w:pPr>
        <w:jc w:val="center"/>
        <w:rPr>
          <w:b/>
          <w:sz w:val="24"/>
        </w:rPr>
      </w:pPr>
      <w:r>
        <w:rPr>
          <w:b/>
          <w:sz w:val="24"/>
        </w:rPr>
        <w:t>Maintenance Agenda Submission Form</w:t>
      </w:r>
    </w:p>
    <w:p w14:paraId="5894B877" w14:textId="77777777" w:rsidR="000634EE" w:rsidRDefault="000634EE">
      <w:pPr>
        <w:jc w:val="center"/>
        <w:rPr>
          <w:b/>
          <w:sz w:val="24"/>
        </w:rPr>
      </w:pPr>
      <w:r>
        <w:rPr>
          <w:b/>
          <w:sz w:val="24"/>
        </w:rPr>
        <w:t>Form A</w:t>
      </w:r>
    </w:p>
    <w:p w14:paraId="5C75845F" w14:textId="77777777" w:rsidR="000634EE" w:rsidRDefault="000634EE">
      <w:pPr>
        <w:pStyle w:val="Heading2"/>
      </w:pPr>
    </w:p>
    <w:p w14:paraId="236413DE" w14:textId="77777777" w:rsidR="000634EE" w:rsidRDefault="000634EE">
      <w:pPr>
        <w:pStyle w:val="Heading2"/>
        <w:rPr>
          <w:b/>
          <w:bCs/>
          <w:sz w:val="22"/>
        </w:rPr>
      </w:pPr>
      <w:r>
        <w:rPr>
          <w:b/>
          <w:bCs/>
          <w:sz w:val="22"/>
        </w:rPr>
        <w:t>Issue:</w:t>
      </w:r>
      <w:r w:rsidR="00036442">
        <w:rPr>
          <w:b/>
          <w:bCs/>
          <w:sz w:val="22"/>
        </w:rPr>
        <w:t xml:space="preserve"> </w:t>
      </w:r>
      <w:r w:rsidR="001A526F">
        <w:rPr>
          <w:bCs/>
          <w:sz w:val="22"/>
        </w:rPr>
        <w:t>SSAP No. 3</w:t>
      </w:r>
      <w:r w:rsidR="005F7315">
        <w:rPr>
          <w:bCs/>
          <w:sz w:val="22"/>
        </w:rPr>
        <w:t>2</w:t>
      </w:r>
      <w:r w:rsidR="001A526F">
        <w:rPr>
          <w:bCs/>
          <w:sz w:val="22"/>
        </w:rPr>
        <w:t xml:space="preserve"> – Investment Classification Project</w:t>
      </w:r>
    </w:p>
    <w:p w14:paraId="515AFFF1" w14:textId="77777777" w:rsidR="00A5300A" w:rsidRDefault="00A5300A">
      <w:pPr>
        <w:jc w:val="both"/>
        <w:rPr>
          <w:b/>
          <w:bCs/>
          <w:sz w:val="22"/>
        </w:rPr>
      </w:pPr>
    </w:p>
    <w:p w14:paraId="2B19A7A7" w14:textId="77777777" w:rsidR="000634EE" w:rsidRDefault="000634EE">
      <w:pPr>
        <w:jc w:val="both"/>
        <w:rPr>
          <w:b/>
          <w:bCs/>
          <w:sz w:val="22"/>
        </w:rPr>
      </w:pPr>
      <w:r>
        <w:rPr>
          <w:b/>
          <w:bCs/>
          <w:sz w:val="22"/>
        </w:rPr>
        <w:t>Check (applicable entity):</w:t>
      </w:r>
    </w:p>
    <w:p w14:paraId="1241891D" w14:textId="77777777" w:rsidR="00B37D15" w:rsidRPr="00B37D15" w:rsidRDefault="00B37D15" w:rsidP="00B37D15">
      <w:pPr>
        <w:tabs>
          <w:tab w:val="center" w:pos="4446"/>
          <w:tab w:val="center" w:pos="5886"/>
          <w:tab w:val="center" w:pos="7335"/>
        </w:tabs>
        <w:jc w:val="both"/>
        <w:rPr>
          <w:bCs/>
          <w:sz w:val="22"/>
        </w:rPr>
      </w:pPr>
      <w:r>
        <w:rPr>
          <w:bCs/>
          <w:sz w:val="22"/>
        </w:rPr>
        <w:tab/>
        <w:t>P/C</w:t>
      </w:r>
      <w:r>
        <w:rPr>
          <w:bCs/>
          <w:sz w:val="22"/>
        </w:rPr>
        <w:tab/>
        <w:t>Life</w:t>
      </w:r>
      <w:r>
        <w:rPr>
          <w:bCs/>
          <w:sz w:val="22"/>
        </w:rPr>
        <w:tab/>
        <w:t>Health</w:t>
      </w:r>
    </w:p>
    <w:p w14:paraId="7735D009" w14:textId="77777777" w:rsidR="000634EE" w:rsidRDefault="000634EE">
      <w:pPr>
        <w:ind w:firstLine="720"/>
        <w:jc w:val="both"/>
        <w:rPr>
          <w:sz w:val="22"/>
        </w:rPr>
      </w:pPr>
      <w:r>
        <w:rPr>
          <w:sz w:val="22"/>
        </w:rPr>
        <w:t>Modification of existing SSAP</w:t>
      </w:r>
      <w:r>
        <w:rPr>
          <w:sz w:val="22"/>
        </w:rPr>
        <w:tab/>
      </w:r>
      <w:r>
        <w:rPr>
          <w:sz w:val="22"/>
        </w:rPr>
        <w:tab/>
      </w:r>
      <w:r w:rsidR="00B37D15">
        <w:rPr>
          <w:sz w:val="22"/>
        </w:rPr>
        <w:fldChar w:fldCharType="begin">
          <w:ffData>
            <w:name w:val="Check1"/>
            <w:enabled/>
            <w:calcOnExit w:val="0"/>
            <w:checkBox>
              <w:sizeAuto/>
              <w:default w:val="1"/>
            </w:checkBox>
          </w:ffData>
        </w:fldChar>
      </w:r>
      <w:bookmarkStart w:id="0" w:name="Check1"/>
      <w:r w:rsidR="00B37D15">
        <w:rPr>
          <w:sz w:val="22"/>
        </w:rPr>
        <w:instrText xml:space="preserve"> FORMCHECKBOX </w:instrText>
      </w:r>
      <w:r w:rsidR="00934A15">
        <w:rPr>
          <w:sz w:val="22"/>
        </w:rPr>
      </w:r>
      <w:r w:rsidR="00934A15">
        <w:rPr>
          <w:sz w:val="22"/>
        </w:rPr>
        <w:fldChar w:fldCharType="separate"/>
      </w:r>
      <w:r w:rsidR="00B37D15">
        <w:rPr>
          <w:sz w:val="22"/>
        </w:rPr>
        <w:fldChar w:fldCharType="end"/>
      </w:r>
      <w:bookmarkEnd w:id="0"/>
      <w:r>
        <w:rPr>
          <w:sz w:val="22"/>
        </w:rPr>
        <w:tab/>
      </w:r>
      <w:r>
        <w:rPr>
          <w:sz w:val="22"/>
        </w:rPr>
        <w:tab/>
      </w:r>
      <w:r w:rsidR="00B37D15">
        <w:rPr>
          <w:sz w:val="22"/>
        </w:rPr>
        <w:fldChar w:fldCharType="begin">
          <w:ffData>
            <w:name w:val=""/>
            <w:enabled/>
            <w:calcOnExit w:val="0"/>
            <w:checkBox>
              <w:sizeAuto/>
              <w:default w:val="1"/>
            </w:checkBox>
          </w:ffData>
        </w:fldChar>
      </w:r>
      <w:r w:rsidR="00B37D15">
        <w:rPr>
          <w:sz w:val="22"/>
        </w:rPr>
        <w:instrText xml:space="preserve"> FORMCHECKBOX </w:instrText>
      </w:r>
      <w:r w:rsidR="00934A15">
        <w:rPr>
          <w:sz w:val="22"/>
        </w:rPr>
      </w:r>
      <w:r w:rsidR="00934A15">
        <w:rPr>
          <w:sz w:val="22"/>
        </w:rPr>
        <w:fldChar w:fldCharType="separate"/>
      </w:r>
      <w:r w:rsidR="00B37D15">
        <w:rPr>
          <w:sz w:val="22"/>
        </w:rPr>
        <w:fldChar w:fldCharType="end"/>
      </w:r>
      <w:r>
        <w:rPr>
          <w:sz w:val="22"/>
        </w:rPr>
        <w:tab/>
      </w:r>
      <w:r>
        <w:rPr>
          <w:sz w:val="22"/>
        </w:rPr>
        <w:tab/>
      </w:r>
      <w:r w:rsidR="00B37D15">
        <w:rPr>
          <w:sz w:val="22"/>
        </w:rPr>
        <w:fldChar w:fldCharType="begin">
          <w:ffData>
            <w:name w:val=""/>
            <w:enabled/>
            <w:calcOnExit w:val="0"/>
            <w:checkBox>
              <w:sizeAuto/>
              <w:default w:val="1"/>
            </w:checkBox>
          </w:ffData>
        </w:fldChar>
      </w:r>
      <w:r w:rsidR="00B37D15">
        <w:rPr>
          <w:sz w:val="22"/>
        </w:rPr>
        <w:instrText xml:space="preserve"> FORMCHECKBOX </w:instrText>
      </w:r>
      <w:r w:rsidR="00934A15">
        <w:rPr>
          <w:sz w:val="22"/>
        </w:rPr>
      </w:r>
      <w:r w:rsidR="00934A15">
        <w:rPr>
          <w:sz w:val="22"/>
        </w:rPr>
        <w:fldChar w:fldCharType="separate"/>
      </w:r>
      <w:r w:rsidR="00B37D15">
        <w:rPr>
          <w:sz w:val="22"/>
        </w:rPr>
        <w:fldChar w:fldCharType="end"/>
      </w:r>
    </w:p>
    <w:p w14:paraId="667AD371" w14:textId="77777777" w:rsidR="000634EE" w:rsidRDefault="00B37D15">
      <w:pPr>
        <w:ind w:firstLine="720"/>
        <w:jc w:val="both"/>
        <w:rPr>
          <w:sz w:val="22"/>
        </w:rPr>
      </w:pPr>
      <w:r>
        <w:rPr>
          <w:sz w:val="22"/>
        </w:rPr>
        <w:t xml:space="preserve">New Issue or SSAP   </w:t>
      </w:r>
      <w:r>
        <w:rPr>
          <w:sz w:val="22"/>
        </w:rPr>
        <w:tab/>
      </w:r>
      <w:r>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934A15">
        <w:rPr>
          <w:sz w:val="22"/>
        </w:rPr>
      </w:r>
      <w:r w:rsidR="00934A15">
        <w:rPr>
          <w:sz w:val="22"/>
        </w:rPr>
        <w:fldChar w:fldCharType="separate"/>
      </w:r>
      <w:r w:rsidR="000634EE">
        <w:rPr>
          <w:sz w:val="22"/>
        </w:rPr>
        <w:fldChar w:fldCharType="end"/>
      </w:r>
      <w:r w:rsidR="000634EE">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934A15">
        <w:rPr>
          <w:sz w:val="22"/>
        </w:rPr>
      </w:r>
      <w:r w:rsidR="00934A15">
        <w:rPr>
          <w:sz w:val="22"/>
        </w:rPr>
        <w:fldChar w:fldCharType="separate"/>
      </w:r>
      <w:r w:rsidR="000634EE">
        <w:rPr>
          <w:sz w:val="22"/>
        </w:rPr>
        <w:fldChar w:fldCharType="end"/>
      </w:r>
      <w:r w:rsidR="000634EE">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934A15">
        <w:rPr>
          <w:sz w:val="22"/>
        </w:rPr>
      </w:r>
      <w:r w:rsidR="00934A15">
        <w:rPr>
          <w:sz w:val="22"/>
        </w:rPr>
        <w:fldChar w:fldCharType="separate"/>
      </w:r>
      <w:r w:rsidR="000634EE">
        <w:rPr>
          <w:sz w:val="22"/>
        </w:rPr>
        <w:fldChar w:fldCharType="end"/>
      </w:r>
    </w:p>
    <w:p w14:paraId="110E7EBB" w14:textId="77777777" w:rsidR="00730E50" w:rsidRPr="00730E50" w:rsidRDefault="00730E50" w:rsidP="00730E50">
      <w:pPr>
        <w:ind w:firstLine="720"/>
        <w:jc w:val="both"/>
        <w:rPr>
          <w:sz w:val="22"/>
          <w:szCs w:val="24"/>
        </w:rPr>
      </w:pPr>
      <w:r w:rsidRPr="00730E50">
        <w:rPr>
          <w:sz w:val="22"/>
          <w:szCs w:val="24"/>
        </w:rPr>
        <w:t xml:space="preserve">Interpretation </w:t>
      </w:r>
      <w:r w:rsidRPr="00730E50">
        <w:rPr>
          <w:sz w:val="22"/>
          <w:szCs w:val="24"/>
        </w:rPr>
        <w:tab/>
      </w:r>
      <w:r w:rsidRPr="00730E50">
        <w:rPr>
          <w:sz w:val="22"/>
          <w:szCs w:val="24"/>
        </w:rPr>
        <w:tab/>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934A15">
        <w:rPr>
          <w:sz w:val="22"/>
          <w:szCs w:val="24"/>
        </w:rPr>
      </w:r>
      <w:r w:rsidR="00934A15">
        <w:rPr>
          <w:sz w:val="22"/>
          <w:szCs w:val="24"/>
        </w:rPr>
        <w:fldChar w:fldCharType="separate"/>
      </w:r>
      <w:r w:rsidRPr="00730E50">
        <w:rPr>
          <w:sz w:val="22"/>
          <w:szCs w:val="24"/>
        </w:rPr>
        <w:fldChar w:fldCharType="end"/>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934A15">
        <w:rPr>
          <w:sz w:val="22"/>
          <w:szCs w:val="24"/>
        </w:rPr>
      </w:r>
      <w:r w:rsidR="00934A15">
        <w:rPr>
          <w:sz w:val="22"/>
          <w:szCs w:val="24"/>
        </w:rPr>
        <w:fldChar w:fldCharType="separate"/>
      </w:r>
      <w:r w:rsidRPr="00730E50">
        <w:rPr>
          <w:sz w:val="22"/>
          <w:szCs w:val="24"/>
        </w:rPr>
        <w:fldChar w:fldCharType="end"/>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934A15">
        <w:rPr>
          <w:sz w:val="22"/>
          <w:szCs w:val="24"/>
        </w:rPr>
      </w:r>
      <w:r w:rsidR="00934A15">
        <w:rPr>
          <w:sz w:val="22"/>
          <w:szCs w:val="24"/>
        </w:rPr>
        <w:fldChar w:fldCharType="separate"/>
      </w:r>
      <w:r w:rsidRPr="00730E50">
        <w:rPr>
          <w:sz w:val="22"/>
          <w:szCs w:val="24"/>
        </w:rPr>
        <w:fldChar w:fldCharType="end"/>
      </w:r>
    </w:p>
    <w:p w14:paraId="742075E4" w14:textId="77777777" w:rsidR="00730E50" w:rsidRPr="00730E50" w:rsidRDefault="00730E50" w:rsidP="00730E50">
      <w:pPr>
        <w:jc w:val="both"/>
        <w:rPr>
          <w:sz w:val="22"/>
          <w:szCs w:val="24"/>
        </w:rPr>
      </w:pPr>
    </w:p>
    <w:p w14:paraId="1C57A13E" w14:textId="77777777" w:rsidR="000D4035" w:rsidRDefault="000634EE" w:rsidP="001A526F">
      <w:pPr>
        <w:jc w:val="both"/>
        <w:rPr>
          <w:bCs/>
          <w:sz w:val="22"/>
          <w:szCs w:val="22"/>
        </w:rPr>
      </w:pPr>
      <w:r>
        <w:rPr>
          <w:b/>
          <w:bCs/>
          <w:sz w:val="22"/>
        </w:rPr>
        <w:t>Description of Issue:</w:t>
      </w:r>
      <w:r w:rsidR="00E20B24" w:rsidRPr="006200A0">
        <w:rPr>
          <w:b/>
          <w:bCs/>
          <w:sz w:val="22"/>
          <w:szCs w:val="22"/>
        </w:rPr>
        <w:t xml:space="preserve"> </w:t>
      </w:r>
      <w:r w:rsidR="001A526F">
        <w:rPr>
          <w:bCs/>
          <w:sz w:val="22"/>
          <w:szCs w:val="22"/>
        </w:rPr>
        <w:t xml:space="preserve">This agenda item has been drafted to consider </w:t>
      </w:r>
      <w:r w:rsidR="001A526F" w:rsidRPr="001A526F">
        <w:rPr>
          <w:bCs/>
          <w:i/>
          <w:sz w:val="22"/>
          <w:szCs w:val="22"/>
        </w:rPr>
        <w:t xml:space="preserve">SSAP No. </w:t>
      </w:r>
      <w:r w:rsidR="005F7315">
        <w:rPr>
          <w:bCs/>
          <w:i/>
          <w:sz w:val="22"/>
          <w:szCs w:val="22"/>
        </w:rPr>
        <w:t>32—Preferred Stock</w:t>
      </w:r>
      <w:r w:rsidR="001A526F">
        <w:rPr>
          <w:bCs/>
          <w:sz w:val="22"/>
          <w:szCs w:val="22"/>
        </w:rPr>
        <w:t xml:space="preserve">, in accordance with the initiatives of the Investment Classification Project. </w:t>
      </w:r>
      <w:r w:rsidR="0000513D">
        <w:rPr>
          <w:bCs/>
          <w:sz w:val="22"/>
          <w:szCs w:val="22"/>
        </w:rPr>
        <w:t>This ag</w:t>
      </w:r>
      <w:bookmarkStart w:id="1" w:name="_GoBack"/>
      <w:bookmarkEnd w:id="1"/>
      <w:r w:rsidR="0000513D">
        <w:rPr>
          <w:bCs/>
          <w:sz w:val="22"/>
          <w:szCs w:val="22"/>
        </w:rPr>
        <w:t xml:space="preserve">enda item focuses on the following aspects: </w:t>
      </w:r>
    </w:p>
    <w:p w14:paraId="68D19346" w14:textId="77777777" w:rsidR="0000513D" w:rsidRDefault="0000513D" w:rsidP="001A526F">
      <w:pPr>
        <w:jc w:val="both"/>
        <w:rPr>
          <w:bCs/>
          <w:sz w:val="22"/>
          <w:szCs w:val="22"/>
        </w:rPr>
      </w:pPr>
    </w:p>
    <w:p w14:paraId="4B0BD6C5" w14:textId="39A07CF5" w:rsidR="0000513D" w:rsidRDefault="00F97706" w:rsidP="00C46ABB">
      <w:pPr>
        <w:pStyle w:val="ListParagraph"/>
        <w:numPr>
          <w:ilvl w:val="0"/>
          <w:numId w:val="8"/>
        </w:numPr>
        <w:jc w:val="both"/>
        <w:rPr>
          <w:bCs/>
          <w:szCs w:val="22"/>
        </w:rPr>
      </w:pPr>
      <w:r>
        <w:rPr>
          <w:bCs/>
          <w:szCs w:val="22"/>
        </w:rPr>
        <w:t xml:space="preserve">Review </w:t>
      </w:r>
      <w:r w:rsidR="004C1D25">
        <w:rPr>
          <w:bCs/>
          <w:szCs w:val="22"/>
        </w:rPr>
        <w:t xml:space="preserve">existing </w:t>
      </w:r>
      <w:r w:rsidR="005F7315">
        <w:rPr>
          <w:bCs/>
          <w:szCs w:val="22"/>
        </w:rPr>
        <w:t>definitions</w:t>
      </w:r>
      <w:r w:rsidR="0000513D">
        <w:rPr>
          <w:bCs/>
          <w:szCs w:val="22"/>
        </w:rPr>
        <w:t xml:space="preserve"> with market</w:t>
      </w:r>
      <w:r w:rsidR="005F7315">
        <w:rPr>
          <w:bCs/>
          <w:szCs w:val="22"/>
        </w:rPr>
        <w:t xml:space="preserve"> </w:t>
      </w:r>
      <w:r w:rsidR="0000513D">
        <w:rPr>
          <w:bCs/>
          <w:szCs w:val="22"/>
        </w:rPr>
        <w:t>terms</w:t>
      </w:r>
      <w:r w:rsidR="00C843FC">
        <w:rPr>
          <w:bCs/>
          <w:szCs w:val="22"/>
        </w:rPr>
        <w:t xml:space="preserve"> and assess whether terms should be retained</w:t>
      </w:r>
      <w:r w:rsidR="00A84E0A">
        <w:rPr>
          <w:bCs/>
          <w:szCs w:val="22"/>
        </w:rPr>
        <w:t xml:space="preserve"> or revised</w:t>
      </w:r>
      <w:r w:rsidR="00C843FC">
        <w:rPr>
          <w:bCs/>
          <w:szCs w:val="22"/>
        </w:rPr>
        <w:t xml:space="preserve">. </w:t>
      </w:r>
    </w:p>
    <w:p w14:paraId="203B2473" w14:textId="77777777" w:rsidR="005F7315" w:rsidRDefault="0000513D" w:rsidP="005F7315">
      <w:pPr>
        <w:pStyle w:val="ListParagraph"/>
        <w:numPr>
          <w:ilvl w:val="0"/>
          <w:numId w:val="8"/>
        </w:numPr>
        <w:jc w:val="both"/>
        <w:rPr>
          <w:bCs/>
          <w:szCs w:val="22"/>
        </w:rPr>
      </w:pPr>
      <w:r w:rsidRPr="005F7315">
        <w:rPr>
          <w:bCs/>
          <w:szCs w:val="22"/>
        </w:rPr>
        <w:t xml:space="preserve">Consider </w:t>
      </w:r>
      <w:r w:rsidR="005F7315" w:rsidRPr="005F7315">
        <w:rPr>
          <w:bCs/>
          <w:szCs w:val="22"/>
        </w:rPr>
        <w:t xml:space="preserve">clarifications to existing accounting and valuation guidance based on </w:t>
      </w:r>
      <w:r w:rsidR="00A84E0A">
        <w:rPr>
          <w:bCs/>
          <w:szCs w:val="22"/>
        </w:rPr>
        <w:t xml:space="preserve">the </w:t>
      </w:r>
      <w:r w:rsidR="005F7315" w:rsidRPr="005F7315">
        <w:rPr>
          <w:bCs/>
          <w:szCs w:val="22"/>
        </w:rPr>
        <w:t xml:space="preserve">type of preferred stock. </w:t>
      </w:r>
    </w:p>
    <w:p w14:paraId="17F2244D" w14:textId="77777777" w:rsidR="002B4249" w:rsidRDefault="002B4249" w:rsidP="005F7315">
      <w:pPr>
        <w:pStyle w:val="ListParagraph"/>
        <w:numPr>
          <w:ilvl w:val="0"/>
          <w:numId w:val="8"/>
        </w:numPr>
        <w:jc w:val="both"/>
        <w:rPr>
          <w:bCs/>
          <w:szCs w:val="22"/>
        </w:rPr>
      </w:pPr>
      <w:r>
        <w:rPr>
          <w:bCs/>
          <w:szCs w:val="22"/>
        </w:rPr>
        <w:t xml:space="preserve">Assess guidance for dividends and the impact of dividends on impairment assessments. </w:t>
      </w:r>
    </w:p>
    <w:p w14:paraId="3F674D41" w14:textId="77777777" w:rsidR="0000513D" w:rsidRPr="005F7315" w:rsidRDefault="005F7315" w:rsidP="005F7315">
      <w:pPr>
        <w:pStyle w:val="ListParagraph"/>
        <w:numPr>
          <w:ilvl w:val="0"/>
          <w:numId w:val="8"/>
        </w:numPr>
        <w:jc w:val="both"/>
        <w:rPr>
          <w:bCs/>
          <w:szCs w:val="22"/>
        </w:rPr>
      </w:pPr>
      <w:r>
        <w:rPr>
          <w:bCs/>
          <w:szCs w:val="22"/>
        </w:rPr>
        <w:t xml:space="preserve">Clarify application of SSAP No. 32 </w:t>
      </w:r>
      <w:r w:rsidR="00A84E0A">
        <w:rPr>
          <w:bCs/>
          <w:szCs w:val="22"/>
        </w:rPr>
        <w:t xml:space="preserve">in </w:t>
      </w:r>
      <w:r>
        <w:rPr>
          <w:bCs/>
          <w:szCs w:val="22"/>
        </w:rPr>
        <w:t xml:space="preserve">conjunction with SSAP No. 48 and SSAP No. 97. </w:t>
      </w:r>
    </w:p>
    <w:p w14:paraId="790B81B0" w14:textId="77777777" w:rsidR="002D11FF" w:rsidRPr="002E6FE0" w:rsidRDefault="002D11FF" w:rsidP="002D11FF">
      <w:pPr>
        <w:jc w:val="both"/>
        <w:rPr>
          <w:bCs/>
          <w:sz w:val="22"/>
          <w:szCs w:val="22"/>
        </w:rPr>
      </w:pPr>
    </w:p>
    <w:p w14:paraId="497B3D4A" w14:textId="77777777" w:rsidR="00F25F5D" w:rsidRPr="002E6FE0" w:rsidRDefault="007D6D32" w:rsidP="007D6D32">
      <w:pPr>
        <w:jc w:val="both"/>
        <w:rPr>
          <w:rFonts w:cs="Arial"/>
          <w:b/>
          <w:sz w:val="22"/>
          <w:szCs w:val="22"/>
          <w:u w:val="single"/>
        </w:rPr>
      </w:pPr>
      <w:r w:rsidRPr="002E6FE0">
        <w:rPr>
          <w:rFonts w:cs="Arial"/>
          <w:b/>
          <w:sz w:val="22"/>
          <w:szCs w:val="22"/>
          <w:u w:val="single"/>
        </w:rPr>
        <w:t>1 – Definition</w:t>
      </w:r>
      <w:r w:rsidR="00D13A5C">
        <w:rPr>
          <w:rFonts w:cs="Arial"/>
          <w:b/>
          <w:sz w:val="22"/>
          <w:szCs w:val="22"/>
          <w:u w:val="single"/>
        </w:rPr>
        <w:t>s</w:t>
      </w:r>
    </w:p>
    <w:p w14:paraId="17EB1F92" w14:textId="77777777" w:rsidR="00EC6698" w:rsidRDefault="00F25F5D" w:rsidP="00304EDB">
      <w:pPr>
        <w:pStyle w:val="ListParagraph"/>
        <w:ind w:left="0"/>
        <w:jc w:val="both"/>
        <w:rPr>
          <w:rFonts w:cs="Arial"/>
        </w:rPr>
      </w:pPr>
      <w:r w:rsidRPr="002E6FE0">
        <w:rPr>
          <w:rFonts w:cs="Arial"/>
          <w:szCs w:val="22"/>
        </w:rPr>
        <w:t>SSAP No. 3</w:t>
      </w:r>
      <w:r w:rsidR="005F7315">
        <w:rPr>
          <w:rFonts w:cs="Arial"/>
          <w:szCs w:val="22"/>
        </w:rPr>
        <w:t>2</w:t>
      </w:r>
      <w:r w:rsidRPr="002E6FE0">
        <w:rPr>
          <w:rFonts w:cs="Arial"/>
          <w:szCs w:val="22"/>
        </w:rPr>
        <w:t xml:space="preserve"> establishes statutory</w:t>
      </w:r>
      <w:r>
        <w:rPr>
          <w:rFonts w:cs="Arial"/>
        </w:rPr>
        <w:t xml:space="preserve"> accounting principles for </w:t>
      </w:r>
      <w:r w:rsidR="005F7315">
        <w:rPr>
          <w:rFonts w:cs="Arial"/>
        </w:rPr>
        <w:t>preferred</w:t>
      </w:r>
      <w:r>
        <w:rPr>
          <w:rFonts w:cs="Arial"/>
        </w:rPr>
        <w:t xml:space="preserve"> stocks</w:t>
      </w:r>
      <w:r w:rsidR="005F7315">
        <w:rPr>
          <w:rFonts w:cs="Arial"/>
        </w:rPr>
        <w:t xml:space="preserve"> and includes </w:t>
      </w:r>
      <w:r w:rsidR="004C1D25">
        <w:rPr>
          <w:rFonts w:cs="Arial"/>
        </w:rPr>
        <w:t xml:space="preserve">preferred </w:t>
      </w:r>
      <w:r w:rsidR="005F7315">
        <w:rPr>
          <w:rFonts w:cs="Arial"/>
        </w:rPr>
        <w:t>stocks that may or may not be publicly traded</w:t>
      </w:r>
      <w:r>
        <w:rPr>
          <w:rFonts w:cs="Arial"/>
        </w:rPr>
        <w:t xml:space="preserve">. </w:t>
      </w:r>
    </w:p>
    <w:p w14:paraId="3226D5CB" w14:textId="77777777" w:rsidR="004C1D25" w:rsidRDefault="004C1D25" w:rsidP="00304EDB">
      <w:pPr>
        <w:pStyle w:val="ListParagraph"/>
        <w:ind w:left="0"/>
        <w:jc w:val="both"/>
        <w:rPr>
          <w:rFonts w:cs="Arial"/>
        </w:rPr>
      </w:pPr>
    </w:p>
    <w:p w14:paraId="16E4979A" w14:textId="77777777" w:rsidR="00EC6698" w:rsidRPr="00EC6698" w:rsidRDefault="00EC6698" w:rsidP="00304EDB">
      <w:pPr>
        <w:pStyle w:val="ListParagraph"/>
        <w:ind w:left="0"/>
        <w:jc w:val="both"/>
        <w:rPr>
          <w:rFonts w:cs="Arial"/>
          <w:b/>
        </w:rPr>
      </w:pPr>
      <w:r w:rsidRPr="00EC6698">
        <w:rPr>
          <w:rFonts w:cs="Arial"/>
          <w:b/>
        </w:rPr>
        <w:t xml:space="preserve">Preferred Stock: </w:t>
      </w:r>
    </w:p>
    <w:p w14:paraId="5A98B407" w14:textId="77777777" w:rsidR="00EC6698" w:rsidRDefault="00EC6698" w:rsidP="00304EDB">
      <w:pPr>
        <w:pStyle w:val="ListParagraph"/>
        <w:ind w:left="0"/>
        <w:jc w:val="both"/>
        <w:rPr>
          <w:rFonts w:cs="Arial"/>
        </w:rPr>
      </w:pPr>
    </w:p>
    <w:p w14:paraId="2F3F5C84" w14:textId="77777777" w:rsidR="00EC6698" w:rsidRPr="00EC6698" w:rsidRDefault="00EC6698" w:rsidP="00EC6698">
      <w:pPr>
        <w:pStyle w:val="ListParagraph"/>
        <w:jc w:val="both"/>
        <w:rPr>
          <w:rFonts w:ascii="Arial" w:hAnsi="Arial" w:cs="Arial"/>
          <w:sz w:val="20"/>
          <w:szCs w:val="20"/>
        </w:rPr>
      </w:pPr>
      <w:r w:rsidRPr="00EC6698">
        <w:rPr>
          <w:rFonts w:cs="Arial"/>
          <w:u w:val="single"/>
        </w:rPr>
        <w:t>SSAP No. 32, paragraph 3</w:t>
      </w:r>
      <w:r>
        <w:rPr>
          <w:rFonts w:cs="Arial"/>
        </w:rPr>
        <w:t xml:space="preserve">: </w:t>
      </w:r>
      <w:r w:rsidRPr="00EC6698">
        <w:rPr>
          <w:rFonts w:ascii="Arial" w:hAnsi="Arial" w:cs="Arial"/>
          <w:sz w:val="20"/>
          <w:szCs w:val="20"/>
        </w:rPr>
        <w:t>A</w:t>
      </w:r>
      <w:r w:rsidR="005F7315" w:rsidRPr="00EC6698">
        <w:rPr>
          <w:rFonts w:ascii="Arial" w:hAnsi="Arial" w:cs="Arial"/>
          <w:sz w:val="20"/>
          <w:szCs w:val="20"/>
        </w:rPr>
        <w:t xml:space="preserve">ny class or shares of the holders of which have any preference, either as to the payment of dividends or distribution of assets on liquidation, over the holder of common stock issued by an entity. </w:t>
      </w:r>
    </w:p>
    <w:p w14:paraId="2CCD03FA" w14:textId="77777777" w:rsidR="005F7315" w:rsidRDefault="005F7315" w:rsidP="00304EDB">
      <w:pPr>
        <w:pStyle w:val="ListParagraph"/>
        <w:ind w:left="0"/>
        <w:jc w:val="both"/>
        <w:rPr>
          <w:rFonts w:cs="Arial"/>
        </w:rPr>
      </w:pPr>
    </w:p>
    <w:p w14:paraId="501E675C" w14:textId="77777777" w:rsidR="005F7315" w:rsidRPr="00752E91" w:rsidRDefault="005F7315" w:rsidP="005F7315">
      <w:pPr>
        <w:pStyle w:val="ListParagraph"/>
        <w:jc w:val="both"/>
        <w:rPr>
          <w:rFonts w:ascii="Arial" w:hAnsi="Arial" w:cs="Arial"/>
          <w:sz w:val="20"/>
          <w:szCs w:val="20"/>
        </w:rPr>
      </w:pPr>
      <w:r w:rsidRPr="00EC6698">
        <w:rPr>
          <w:rFonts w:cs="Arial"/>
          <w:u w:val="single"/>
        </w:rPr>
        <w:t>FASB Definition</w:t>
      </w:r>
      <w:r>
        <w:rPr>
          <w:rFonts w:cs="Arial"/>
        </w:rPr>
        <w:t xml:space="preserve">: </w:t>
      </w:r>
      <w:r w:rsidRPr="00752E91">
        <w:rPr>
          <w:rFonts w:ascii="Arial" w:hAnsi="Arial" w:cs="Arial"/>
          <w:sz w:val="20"/>
          <w:szCs w:val="20"/>
          <w:shd w:val="clear" w:color="auto" w:fill="FFFFFF"/>
        </w:rPr>
        <w:t>A security that has preferential rights compared to common stock.</w:t>
      </w:r>
    </w:p>
    <w:p w14:paraId="39701096" w14:textId="77777777" w:rsidR="00DA3990" w:rsidRDefault="00DA3990" w:rsidP="00304EDB">
      <w:pPr>
        <w:pStyle w:val="ListParagraph"/>
        <w:ind w:left="0"/>
        <w:jc w:val="both"/>
        <w:rPr>
          <w:rFonts w:cs="Arial"/>
        </w:rPr>
      </w:pPr>
    </w:p>
    <w:p w14:paraId="1B390E01" w14:textId="77777777" w:rsidR="00F25F5D" w:rsidRPr="005F7315" w:rsidRDefault="00F25F5D" w:rsidP="007D6D32">
      <w:pPr>
        <w:pStyle w:val="ListParagraph"/>
        <w:jc w:val="both"/>
        <w:rPr>
          <w:rStyle w:val="HTMLDefinition"/>
          <w:rFonts w:ascii="Arial" w:hAnsi="Arial" w:cs="Arial"/>
          <w:sz w:val="20"/>
          <w:szCs w:val="20"/>
        </w:rPr>
      </w:pPr>
      <w:r w:rsidRPr="00EC6698">
        <w:rPr>
          <w:rFonts w:cs="Arial"/>
          <w:u w:val="single"/>
        </w:rPr>
        <w:t>NASDAQ Definition</w:t>
      </w:r>
      <w:r w:rsidRPr="0006658D">
        <w:rPr>
          <w:rFonts w:cs="Arial"/>
        </w:rPr>
        <w:t xml:space="preserve">: </w:t>
      </w:r>
      <w:r w:rsidR="005F7315" w:rsidRPr="00752E91">
        <w:rPr>
          <w:rFonts w:ascii="Arial" w:hAnsi="Arial" w:cs="Arial"/>
          <w:iCs/>
          <w:sz w:val="20"/>
          <w:szCs w:val="20"/>
          <w:shd w:val="clear" w:color="auto" w:fill="FFFFFF"/>
        </w:rPr>
        <w:t>A </w:t>
      </w:r>
      <w:r w:rsidR="005F7315" w:rsidRPr="00752E91">
        <w:rPr>
          <w:rFonts w:ascii="Arial" w:hAnsi="Arial" w:cs="Arial"/>
          <w:iCs/>
          <w:sz w:val="20"/>
          <w:szCs w:val="20"/>
          <w:bdr w:val="none" w:sz="0" w:space="0" w:color="auto" w:frame="1"/>
          <w:shd w:val="clear" w:color="auto" w:fill="FFFFFF"/>
        </w:rPr>
        <w:t>security</w:t>
      </w:r>
      <w:r w:rsidR="005F7315" w:rsidRPr="00752E91">
        <w:rPr>
          <w:rFonts w:ascii="Arial" w:hAnsi="Arial" w:cs="Arial"/>
          <w:iCs/>
          <w:sz w:val="20"/>
          <w:szCs w:val="20"/>
          <w:shd w:val="clear" w:color="auto" w:fill="FFFFFF"/>
        </w:rPr>
        <w:t> that shows ownership in a corporation and gives the </w:t>
      </w:r>
      <w:r w:rsidR="005F7315" w:rsidRPr="00752E91">
        <w:rPr>
          <w:rFonts w:ascii="Arial" w:hAnsi="Arial" w:cs="Arial"/>
          <w:iCs/>
          <w:sz w:val="20"/>
          <w:szCs w:val="20"/>
          <w:bdr w:val="none" w:sz="0" w:space="0" w:color="auto" w:frame="1"/>
          <w:shd w:val="clear" w:color="auto" w:fill="FFFFFF"/>
        </w:rPr>
        <w:t>holder</w:t>
      </w:r>
      <w:r w:rsidR="005F7315" w:rsidRPr="00752E91">
        <w:rPr>
          <w:rFonts w:ascii="Arial" w:hAnsi="Arial" w:cs="Arial"/>
          <w:iCs/>
          <w:sz w:val="20"/>
          <w:szCs w:val="20"/>
          <w:shd w:val="clear" w:color="auto" w:fill="FFFFFF"/>
        </w:rPr>
        <w:t> a claim, prior to the claim of </w:t>
      </w:r>
      <w:r w:rsidR="005F7315" w:rsidRPr="00752E91">
        <w:rPr>
          <w:rFonts w:ascii="Arial" w:hAnsi="Arial" w:cs="Arial"/>
          <w:iCs/>
          <w:sz w:val="20"/>
          <w:szCs w:val="20"/>
          <w:bdr w:val="none" w:sz="0" w:space="0" w:color="auto" w:frame="1"/>
          <w:shd w:val="clear" w:color="auto" w:fill="FFFFFF"/>
        </w:rPr>
        <w:t>common</w:t>
      </w:r>
      <w:r w:rsidR="005F7315" w:rsidRPr="00752E91">
        <w:rPr>
          <w:rFonts w:ascii="Arial" w:hAnsi="Arial" w:cs="Arial"/>
          <w:iCs/>
          <w:sz w:val="20"/>
          <w:szCs w:val="20"/>
          <w:shd w:val="clear" w:color="auto" w:fill="FFFFFF"/>
        </w:rPr>
        <w:t> </w:t>
      </w:r>
      <w:r w:rsidR="005F7315" w:rsidRPr="00752E91">
        <w:rPr>
          <w:rFonts w:ascii="Arial" w:hAnsi="Arial" w:cs="Arial"/>
          <w:iCs/>
          <w:sz w:val="20"/>
          <w:szCs w:val="20"/>
          <w:bdr w:val="none" w:sz="0" w:space="0" w:color="auto" w:frame="1"/>
          <w:shd w:val="clear" w:color="auto" w:fill="FFFFFF"/>
        </w:rPr>
        <w:t>stockholders</w:t>
      </w:r>
      <w:r w:rsidR="005F7315" w:rsidRPr="00752E91">
        <w:rPr>
          <w:rFonts w:ascii="Arial" w:hAnsi="Arial" w:cs="Arial"/>
          <w:iCs/>
          <w:sz w:val="20"/>
          <w:szCs w:val="20"/>
          <w:shd w:val="clear" w:color="auto" w:fill="FFFFFF"/>
        </w:rPr>
        <w:t>, on </w:t>
      </w:r>
      <w:r w:rsidR="005F7315" w:rsidRPr="00752E91">
        <w:rPr>
          <w:rFonts w:ascii="Arial" w:hAnsi="Arial" w:cs="Arial"/>
          <w:iCs/>
          <w:sz w:val="20"/>
          <w:szCs w:val="20"/>
          <w:bdr w:val="none" w:sz="0" w:space="0" w:color="auto" w:frame="1"/>
          <w:shd w:val="clear" w:color="auto" w:fill="FFFFFF"/>
        </w:rPr>
        <w:t>earnings</w:t>
      </w:r>
      <w:r w:rsidR="005F7315" w:rsidRPr="00752E91">
        <w:rPr>
          <w:rFonts w:ascii="Arial" w:hAnsi="Arial" w:cs="Arial"/>
          <w:iCs/>
          <w:sz w:val="20"/>
          <w:szCs w:val="20"/>
          <w:shd w:val="clear" w:color="auto" w:fill="FFFFFF"/>
        </w:rPr>
        <w:t> and also generally on </w:t>
      </w:r>
      <w:r w:rsidR="005F7315" w:rsidRPr="00752E91">
        <w:rPr>
          <w:rFonts w:ascii="Arial" w:hAnsi="Arial" w:cs="Arial"/>
          <w:iCs/>
          <w:sz w:val="20"/>
          <w:szCs w:val="20"/>
          <w:bdr w:val="none" w:sz="0" w:space="0" w:color="auto" w:frame="1"/>
          <w:shd w:val="clear" w:color="auto" w:fill="FFFFFF"/>
        </w:rPr>
        <w:t>assets</w:t>
      </w:r>
      <w:r w:rsidR="005F7315" w:rsidRPr="00752E91">
        <w:rPr>
          <w:rFonts w:ascii="Arial" w:hAnsi="Arial" w:cs="Arial"/>
          <w:iCs/>
          <w:sz w:val="20"/>
          <w:szCs w:val="20"/>
          <w:shd w:val="clear" w:color="auto" w:fill="FFFFFF"/>
        </w:rPr>
        <w:t> in the event of </w:t>
      </w:r>
      <w:r w:rsidR="005F7315" w:rsidRPr="00752E91">
        <w:rPr>
          <w:rFonts w:ascii="Arial" w:hAnsi="Arial" w:cs="Arial"/>
          <w:iCs/>
          <w:sz w:val="20"/>
          <w:szCs w:val="20"/>
          <w:bdr w:val="none" w:sz="0" w:space="0" w:color="auto" w:frame="1"/>
          <w:shd w:val="clear" w:color="auto" w:fill="FFFFFF"/>
        </w:rPr>
        <w:t>liquidation</w:t>
      </w:r>
      <w:r w:rsidR="005F7315" w:rsidRPr="00752E91">
        <w:rPr>
          <w:rFonts w:ascii="Arial" w:hAnsi="Arial" w:cs="Arial"/>
          <w:iCs/>
          <w:sz w:val="20"/>
          <w:szCs w:val="20"/>
          <w:shd w:val="clear" w:color="auto" w:fill="FFFFFF"/>
        </w:rPr>
        <w:t>. Most preferred stock pays a fixed</w:t>
      </w:r>
      <w:r w:rsidR="005F7315" w:rsidRPr="00752E91">
        <w:rPr>
          <w:rFonts w:ascii="Arial" w:hAnsi="Arial" w:cs="Arial"/>
          <w:iCs/>
          <w:sz w:val="20"/>
          <w:szCs w:val="20"/>
          <w:bdr w:val="none" w:sz="0" w:space="0" w:color="auto" w:frame="1"/>
          <w:shd w:val="clear" w:color="auto" w:fill="FFFFFF"/>
        </w:rPr>
        <w:t> dividend</w:t>
      </w:r>
      <w:r w:rsidR="005F7315" w:rsidRPr="00752E91">
        <w:rPr>
          <w:rFonts w:ascii="Arial" w:hAnsi="Arial" w:cs="Arial"/>
          <w:iCs/>
          <w:sz w:val="20"/>
          <w:szCs w:val="20"/>
          <w:shd w:val="clear" w:color="auto" w:fill="FFFFFF"/>
        </w:rPr>
        <w:t> that is paid prior to the</w:t>
      </w:r>
      <w:r w:rsidR="005F7315" w:rsidRPr="00752E91">
        <w:rPr>
          <w:rFonts w:ascii="Arial" w:hAnsi="Arial" w:cs="Arial"/>
          <w:iCs/>
          <w:sz w:val="20"/>
          <w:szCs w:val="20"/>
          <w:bdr w:val="none" w:sz="0" w:space="0" w:color="auto" w:frame="1"/>
          <w:shd w:val="clear" w:color="auto" w:fill="FFFFFF"/>
        </w:rPr>
        <w:t> common stock</w:t>
      </w:r>
      <w:r w:rsidR="005F7315" w:rsidRPr="00752E91">
        <w:rPr>
          <w:rFonts w:ascii="Arial" w:hAnsi="Arial" w:cs="Arial"/>
          <w:iCs/>
          <w:sz w:val="20"/>
          <w:szCs w:val="20"/>
          <w:shd w:val="clear" w:color="auto" w:fill="FFFFFF"/>
        </w:rPr>
        <w:t> dividend, </w:t>
      </w:r>
      <w:r w:rsidR="005F7315" w:rsidRPr="00752E91">
        <w:rPr>
          <w:rFonts w:ascii="Arial" w:hAnsi="Arial" w:cs="Arial"/>
          <w:iCs/>
          <w:sz w:val="20"/>
          <w:szCs w:val="20"/>
          <w:bdr w:val="none" w:sz="0" w:space="0" w:color="auto" w:frame="1"/>
          <w:shd w:val="clear" w:color="auto" w:fill="FFFFFF"/>
        </w:rPr>
        <w:t>stated</w:t>
      </w:r>
      <w:r w:rsidR="005F7315" w:rsidRPr="00752E91">
        <w:rPr>
          <w:rFonts w:ascii="Arial" w:hAnsi="Arial" w:cs="Arial"/>
          <w:iCs/>
          <w:sz w:val="20"/>
          <w:szCs w:val="20"/>
          <w:shd w:val="clear" w:color="auto" w:fill="FFFFFF"/>
        </w:rPr>
        <w:t> in a dollar amount or as a percentage of </w:t>
      </w:r>
      <w:r w:rsidR="005F7315" w:rsidRPr="00752E91">
        <w:rPr>
          <w:rFonts w:ascii="Arial" w:hAnsi="Arial" w:cs="Arial"/>
          <w:iCs/>
          <w:sz w:val="20"/>
          <w:szCs w:val="20"/>
          <w:bdr w:val="none" w:sz="0" w:space="0" w:color="auto" w:frame="1"/>
          <w:shd w:val="clear" w:color="auto" w:fill="FFFFFF"/>
        </w:rPr>
        <w:t>par value</w:t>
      </w:r>
      <w:r w:rsidR="005F7315" w:rsidRPr="00752E91">
        <w:rPr>
          <w:rFonts w:ascii="Arial" w:hAnsi="Arial" w:cs="Arial"/>
          <w:iCs/>
          <w:sz w:val="20"/>
          <w:szCs w:val="20"/>
          <w:shd w:val="clear" w:color="auto" w:fill="FFFFFF"/>
        </w:rPr>
        <w:t>. This stock does not usually carry </w:t>
      </w:r>
      <w:r w:rsidR="005F7315" w:rsidRPr="00752E91">
        <w:rPr>
          <w:rFonts w:ascii="Arial" w:hAnsi="Arial" w:cs="Arial"/>
          <w:iCs/>
          <w:sz w:val="20"/>
          <w:szCs w:val="20"/>
          <w:bdr w:val="none" w:sz="0" w:space="0" w:color="auto" w:frame="1"/>
          <w:shd w:val="clear" w:color="auto" w:fill="FFFFFF"/>
        </w:rPr>
        <w:t>voting rights</w:t>
      </w:r>
      <w:r w:rsidR="005F7315" w:rsidRPr="00752E91">
        <w:rPr>
          <w:rFonts w:ascii="Arial" w:hAnsi="Arial" w:cs="Arial"/>
          <w:iCs/>
          <w:sz w:val="20"/>
          <w:szCs w:val="20"/>
          <w:shd w:val="clear" w:color="auto" w:fill="FFFFFF"/>
        </w:rPr>
        <w:t>. Preferred stock has characteristics of both common stock and </w:t>
      </w:r>
      <w:r w:rsidR="005F7315" w:rsidRPr="00752E91">
        <w:rPr>
          <w:rFonts w:ascii="Arial" w:hAnsi="Arial" w:cs="Arial"/>
          <w:iCs/>
          <w:sz w:val="20"/>
          <w:szCs w:val="20"/>
          <w:bdr w:val="none" w:sz="0" w:space="0" w:color="auto" w:frame="1"/>
          <w:shd w:val="clear" w:color="auto" w:fill="FFFFFF"/>
        </w:rPr>
        <w:t>debt</w:t>
      </w:r>
      <w:r w:rsidR="005F7315" w:rsidRPr="00752E91">
        <w:rPr>
          <w:rFonts w:ascii="Arial" w:hAnsi="Arial" w:cs="Arial"/>
          <w:iCs/>
          <w:sz w:val="20"/>
          <w:szCs w:val="20"/>
          <w:shd w:val="clear" w:color="auto" w:fill="FFFFFF"/>
        </w:rPr>
        <w:t>.</w:t>
      </w:r>
    </w:p>
    <w:p w14:paraId="76DB0916" w14:textId="77777777" w:rsidR="00974895" w:rsidRDefault="00974895" w:rsidP="007D6D32">
      <w:pPr>
        <w:pStyle w:val="ListParagraph"/>
        <w:jc w:val="both"/>
        <w:rPr>
          <w:rFonts w:cs="Arial"/>
        </w:rPr>
      </w:pPr>
    </w:p>
    <w:p w14:paraId="4BF89132" w14:textId="77777777" w:rsidR="00A84E0A" w:rsidRDefault="00A84E0A" w:rsidP="00974895">
      <w:pPr>
        <w:pStyle w:val="ListParagraph"/>
        <w:ind w:left="0"/>
        <w:jc w:val="both"/>
        <w:rPr>
          <w:rFonts w:cs="Arial"/>
        </w:rPr>
      </w:pPr>
      <w:r>
        <w:rPr>
          <w:rFonts w:cs="Arial"/>
        </w:rPr>
        <w:t xml:space="preserve">The scope of </w:t>
      </w:r>
      <w:r w:rsidR="00303012">
        <w:rPr>
          <w:rFonts w:cs="Arial"/>
        </w:rPr>
        <w:t>SSAP No. 32</w:t>
      </w:r>
      <w:r w:rsidR="004C1D25">
        <w:rPr>
          <w:rFonts w:cs="Arial"/>
        </w:rPr>
        <w:t>, paragraph 3,</w:t>
      </w:r>
      <w:r w:rsidR="00303012">
        <w:rPr>
          <w:rFonts w:cs="Arial"/>
        </w:rPr>
        <w:t xml:space="preserve"> </w:t>
      </w:r>
      <w:r w:rsidR="00EC6698">
        <w:rPr>
          <w:rFonts w:cs="Arial"/>
        </w:rPr>
        <w:t>identifies that the definition of preferred stock includes</w:t>
      </w:r>
      <w:r>
        <w:rPr>
          <w:rFonts w:cs="Arial"/>
        </w:rPr>
        <w:t>:</w:t>
      </w:r>
    </w:p>
    <w:p w14:paraId="19E6FCEA" w14:textId="77777777" w:rsidR="00A84E0A" w:rsidRPr="004C1D25" w:rsidRDefault="00A84E0A" w:rsidP="00974895">
      <w:pPr>
        <w:pStyle w:val="ListParagraph"/>
        <w:ind w:left="0"/>
        <w:jc w:val="both"/>
        <w:rPr>
          <w:rFonts w:ascii="Arial" w:hAnsi="Arial" w:cs="Arial"/>
          <w:sz w:val="20"/>
          <w:szCs w:val="20"/>
        </w:rPr>
      </w:pPr>
    </w:p>
    <w:p w14:paraId="4D815700" w14:textId="77777777" w:rsidR="00A84E0A" w:rsidRPr="004C1D25" w:rsidRDefault="00A84E0A" w:rsidP="004C1D25">
      <w:pPr>
        <w:pStyle w:val="ListParagraph"/>
        <w:numPr>
          <w:ilvl w:val="0"/>
          <w:numId w:val="39"/>
        </w:numPr>
        <w:ind w:left="1080"/>
        <w:jc w:val="both"/>
        <w:rPr>
          <w:rFonts w:ascii="Arial" w:hAnsi="Arial" w:cs="Arial"/>
          <w:sz w:val="20"/>
          <w:szCs w:val="20"/>
        </w:rPr>
      </w:pPr>
      <w:r w:rsidRPr="004C1D25">
        <w:rPr>
          <w:rFonts w:ascii="Arial" w:hAnsi="Arial" w:cs="Arial"/>
          <w:sz w:val="20"/>
          <w:szCs w:val="20"/>
        </w:rPr>
        <w:t>R</w:t>
      </w:r>
      <w:r w:rsidR="00EC6698" w:rsidRPr="004C1D25">
        <w:rPr>
          <w:rFonts w:ascii="Arial" w:hAnsi="Arial" w:cs="Arial"/>
          <w:sz w:val="20"/>
          <w:szCs w:val="20"/>
        </w:rPr>
        <w:t xml:space="preserve">edeemable preferred stock, including mandatory sinking fund preferred stock and preferred stock redeemable by the holder; </w:t>
      </w:r>
    </w:p>
    <w:p w14:paraId="75F38B77" w14:textId="77777777" w:rsidR="00A84E0A" w:rsidRPr="004C1D25" w:rsidRDefault="00A84E0A" w:rsidP="004C1D25">
      <w:pPr>
        <w:pStyle w:val="ListParagraph"/>
        <w:ind w:left="1080"/>
        <w:jc w:val="both"/>
        <w:rPr>
          <w:rFonts w:ascii="Arial" w:hAnsi="Arial" w:cs="Arial"/>
          <w:sz w:val="20"/>
          <w:szCs w:val="20"/>
        </w:rPr>
      </w:pPr>
    </w:p>
    <w:p w14:paraId="1B3A46B9" w14:textId="77777777" w:rsidR="00A84E0A" w:rsidRPr="004C1D25" w:rsidRDefault="00A84E0A" w:rsidP="004C1D25">
      <w:pPr>
        <w:pStyle w:val="ListParagraph"/>
        <w:numPr>
          <w:ilvl w:val="0"/>
          <w:numId w:val="39"/>
        </w:numPr>
        <w:ind w:left="1080"/>
        <w:jc w:val="both"/>
        <w:rPr>
          <w:rFonts w:ascii="Arial" w:hAnsi="Arial" w:cs="Arial"/>
          <w:sz w:val="20"/>
          <w:szCs w:val="20"/>
        </w:rPr>
      </w:pPr>
      <w:r w:rsidRPr="004C1D25">
        <w:rPr>
          <w:rFonts w:ascii="Arial" w:hAnsi="Arial" w:cs="Arial"/>
          <w:sz w:val="20"/>
          <w:szCs w:val="20"/>
        </w:rPr>
        <w:t>P</w:t>
      </w:r>
      <w:r w:rsidR="00EC6698" w:rsidRPr="004C1D25">
        <w:rPr>
          <w:rFonts w:ascii="Arial" w:hAnsi="Arial" w:cs="Arial"/>
          <w:sz w:val="20"/>
          <w:szCs w:val="20"/>
        </w:rPr>
        <w:t xml:space="preserve">erpetual preferred stock, including nonredeemable preferred stock and preferred stock redeemable at the option of the issuer; and </w:t>
      </w:r>
    </w:p>
    <w:p w14:paraId="25B7EFAA" w14:textId="77777777" w:rsidR="00A84E0A" w:rsidRPr="004C1D25" w:rsidRDefault="00A84E0A" w:rsidP="004C1D25">
      <w:pPr>
        <w:ind w:left="720"/>
        <w:jc w:val="both"/>
        <w:rPr>
          <w:rFonts w:ascii="Arial" w:hAnsi="Arial" w:cs="Arial"/>
        </w:rPr>
      </w:pPr>
    </w:p>
    <w:p w14:paraId="1C72190A" w14:textId="77777777" w:rsidR="00A84E0A" w:rsidRPr="004C1D25" w:rsidRDefault="00A84E0A" w:rsidP="004C1D25">
      <w:pPr>
        <w:pStyle w:val="ListParagraph"/>
        <w:numPr>
          <w:ilvl w:val="0"/>
          <w:numId w:val="39"/>
        </w:numPr>
        <w:ind w:left="1080"/>
        <w:jc w:val="both"/>
        <w:rPr>
          <w:rFonts w:ascii="Arial" w:hAnsi="Arial" w:cs="Arial"/>
          <w:sz w:val="20"/>
          <w:szCs w:val="20"/>
        </w:rPr>
      </w:pPr>
      <w:r w:rsidRPr="004C1D25">
        <w:rPr>
          <w:rFonts w:ascii="Arial" w:hAnsi="Arial" w:cs="Arial"/>
          <w:sz w:val="20"/>
          <w:szCs w:val="20"/>
        </w:rPr>
        <w:t>E</w:t>
      </w:r>
      <w:r w:rsidR="00EC6698" w:rsidRPr="004C1D25">
        <w:rPr>
          <w:rFonts w:ascii="Arial" w:hAnsi="Arial" w:cs="Arial"/>
          <w:sz w:val="20"/>
          <w:szCs w:val="20"/>
        </w:rPr>
        <w:t>xchange traded funds</w:t>
      </w:r>
      <w:r w:rsidR="004C1D25" w:rsidRPr="004C1D25">
        <w:rPr>
          <w:rFonts w:ascii="Arial" w:hAnsi="Arial" w:cs="Arial"/>
          <w:sz w:val="20"/>
          <w:szCs w:val="20"/>
        </w:rPr>
        <w:t xml:space="preserve">, which qualify for preferred stock treatment, as identified in Part Six, Section 2, of the Purposes and Procedures Manual of the </w:t>
      </w:r>
      <w:r w:rsidR="00EC6698" w:rsidRPr="004C1D25">
        <w:rPr>
          <w:rFonts w:ascii="Arial" w:hAnsi="Arial" w:cs="Arial"/>
          <w:sz w:val="20"/>
          <w:szCs w:val="20"/>
        </w:rPr>
        <w:t xml:space="preserve">NAIC Investment Analysis Office. </w:t>
      </w:r>
    </w:p>
    <w:p w14:paraId="603744A9" w14:textId="77777777" w:rsidR="00A84E0A" w:rsidRDefault="00A84E0A" w:rsidP="00974895">
      <w:pPr>
        <w:pStyle w:val="ListParagraph"/>
        <w:ind w:left="0"/>
        <w:jc w:val="both"/>
        <w:rPr>
          <w:rFonts w:cs="Arial"/>
        </w:rPr>
      </w:pPr>
    </w:p>
    <w:p w14:paraId="4351F1CB" w14:textId="77777777" w:rsidR="00A84E0A" w:rsidRDefault="00EC6698" w:rsidP="00974895">
      <w:pPr>
        <w:pStyle w:val="ListParagraph"/>
        <w:ind w:left="0"/>
        <w:jc w:val="both"/>
        <w:rPr>
          <w:rFonts w:cs="Arial"/>
        </w:rPr>
      </w:pPr>
      <w:r>
        <w:rPr>
          <w:rFonts w:cs="Arial"/>
        </w:rPr>
        <w:t xml:space="preserve">SSAP No. 32 </w:t>
      </w:r>
      <w:r w:rsidR="00A84E0A">
        <w:rPr>
          <w:rFonts w:cs="Arial"/>
        </w:rPr>
        <w:t xml:space="preserve">then </w:t>
      </w:r>
      <w:r w:rsidR="00303012">
        <w:rPr>
          <w:rFonts w:cs="Arial"/>
        </w:rPr>
        <w:t xml:space="preserve">includes definitions </w:t>
      </w:r>
      <w:r w:rsidR="00225009">
        <w:rPr>
          <w:rFonts w:cs="Arial"/>
        </w:rPr>
        <w:t>for</w:t>
      </w:r>
      <w:r w:rsidR="00303012">
        <w:rPr>
          <w:rFonts w:cs="Arial"/>
        </w:rPr>
        <w:t xml:space="preserve"> </w:t>
      </w:r>
      <w:r w:rsidR="00225009">
        <w:rPr>
          <w:rFonts w:cs="Arial"/>
        </w:rPr>
        <w:t>r</w:t>
      </w:r>
      <w:r w:rsidR="00303012">
        <w:rPr>
          <w:rFonts w:cs="Arial"/>
        </w:rPr>
        <w:t xml:space="preserve">edeemable </w:t>
      </w:r>
      <w:r w:rsidR="00225009">
        <w:rPr>
          <w:rFonts w:cs="Arial"/>
        </w:rPr>
        <w:t>p</w:t>
      </w:r>
      <w:r w:rsidR="00303012">
        <w:rPr>
          <w:rFonts w:cs="Arial"/>
        </w:rPr>
        <w:t xml:space="preserve">referred </w:t>
      </w:r>
      <w:r w:rsidR="00225009">
        <w:rPr>
          <w:rFonts w:cs="Arial"/>
        </w:rPr>
        <w:t>s</w:t>
      </w:r>
      <w:r w:rsidR="00303012">
        <w:rPr>
          <w:rFonts w:cs="Arial"/>
        </w:rPr>
        <w:t xml:space="preserve">tock, </w:t>
      </w:r>
      <w:r w:rsidR="00225009">
        <w:rPr>
          <w:rFonts w:cs="Arial"/>
        </w:rPr>
        <w:t>p</w:t>
      </w:r>
      <w:r w:rsidR="00303012">
        <w:rPr>
          <w:rFonts w:cs="Arial"/>
        </w:rPr>
        <w:t xml:space="preserve">erpetual </w:t>
      </w:r>
      <w:r w:rsidR="00225009">
        <w:rPr>
          <w:rFonts w:cs="Arial"/>
        </w:rPr>
        <w:t>p</w:t>
      </w:r>
      <w:r w:rsidR="00303012">
        <w:rPr>
          <w:rFonts w:cs="Arial"/>
        </w:rPr>
        <w:t xml:space="preserve">referred </w:t>
      </w:r>
      <w:r w:rsidR="00225009">
        <w:rPr>
          <w:rFonts w:cs="Arial"/>
        </w:rPr>
        <w:t>s</w:t>
      </w:r>
      <w:r w:rsidR="00303012">
        <w:rPr>
          <w:rFonts w:cs="Arial"/>
        </w:rPr>
        <w:t xml:space="preserve">tock, </w:t>
      </w:r>
      <w:r w:rsidR="00225009">
        <w:rPr>
          <w:rFonts w:cs="Arial"/>
        </w:rPr>
        <w:t>m</w:t>
      </w:r>
      <w:r w:rsidR="00303012">
        <w:rPr>
          <w:rFonts w:cs="Arial"/>
        </w:rPr>
        <w:t xml:space="preserve">andatory </w:t>
      </w:r>
      <w:r w:rsidR="00225009">
        <w:rPr>
          <w:rFonts w:cs="Arial"/>
        </w:rPr>
        <w:t>s</w:t>
      </w:r>
      <w:r w:rsidR="00303012">
        <w:rPr>
          <w:rFonts w:cs="Arial"/>
        </w:rPr>
        <w:t xml:space="preserve">inking </w:t>
      </w:r>
      <w:r w:rsidR="00225009">
        <w:rPr>
          <w:rFonts w:cs="Arial"/>
        </w:rPr>
        <w:t>f</w:t>
      </w:r>
      <w:r w:rsidR="00303012">
        <w:rPr>
          <w:rFonts w:cs="Arial"/>
        </w:rPr>
        <w:t xml:space="preserve">und </w:t>
      </w:r>
      <w:r w:rsidR="00225009">
        <w:rPr>
          <w:rFonts w:cs="Arial"/>
        </w:rPr>
        <w:t>p</w:t>
      </w:r>
      <w:r w:rsidR="00303012">
        <w:rPr>
          <w:rFonts w:cs="Arial"/>
        </w:rPr>
        <w:t xml:space="preserve">referred </w:t>
      </w:r>
      <w:r w:rsidR="00225009">
        <w:rPr>
          <w:rFonts w:cs="Arial"/>
        </w:rPr>
        <w:t>s</w:t>
      </w:r>
      <w:r w:rsidR="00303012">
        <w:rPr>
          <w:rFonts w:cs="Arial"/>
        </w:rPr>
        <w:t xml:space="preserve">tock, </w:t>
      </w:r>
      <w:r w:rsidR="00225009">
        <w:rPr>
          <w:rFonts w:cs="Arial"/>
        </w:rPr>
        <w:t>p</w:t>
      </w:r>
      <w:r w:rsidR="00303012">
        <w:rPr>
          <w:rFonts w:cs="Arial"/>
        </w:rPr>
        <w:t>ayment-in-</w:t>
      </w:r>
      <w:r w:rsidR="00225009">
        <w:rPr>
          <w:rFonts w:cs="Arial"/>
        </w:rPr>
        <w:t>k</w:t>
      </w:r>
      <w:r w:rsidR="00303012">
        <w:rPr>
          <w:rFonts w:cs="Arial"/>
        </w:rPr>
        <w:t xml:space="preserve">ind </w:t>
      </w:r>
      <w:r w:rsidR="00225009">
        <w:rPr>
          <w:rFonts w:cs="Arial"/>
        </w:rPr>
        <w:t>p</w:t>
      </w:r>
      <w:r w:rsidR="00303012">
        <w:rPr>
          <w:rFonts w:cs="Arial"/>
        </w:rPr>
        <w:t xml:space="preserve">referred </w:t>
      </w:r>
      <w:r w:rsidR="00225009">
        <w:rPr>
          <w:rFonts w:cs="Arial"/>
        </w:rPr>
        <w:t>s</w:t>
      </w:r>
      <w:r w:rsidR="00303012">
        <w:rPr>
          <w:rFonts w:cs="Arial"/>
        </w:rPr>
        <w:t>tock</w:t>
      </w:r>
      <w:r w:rsidR="003E29E8">
        <w:rPr>
          <w:rFonts w:cs="Arial"/>
        </w:rPr>
        <w:t>, step-up preferred stock</w:t>
      </w:r>
      <w:r w:rsidR="00303012">
        <w:rPr>
          <w:rFonts w:cs="Arial"/>
        </w:rPr>
        <w:t xml:space="preserve"> and </w:t>
      </w:r>
      <w:r w:rsidR="00225009">
        <w:rPr>
          <w:rFonts w:cs="Arial"/>
        </w:rPr>
        <w:t>r</w:t>
      </w:r>
      <w:r w:rsidR="00303012">
        <w:rPr>
          <w:rFonts w:cs="Arial"/>
        </w:rPr>
        <w:t xml:space="preserve">estricted </w:t>
      </w:r>
      <w:r w:rsidR="00225009">
        <w:rPr>
          <w:rFonts w:cs="Arial"/>
        </w:rPr>
        <w:t>s</w:t>
      </w:r>
      <w:r w:rsidR="00303012">
        <w:rPr>
          <w:rFonts w:cs="Arial"/>
        </w:rPr>
        <w:t>tock</w:t>
      </w:r>
      <w:r w:rsidR="00A84E0A">
        <w:rPr>
          <w:rFonts w:cs="Arial"/>
        </w:rPr>
        <w:t>.</w:t>
      </w:r>
    </w:p>
    <w:p w14:paraId="39B5CFE3" w14:textId="77777777" w:rsidR="00974895" w:rsidRDefault="00303012" w:rsidP="00974895">
      <w:pPr>
        <w:pStyle w:val="ListParagraph"/>
        <w:ind w:left="0"/>
        <w:jc w:val="both"/>
        <w:rPr>
          <w:rFonts w:cs="Arial"/>
        </w:rPr>
      </w:pPr>
      <w:r>
        <w:rPr>
          <w:rFonts w:cs="Arial"/>
        </w:rPr>
        <w:t xml:space="preserve"> </w:t>
      </w:r>
    </w:p>
    <w:p w14:paraId="0EF51AD3" w14:textId="77777777" w:rsidR="003B7FEA" w:rsidRDefault="003B7FEA" w:rsidP="00974895">
      <w:pPr>
        <w:pStyle w:val="ListParagraph"/>
        <w:ind w:left="0"/>
        <w:jc w:val="both"/>
        <w:rPr>
          <w:rFonts w:cs="Arial"/>
        </w:rPr>
      </w:pPr>
    </w:p>
    <w:p w14:paraId="6C12BE95" w14:textId="77777777" w:rsidR="00150CE4" w:rsidRPr="00EC6698" w:rsidRDefault="00150CE4" w:rsidP="00974895">
      <w:pPr>
        <w:pStyle w:val="ListParagraph"/>
        <w:ind w:left="0"/>
        <w:jc w:val="both"/>
        <w:rPr>
          <w:rFonts w:cs="Arial"/>
          <w:b/>
        </w:rPr>
      </w:pPr>
      <w:r w:rsidRPr="00EC6698">
        <w:rPr>
          <w:rFonts w:cs="Arial"/>
          <w:b/>
        </w:rPr>
        <w:t xml:space="preserve">Redeemable Preferred Stock: </w:t>
      </w:r>
    </w:p>
    <w:p w14:paraId="2626413B" w14:textId="77777777" w:rsidR="00150CE4" w:rsidRDefault="00150CE4" w:rsidP="00974895">
      <w:pPr>
        <w:pStyle w:val="ListParagraph"/>
        <w:ind w:left="0"/>
        <w:jc w:val="both"/>
        <w:rPr>
          <w:rFonts w:cs="Arial"/>
        </w:rPr>
      </w:pPr>
    </w:p>
    <w:p w14:paraId="24A14BE0" w14:textId="77777777" w:rsidR="00150CE4" w:rsidRDefault="00150CE4" w:rsidP="00150CE4">
      <w:pPr>
        <w:pStyle w:val="ListParagraph"/>
        <w:jc w:val="both"/>
        <w:rPr>
          <w:rFonts w:cs="Arial"/>
        </w:rPr>
      </w:pPr>
      <w:r w:rsidRPr="00150CE4">
        <w:rPr>
          <w:rFonts w:cs="Arial"/>
          <w:u w:val="single"/>
        </w:rPr>
        <w:t>SSAP No. 32, paragraph 4</w:t>
      </w:r>
      <w:r>
        <w:rPr>
          <w:rFonts w:cs="Arial"/>
        </w:rPr>
        <w:t xml:space="preserve">: </w:t>
      </w:r>
      <w:r w:rsidRPr="00150CE4">
        <w:rPr>
          <w:rFonts w:ascii="Arial" w:hAnsi="Arial" w:cs="Arial"/>
          <w:sz w:val="20"/>
          <w:szCs w:val="20"/>
        </w:rPr>
        <w:t>Preferred Stock that must be redeemed by the issuing enterprise or is redeemable at the option of the reporting entity. It includes mandatory sinking fund preferred stock and payment-in-kind (PIK) preferred stock.</w:t>
      </w:r>
      <w:r>
        <w:rPr>
          <w:rFonts w:cs="Arial"/>
        </w:rPr>
        <w:t xml:space="preserve"> </w:t>
      </w:r>
    </w:p>
    <w:p w14:paraId="5AE8A93D" w14:textId="77777777" w:rsidR="00150CE4" w:rsidRDefault="00150CE4" w:rsidP="00150CE4">
      <w:pPr>
        <w:pStyle w:val="ListParagraph"/>
        <w:jc w:val="both"/>
        <w:rPr>
          <w:rFonts w:cs="Arial"/>
        </w:rPr>
      </w:pPr>
    </w:p>
    <w:p w14:paraId="2AB17356" w14:textId="77777777" w:rsidR="00150CE4" w:rsidRPr="00150CE4" w:rsidRDefault="00150CE4" w:rsidP="00150CE4">
      <w:pPr>
        <w:pStyle w:val="ListParagraph"/>
        <w:jc w:val="both"/>
        <w:rPr>
          <w:rFonts w:ascii="Arial" w:hAnsi="Arial" w:cs="Arial"/>
          <w:color w:val="000000"/>
          <w:sz w:val="20"/>
          <w:szCs w:val="20"/>
        </w:rPr>
      </w:pPr>
      <w:r w:rsidRPr="000B1A9B">
        <w:rPr>
          <w:rFonts w:cs="Arial"/>
          <w:u w:val="single"/>
        </w:rPr>
        <w:t>FASB ASC 480-10-S99 - (This guidance comes from SEC CFRR 211: Redeemable Preferred Stock):</w:t>
      </w:r>
      <w:r>
        <w:rPr>
          <w:rFonts w:cs="Arial"/>
        </w:rPr>
        <w:t xml:space="preserve"> </w:t>
      </w:r>
      <w:r w:rsidRPr="00150CE4">
        <w:rPr>
          <w:rFonts w:ascii="Arial" w:hAnsi="Arial" w:cs="Arial"/>
          <w:sz w:val="20"/>
          <w:szCs w:val="20"/>
        </w:rPr>
        <w:t>Preferred Stock Subject to Mandatory Redemption Requirements or Whose Redemption is Outside the Control of the Issuer ("Redeemable Preferred Stock"). The term means any stock which (i) the issuer undertakes to redeem at a fixed or determinable price on the fixed or determinable date or dates, whether by operation of a sinking fund or otherwise; (ii) is redeemable at the option of the holders, or (iii) has conditions for redemption which are not solely within the control of the issuer, such as stocks which must be redeemed out of future earnings. Under this definition, preferred stock which meet one or more of the above criteria would be classified as redeemable preferred stock regardless of their other attributes such as voting rights, dividend rights or conversion features.</w:t>
      </w:r>
    </w:p>
    <w:p w14:paraId="74A26C7A" w14:textId="77777777" w:rsidR="00150CE4" w:rsidRDefault="00150CE4" w:rsidP="00150CE4">
      <w:pPr>
        <w:pStyle w:val="ListParagraph"/>
        <w:jc w:val="both"/>
        <w:rPr>
          <w:rFonts w:cs="Arial"/>
        </w:rPr>
      </w:pPr>
    </w:p>
    <w:p w14:paraId="1628740B" w14:textId="77777777" w:rsidR="00777680" w:rsidRPr="00EC6698" w:rsidRDefault="00777680" w:rsidP="00777680">
      <w:pPr>
        <w:pStyle w:val="ListParagraph"/>
        <w:ind w:left="0"/>
        <w:jc w:val="both"/>
        <w:rPr>
          <w:rFonts w:cs="Arial"/>
          <w:b/>
        </w:rPr>
      </w:pPr>
      <w:r w:rsidRPr="00EC6698">
        <w:rPr>
          <w:rFonts w:cs="Arial"/>
          <w:b/>
        </w:rPr>
        <w:t xml:space="preserve">Perpetual Preferred Stock: </w:t>
      </w:r>
    </w:p>
    <w:p w14:paraId="28F876E1" w14:textId="77777777" w:rsidR="00777680" w:rsidRDefault="00777680" w:rsidP="00777680">
      <w:pPr>
        <w:pStyle w:val="ListParagraph"/>
        <w:ind w:left="0"/>
        <w:jc w:val="both"/>
        <w:rPr>
          <w:rFonts w:cs="Arial"/>
          <w:b/>
          <w:u w:val="single"/>
        </w:rPr>
      </w:pPr>
    </w:p>
    <w:p w14:paraId="5EF56802" w14:textId="77777777" w:rsidR="000B1A9B" w:rsidRDefault="000B1A9B" w:rsidP="000B1A9B">
      <w:pPr>
        <w:pStyle w:val="ListContinue"/>
        <w:numPr>
          <w:ilvl w:val="0"/>
          <w:numId w:val="0"/>
        </w:numPr>
        <w:ind w:left="720"/>
      </w:pPr>
      <w:r w:rsidRPr="00150CE4">
        <w:rPr>
          <w:rFonts w:cs="Arial"/>
          <w:u w:val="single"/>
        </w:rPr>
        <w:t xml:space="preserve">SSAP No. 32, paragraph </w:t>
      </w:r>
      <w:r>
        <w:rPr>
          <w:rFonts w:cs="Arial"/>
          <w:u w:val="single"/>
        </w:rPr>
        <w:t xml:space="preserve">7: </w:t>
      </w:r>
      <w:r w:rsidRPr="000B1A9B">
        <w:rPr>
          <w:rFonts w:ascii="Arial" w:hAnsi="Arial" w:cs="Arial"/>
          <w:sz w:val="20"/>
        </w:rPr>
        <w:t>Perpetual preferred stock is defined as preferred stock with no redemption or sinking fund features or preferred stock redeemable at the option of the issuer.</w:t>
      </w:r>
    </w:p>
    <w:p w14:paraId="07A3FF81" w14:textId="77777777" w:rsidR="000B1A9B" w:rsidRDefault="000B1A9B" w:rsidP="000B1A9B">
      <w:pPr>
        <w:pStyle w:val="ListParagraph"/>
        <w:jc w:val="both"/>
        <w:rPr>
          <w:rFonts w:ascii="Arial" w:hAnsi="Arial" w:cs="Arial"/>
          <w:sz w:val="20"/>
          <w:szCs w:val="20"/>
          <w:shd w:val="clear" w:color="auto" w:fill="FFFFFF"/>
        </w:rPr>
      </w:pPr>
      <w:r w:rsidRPr="000B1A9B">
        <w:rPr>
          <w:rFonts w:cs="Arial"/>
          <w:u w:val="single"/>
        </w:rPr>
        <w:t>FASB ASC 480-10-S99 - (This guidance comes from SEC CFRR 211: Redeemable Preferred Stock):</w:t>
      </w:r>
      <w:r>
        <w:rPr>
          <w:rFonts w:cs="Arial"/>
        </w:rPr>
        <w:t xml:space="preserve"> </w:t>
      </w:r>
      <w:r w:rsidRPr="000B1A9B">
        <w:rPr>
          <w:rFonts w:ascii="Arial" w:hAnsi="Arial" w:cs="Arial"/>
          <w:bCs/>
          <w:sz w:val="20"/>
          <w:szCs w:val="20"/>
          <w:shd w:val="clear" w:color="auto" w:fill="FFFFFF"/>
        </w:rPr>
        <w:t>Preferred Stocks Which Are Not Redeemable or Are Redeemable Solely at the Option of the Issuer</w:t>
      </w:r>
      <w:r w:rsidRPr="000B1A9B">
        <w:rPr>
          <w:rFonts w:ascii="Arial" w:hAnsi="Arial" w:cs="Arial"/>
          <w:sz w:val="20"/>
          <w:szCs w:val="20"/>
          <w:shd w:val="clear" w:color="auto" w:fill="FFFFFF"/>
        </w:rPr>
        <w:t> ("Non-Redeemable Preferred Stock "). The term means any preferred stock which does not meet the criteria for classification as a "redeemable preferred stock."</w:t>
      </w:r>
    </w:p>
    <w:p w14:paraId="398DA51F" w14:textId="77777777" w:rsidR="000610EC" w:rsidRDefault="000610EC" w:rsidP="000B1A9B">
      <w:pPr>
        <w:pStyle w:val="ListParagraph"/>
        <w:jc w:val="both"/>
        <w:rPr>
          <w:rFonts w:ascii="Verdana" w:hAnsi="Verdana"/>
          <w:color w:val="000000"/>
          <w:szCs w:val="22"/>
          <w:shd w:val="clear" w:color="auto" w:fill="FFFFFF"/>
        </w:rPr>
      </w:pPr>
    </w:p>
    <w:p w14:paraId="0A046504" w14:textId="77777777" w:rsidR="000610EC" w:rsidRPr="00EC6698" w:rsidRDefault="000610EC" w:rsidP="000610EC">
      <w:pPr>
        <w:pStyle w:val="ListParagraph"/>
        <w:ind w:left="0"/>
        <w:jc w:val="both"/>
        <w:rPr>
          <w:iCs/>
          <w:szCs w:val="22"/>
          <w:u w:val="single"/>
          <w:shd w:val="clear" w:color="auto" w:fill="FFFFFF"/>
        </w:rPr>
      </w:pPr>
      <w:r w:rsidRPr="00EC6698">
        <w:rPr>
          <w:i/>
          <w:iCs/>
          <w:szCs w:val="22"/>
          <w:u w:val="single"/>
          <w:shd w:val="clear" w:color="auto" w:fill="FFFFFF"/>
        </w:rPr>
        <w:t>NAIC Staff Notes</w:t>
      </w:r>
      <w:r w:rsidRPr="00EC6698">
        <w:rPr>
          <w:iCs/>
          <w:szCs w:val="22"/>
          <w:u w:val="single"/>
          <w:shd w:val="clear" w:color="auto" w:fill="FFFFFF"/>
        </w:rPr>
        <w:t xml:space="preserve">: </w:t>
      </w:r>
    </w:p>
    <w:p w14:paraId="65A3FA41" w14:textId="77777777" w:rsidR="000610EC" w:rsidRDefault="00A84E0A" w:rsidP="000610EC">
      <w:pPr>
        <w:pStyle w:val="ListParagraph"/>
        <w:ind w:left="0"/>
        <w:jc w:val="both"/>
        <w:rPr>
          <w:rFonts w:cs="Arial"/>
          <w:u w:val="single"/>
        </w:rPr>
      </w:pPr>
      <w:r>
        <w:rPr>
          <w:color w:val="000000"/>
          <w:szCs w:val="22"/>
          <w:shd w:val="clear" w:color="auto" w:fill="FFFFFF"/>
        </w:rPr>
        <w:t>From a review of preferred stock issuances, preferred stock may be labeled “redeemable perpetual preferred stock.”</w:t>
      </w:r>
      <w:r w:rsidR="000610EC" w:rsidRPr="00984799">
        <w:rPr>
          <w:color w:val="000000"/>
          <w:szCs w:val="22"/>
          <w:shd w:val="clear" w:color="auto" w:fill="FFFFFF"/>
        </w:rPr>
        <w:t xml:space="preserve"> </w:t>
      </w:r>
      <w:r w:rsidR="0060530F" w:rsidRPr="00984799">
        <w:rPr>
          <w:color w:val="000000"/>
          <w:szCs w:val="22"/>
          <w:shd w:val="clear" w:color="auto" w:fill="FFFFFF"/>
        </w:rPr>
        <w:t>Generally, i</w:t>
      </w:r>
      <w:r w:rsidR="000610EC" w:rsidRPr="00984799">
        <w:rPr>
          <w:color w:val="000000"/>
          <w:szCs w:val="22"/>
          <w:shd w:val="clear" w:color="auto" w:fill="FFFFFF"/>
        </w:rPr>
        <w:t xml:space="preserve">n these instances, </w:t>
      </w:r>
      <w:r w:rsidR="0060530F" w:rsidRPr="00984799">
        <w:rPr>
          <w:color w:val="000000"/>
          <w:szCs w:val="22"/>
          <w:shd w:val="clear" w:color="auto" w:fill="FFFFFF"/>
        </w:rPr>
        <w:t xml:space="preserve">it </w:t>
      </w:r>
      <w:r w:rsidR="00984799" w:rsidRPr="00984799">
        <w:rPr>
          <w:color w:val="000000"/>
          <w:szCs w:val="22"/>
          <w:shd w:val="clear" w:color="auto" w:fill="FFFFFF"/>
        </w:rPr>
        <w:t>seems</w:t>
      </w:r>
      <w:r w:rsidR="0060530F" w:rsidRPr="00984799">
        <w:rPr>
          <w:color w:val="000000"/>
          <w:szCs w:val="22"/>
          <w:shd w:val="clear" w:color="auto" w:fill="FFFFFF"/>
        </w:rPr>
        <w:t xml:space="preserve"> that </w:t>
      </w:r>
      <w:r w:rsidR="000610EC" w:rsidRPr="00984799">
        <w:rPr>
          <w:color w:val="000000"/>
          <w:szCs w:val="22"/>
          <w:shd w:val="clear" w:color="auto" w:fill="FFFFFF"/>
        </w:rPr>
        <w:t xml:space="preserve">the preferred stock is redeemable </w:t>
      </w:r>
      <w:r w:rsidR="000610EC" w:rsidRPr="004C1D25">
        <w:rPr>
          <w:color w:val="000000"/>
          <w:szCs w:val="22"/>
          <w:u w:val="single"/>
          <w:shd w:val="clear" w:color="auto" w:fill="FFFFFF"/>
        </w:rPr>
        <w:t>at the option of the issuer</w:t>
      </w:r>
      <w:r w:rsidR="000610EC" w:rsidRPr="00984799">
        <w:rPr>
          <w:color w:val="000000"/>
          <w:szCs w:val="22"/>
          <w:shd w:val="clear" w:color="auto" w:fill="FFFFFF"/>
        </w:rPr>
        <w:t>, perhaps after a certain timeframe, or when other conditions as stated in the prospectus are met.</w:t>
      </w:r>
      <w:r w:rsidR="000610EC" w:rsidRPr="000610EC">
        <w:rPr>
          <w:color w:val="000000"/>
          <w:szCs w:val="22"/>
          <w:shd w:val="clear" w:color="auto" w:fill="FFFFFF"/>
        </w:rPr>
        <w:t xml:space="preserve"> </w:t>
      </w:r>
      <w:r>
        <w:rPr>
          <w:color w:val="000000"/>
          <w:szCs w:val="22"/>
          <w:shd w:val="clear" w:color="auto" w:fill="FFFFFF"/>
        </w:rPr>
        <w:t xml:space="preserve">If the redemption is at the option of the issuer, these preferred stock issuances would be considered perpetual preferred stock. However, it does appear that in some instances, these issuances may be redeemable at the option of the holder after a certain timeframe. If the redemption </w:t>
      </w:r>
      <w:r w:rsidRPr="004C1D25">
        <w:rPr>
          <w:color w:val="000000"/>
          <w:szCs w:val="22"/>
          <w:u w:val="single"/>
          <w:shd w:val="clear" w:color="auto" w:fill="FFFFFF"/>
        </w:rPr>
        <w:t>is at the option of the holder</w:t>
      </w:r>
      <w:r>
        <w:rPr>
          <w:color w:val="000000"/>
          <w:szCs w:val="22"/>
          <w:shd w:val="clear" w:color="auto" w:fill="FFFFFF"/>
        </w:rPr>
        <w:t xml:space="preserve">, then it would be considered redeemable preferred stock. </w:t>
      </w:r>
      <w:r w:rsidR="0060530F" w:rsidRPr="00AC4140">
        <w:rPr>
          <w:color w:val="000000"/>
          <w:szCs w:val="22"/>
          <w:shd w:val="clear" w:color="auto" w:fill="FFFFFF"/>
        </w:rPr>
        <w:t>(</w:t>
      </w:r>
      <w:r w:rsidR="00984799" w:rsidRPr="00AC4140">
        <w:rPr>
          <w:color w:val="000000"/>
          <w:szCs w:val="22"/>
          <w:shd w:val="clear" w:color="auto" w:fill="FFFFFF"/>
        </w:rPr>
        <w:t>Note</w:t>
      </w:r>
      <w:r w:rsidR="0060530F" w:rsidRPr="00AC4140">
        <w:rPr>
          <w:color w:val="000000"/>
          <w:szCs w:val="22"/>
          <w:shd w:val="clear" w:color="auto" w:fill="FFFFFF"/>
        </w:rPr>
        <w:t xml:space="preserve"> </w:t>
      </w:r>
      <w:r w:rsidR="00984799" w:rsidRPr="00AC4140">
        <w:rPr>
          <w:color w:val="000000"/>
          <w:szCs w:val="22"/>
          <w:shd w:val="clear" w:color="auto" w:fill="FFFFFF"/>
        </w:rPr>
        <w:t>–</w:t>
      </w:r>
      <w:r w:rsidR="0060530F" w:rsidRPr="00AC4140">
        <w:rPr>
          <w:color w:val="000000"/>
          <w:szCs w:val="22"/>
          <w:shd w:val="clear" w:color="auto" w:fill="FFFFFF"/>
        </w:rPr>
        <w:t xml:space="preserve"> </w:t>
      </w:r>
      <w:r w:rsidR="00984799" w:rsidRPr="00AC4140">
        <w:rPr>
          <w:color w:val="000000"/>
          <w:szCs w:val="22"/>
          <w:shd w:val="clear" w:color="auto" w:fill="FFFFFF"/>
        </w:rPr>
        <w:t xml:space="preserve">NAIC staff would like </w:t>
      </w:r>
      <w:r w:rsidRPr="00AC4140">
        <w:rPr>
          <w:color w:val="000000"/>
          <w:szCs w:val="22"/>
          <w:shd w:val="clear" w:color="auto" w:fill="FFFFFF"/>
        </w:rPr>
        <w:t xml:space="preserve">confirmation that </w:t>
      </w:r>
      <w:r w:rsidR="00984799" w:rsidRPr="00AC4140">
        <w:rPr>
          <w:color w:val="000000"/>
          <w:szCs w:val="22"/>
          <w:shd w:val="clear" w:color="auto" w:fill="FFFFFF"/>
        </w:rPr>
        <w:t xml:space="preserve">preferred stock </w:t>
      </w:r>
      <w:r w:rsidRPr="00AC4140">
        <w:rPr>
          <w:color w:val="000000"/>
          <w:szCs w:val="22"/>
          <w:shd w:val="clear" w:color="auto" w:fill="FFFFFF"/>
        </w:rPr>
        <w:t xml:space="preserve">labeled as “redeemable perpetual” may meet the criteria as redeemable </w:t>
      </w:r>
      <w:r w:rsidR="00984799" w:rsidRPr="00AC4140">
        <w:rPr>
          <w:color w:val="000000"/>
          <w:szCs w:val="22"/>
          <w:shd w:val="clear" w:color="auto" w:fill="FFFFFF"/>
        </w:rPr>
        <w:t xml:space="preserve">under </w:t>
      </w:r>
      <w:r w:rsidR="00984799" w:rsidRPr="00AC4140">
        <w:rPr>
          <w:rFonts w:cs="Arial"/>
        </w:rPr>
        <w:t>FASB ASC 480-10-S99.)</w:t>
      </w:r>
      <w:r w:rsidR="00984799">
        <w:rPr>
          <w:rFonts w:cs="Arial"/>
          <w:u w:val="single"/>
        </w:rPr>
        <w:t xml:space="preserve"> </w:t>
      </w:r>
    </w:p>
    <w:p w14:paraId="5EC48B78" w14:textId="77777777" w:rsidR="004C1D25" w:rsidRDefault="004C1D25" w:rsidP="000610EC">
      <w:pPr>
        <w:pStyle w:val="ListParagraph"/>
        <w:ind w:left="0"/>
        <w:jc w:val="both"/>
        <w:rPr>
          <w:rFonts w:cs="Arial"/>
          <w:u w:val="single"/>
        </w:rPr>
      </w:pPr>
    </w:p>
    <w:p w14:paraId="35275E19" w14:textId="77777777" w:rsidR="004C1D25" w:rsidRPr="004C1D25" w:rsidRDefault="004C1D25" w:rsidP="000610EC">
      <w:pPr>
        <w:pStyle w:val="ListParagraph"/>
        <w:ind w:left="0"/>
        <w:jc w:val="both"/>
        <w:rPr>
          <w:color w:val="000000"/>
          <w:szCs w:val="22"/>
          <w:shd w:val="clear" w:color="auto" w:fill="FFFFFF"/>
        </w:rPr>
      </w:pPr>
      <w:r w:rsidRPr="004C1D25">
        <w:rPr>
          <w:rFonts w:cs="Arial"/>
        </w:rPr>
        <w:t xml:space="preserve">Excerpts detailing a few identified instances are noted below: </w:t>
      </w:r>
    </w:p>
    <w:p w14:paraId="4251C750" w14:textId="77777777" w:rsidR="000610EC" w:rsidRPr="000610EC" w:rsidRDefault="000610EC" w:rsidP="000610EC">
      <w:pPr>
        <w:pStyle w:val="ListParagraph"/>
        <w:ind w:left="0"/>
        <w:jc w:val="both"/>
        <w:rPr>
          <w:color w:val="000000"/>
          <w:szCs w:val="22"/>
          <w:shd w:val="clear" w:color="auto" w:fill="FFFFFF"/>
        </w:rPr>
      </w:pPr>
    </w:p>
    <w:p w14:paraId="565826EC" w14:textId="77777777" w:rsidR="00E41004" w:rsidRDefault="00E41004" w:rsidP="000610EC">
      <w:pPr>
        <w:ind w:left="720"/>
        <w:jc w:val="both"/>
        <w:rPr>
          <w:rFonts w:ascii="Arial" w:hAnsi="Arial" w:cs="Arial"/>
        </w:rPr>
      </w:pPr>
      <w:r w:rsidRPr="00E41004">
        <w:rPr>
          <w:rFonts w:ascii="Arial" w:hAnsi="Arial" w:cs="Arial"/>
          <w:i/>
          <w:iCs/>
          <w:color w:val="000000"/>
          <w:u w:val="single"/>
          <w:shd w:val="clear" w:color="auto" w:fill="FFFFFF"/>
        </w:rPr>
        <w:t>Prospectus excerpt:</w:t>
      </w:r>
      <w:r w:rsidRPr="000610EC">
        <w:rPr>
          <w:rFonts w:ascii="Arial" w:hAnsi="Arial" w:cs="Arial"/>
          <w:i/>
          <w:iCs/>
          <w:color w:val="000000"/>
          <w:shd w:val="clear" w:color="auto" w:fill="FFFFFF"/>
        </w:rPr>
        <w:t> </w:t>
      </w:r>
      <w:r w:rsidRPr="000610EC">
        <w:rPr>
          <w:rFonts w:ascii="Arial" w:hAnsi="Arial" w:cs="Arial"/>
          <w:color w:val="000000"/>
          <w:shd w:val="clear" w:color="auto" w:fill="FFFFFF"/>
        </w:rPr>
        <w:t> </w:t>
      </w:r>
      <w:r w:rsidRPr="00E41004">
        <w:rPr>
          <w:rFonts w:ascii="Arial" w:hAnsi="Arial" w:cs="Arial"/>
          <w:color w:val="000000"/>
          <w:shd w:val="clear" w:color="auto" w:fill="FFFFFF"/>
        </w:rPr>
        <w:t>W</w:t>
      </w:r>
      <w:r w:rsidRPr="00E41004">
        <w:rPr>
          <w:rFonts w:ascii="Arial" w:hAnsi="Arial" w:cs="Arial"/>
        </w:rPr>
        <w:t xml:space="preserve">e may offer and sell under this prospectus shares of our 9.375% Series A </w:t>
      </w:r>
      <w:r w:rsidRPr="00E41004">
        <w:rPr>
          <w:rFonts w:ascii="Arial" w:hAnsi="Arial" w:cs="Arial"/>
          <w:u w:val="single"/>
        </w:rPr>
        <w:t>Cumulative Redeemable Perpetual Preferred Stock</w:t>
      </w:r>
      <w:r w:rsidRPr="00E41004">
        <w:rPr>
          <w:rFonts w:ascii="Arial" w:hAnsi="Arial" w:cs="Arial"/>
        </w:rPr>
        <w:t xml:space="preserve">, $0.001 par value per share (the “Series A Preferred Stock”) having an aggregate offering price of up to $26,000,000 from time to time through the Agents. Our Series A Preferred Stock is traded on The Nasdaq Capital Market, or the Exchange, under the symbol “FBIOP.” The last reported sale price of our Series A Preferred Stock on April 4, 2018 was $22.89 per share. Dividends on our Series A Preferred Stock accrue daily and will be cumulative from, and including, the date of original issue and shall be payable quarterly every March 31, June 30, September 30, and December 31, at the rate of 9.375% per annum of its liquidation preference, which is equivalent to $2.34375 per annum per share. </w:t>
      </w:r>
      <w:r w:rsidRPr="00E41004">
        <w:rPr>
          <w:rFonts w:ascii="Arial" w:hAnsi="Arial" w:cs="Arial"/>
          <w:u w:val="single"/>
        </w:rPr>
        <w:t>Generally, we may not redeem the Series A Preferred Stock until December 15, 2022. On and after December 15, 2022, we may, at our option, redeem the Series A Preferred Stock in whole, at any time, or in part,</w:t>
      </w:r>
      <w:r w:rsidRPr="00E41004">
        <w:rPr>
          <w:rFonts w:ascii="Arial" w:hAnsi="Arial" w:cs="Arial"/>
        </w:rPr>
        <w:t xml:space="preserve"> from time to time, for cash at a redemption price of $25.00 per share, plus any accrued and unpaid dividends to, but not including, the date of redemption.</w:t>
      </w:r>
    </w:p>
    <w:p w14:paraId="0EDA03EE" w14:textId="77777777" w:rsidR="00A84E0A" w:rsidRDefault="00A84E0A" w:rsidP="000610EC">
      <w:pPr>
        <w:ind w:left="720"/>
        <w:jc w:val="both"/>
        <w:rPr>
          <w:rFonts w:ascii="Arial" w:hAnsi="Arial" w:cs="Arial"/>
          <w:color w:val="000000"/>
        </w:rPr>
      </w:pPr>
    </w:p>
    <w:p w14:paraId="5CD56CEB" w14:textId="77777777" w:rsidR="00A84E0A" w:rsidRPr="00A84E0A" w:rsidRDefault="00A84E0A" w:rsidP="00A84E0A">
      <w:pPr>
        <w:ind w:left="1440" w:hanging="360"/>
        <w:jc w:val="both"/>
        <w:rPr>
          <w:rFonts w:ascii="Arial" w:hAnsi="Arial" w:cs="Arial"/>
          <w:i/>
          <w:color w:val="000000"/>
        </w:rPr>
      </w:pPr>
      <w:r w:rsidRPr="00A84E0A">
        <w:rPr>
          <w:rFonts w:ascii="Arial" w:hAnsi="Arial" w:cs="Arial"/>
          <w:i/>
          <w:color w:val="000000"/>
        </w:rPr>
        <w:t>(As redemption is at the option of the issuer, th</w:t>
      </w:r>
      <w:r>
        <w:rPr>
          <w:rFonts w:ascii="Arial" w:hAnsi="Arial" w:cs="Arial"/>
          <w:i/>
          <w:color w:val="000000"/>
        </w:rPr>
        <w:t>e above</w:t>
      </w:r>
      <w:r w:rsidRPr="00A84E0A">
        <w:rPr>
          <w:rFonts w:ascii="Arial" w:hAnsi="Arial" w:cs="Arial"/>
          <w:i/>
          <w:color w:val="000000"/>
        </w:rPr>
        <w:t xml:space="preserve"> example reflects perpetual preferred stock.) </w:t>
      </w:r>
    </w:p>
    <w:p w14:paraId="02C05AB4" w14:textId="77777777" w:rsidR="003E29E8" w:rsidRDefault="003E29E8" w:rsidP="000610EC">
      <w:pPr>
        <w:ind w:left="720"/>
        <w:jc w:val="both"/>
        <w:rPr>
          <w:rFonts w:ascii="Arial" w:hAnsi="Arial" w:cs="Arial"/>
          <w:color w:val="000000"/>
        </w:rPr>
      </w:pPr>
    </w:p>
    <w:p w14:paraId="28644B03" w14:textId="77777777" w:rsidR="003E29E8" w:rsidRDefault="003E29E8" w:rsidP="000610EC">
      <w:pPr>
        <w:ind w:left="720"/>
        <w:jc w:val="both"/>
        <w:rPr>
          <w:rFonts w:ascii="Arial" w:hAnsi="Arial" w:cs="Arial"/>
        </w:rPr>
      </w:pPr>
      <w:r w:rsidRPr="003E29E8">
        <w:rPr>
          <w:rFonts w:ascii="Arial" w:hAnsi="Arial" w:cs="Arial"/>
          <w:i/>
          <w:iCs/>
          <w:color w:val="000000"/>
          <w:u w:val="single"/>
          <w:shd w:val="clear" w:color="auto" w:fill="FFFFFF"/>
        </w:rPr>
        <w:t>Prospectus excerpt:</w:t>
      </w:r>
      <w:r w:rsidRPr="000610EC">
        <w:rPr>
          <w:rFonts w:ascii="Arial" w:hAnsi="Arial" w:cs="Arial"/>
          <w:i/>
          <w:iCs/>
          <w:color w:val="000000"/>
          <w:shd w:val="clear" w:color="auto" w:fill="FFFFFF"/>
        </w:rPr>
        <w:t> </w:t>
      </w:r>
      <w:r w:rsidRPr="000610EC">
        <w:rPr>
          <w:rFonts w:ascii="Arial" w:hAnsi="Arial" w:cs="Arial"/>
          <w:color w:val="000000"/>
          <w:shd w:val="clear" w:color="auto" w:fill="FFFFFF"/>
        </w:rPr>
        <w:t> </w:t>
      </w:r>
      <w:r w:rsidRPr="003E29E8">
        <w:rPr>
          <w:rFonts w:ascii="Arial" w:hAnsi="Arial" w:cs="Arial"/>
        </w:rPr>
        <w:t xml:space="preserve">We are offering 204,000 shares of our 11% Series A </w:t>
      </w:r>
      <w:r w:rsidRPr="003E29E8">
        <w:rPr>
          <w:rFonts w:ascii="Arial" w:hAnsi="Arial" w:cs="Arial"/>
          <w:u w:val="single"/>
        </w:rPr>
        <w:t>Cumulative Redeemable Perpetual Preferred Stock</w:t>
      </w:r>
      <w:r w:rsidRPr="003E29E8">
        <w:rPr>
          <w:rFonts w:ascii="Arial" w:hAnsi="Arial" w:cs="Arial"/>
        </w:rPr>
        <w:t xml:space="preserve">, which we refer to as the Series A Preferred Stock. Dividends on the Series A Preferred Stock are cumulative from the date of original issue and will be payable on the fifteenth day of each calendar month commencing December, 2015 when, as and if declared by our board of directors. </w:t>
      </w:r>
      <w:r w:rsidRPr="003E29E8">
        <w:rPr>
          <w:rFonts w:ascii="Arial" w:hAnsi="Arial" w:cs="Arial"/>
        </w:rPr>
        <w:lastRenderedPageBreak/>
        <w:t xml:space="preserve">Dividends will be payable out of amounts legally available there for at a rate equal to 11% per annum per $25.00 of stated liquidation preference per share, or $2.75 per share of Series A Preferred Stock per year. We will place proceeds equal to two years of dividends into a separate bank account to be used to pay Series A Preferred Stock dividends, however, after the first quarter in which our Adjusted EBIT DA is greater than the quarterly dividend, the proceeds then remaining in this account may be used for any corporate purpose. Commencing on November 4, 2020, </w:t>
      </w:r>
      <w:r w:rsidRPr="003E29E8">
        <w:rPr>
          <w:rFonts w:ascii="Arial" w:hAnsi="Arial" w:cs="Arial"/>
          <w:u w:val="single"/>
        </w:rPr>
        <w:t>we may redeem, at our option, the Series A Preferred Stock, in whole or in part, at a cash redemption price of $25.00 per share, plus all accrued and unpaid dividends to, but not including, the redemption date</w:t>
      </w:r>
      <w:r w:rsidRPr="003E29E8">
        <w:rPr>
          <w:rFonts w:ascii="Arial" w:hAnsi="Arial" w:cs="Arial"/>
        </w:rPr>
        <w:t xml:space="preserve">. </w:t>
      </w:r>
      <w:r w:rsidRPr="003E29E8">
        <w:rPr>
          <w:rFonts w:ascii="Arial" w:hAnsi="Arial" w:cs="Arial"/>
          <w:u w:val="single"/>
        </w:rPr>
        <w:t>The Series A Preferred Stock has no stated maturity, will not be subject to any sinking fund or other mandatory redemption, and will not be convertible into or exchange able for any of our other securities</w:t>
      </w:r>
      <w:r w:rsidRPr="003E29E8">
        <w:rPr>
          <w:rFonts w:ascii="Arial" w:hAnsi="Arial" w:cs="Arial"/>
        </w:rPr>
        <w:t>. Holders of the Series A Preferred Stock generally will have no voting rights except for limited voting rights if dividends payable on the outstanding Series A Preferred Stock are in arrears for eighteen or more consecutive or non-consecutive monthly dividend periods.</w:t>
      </w:r>
    </w:p>
    <w:p w14:paraId="2A9E7E98" w14:textId="77777777" w:rsidR="00984799" w:rsidRDefault="00984799" w:rsidP="000610EC">
      <w:pPr>
        <w:ind w:left="720"/>
        <w:jc w:val="both"/>
        <w:rPr>
          <w:rFonts w:ascii="Arial" w:hAnsi="Arial" w:cs="Arial"/>
          <w:color w:val="000000"/>
        </w:rPr>
      </w:pPr>
    </w:p>
    <w:p w14:paraId="1D6B6928" w14:textId="77777777" w:rsidR="00A84E0A" w:rsidRPr="00A84E0A" w:rsidRDefault="00A84E0A" w:rsidP="00A84E0A">
      <w:pPr>
        <w:ind w:left="1440" w:hanging="360"/>
        <w:jc w:val="both"/>
        <w:rPr>
          <w:rFonts w:ascii="Arial" w:hAnsi="Arial" w:cs="Arial"/>
          <w:i/>
          <w:color w:val="000000"/>
        </w:rPr>
      </w:pPr>
      <w:r w:rsidRPr="00A84E0A">
        <w:rPr>
          <w:rFonts w:ascii="Arial" w:hAnsi="Arial" w:cs="Arial"/>
          <w:i/>
          <w:color w:val="000000"/>
        </w:rPr>
        <w:t>(As redemption is at the option of the issuer, th</w:t>
      </w:r>
      <w:r>
        <w:rPr>
          <w:rFonts w:ascii="Arial" w:hAnsi="Arial" w:cs="Arial"/>
          <w:i/>
          <w:color w:val="000000"/>
        </w:rPr>
        <w:t>e above</w:t>
      </w:r>
      <w:r w:rsidRPr="00A84E0A">
        <w:rPr>
          <w:rFonts w:ascii="Arial" w:hAnsi="Arial" w:cs="Arial"/>
          <w:i/>
          <w:color w:val="000000"/>
        </w:rPr>
        <w:t xml:space="preserve"> example reflects perpetual preferred stock.) </w:t>
      </w:r>
    </w:p>
    <w:p w14:paraId="3CADF880" w14:textId="77777777" w:rsidR="00A84E0A" w:rsidRDefault="00A84E0A" w:rsidP="000610EC">
      <w:pPr>
        <w:ind w:left="720"/>
        <w:jc w:val="both"/>
        <w:rPr>
          <w:rFonts w:ascii="Arial" w:hAnsi="Arial" w:cs="Arial"/>
          <w:color w:val="000000"/>
        </w:rPr>
      </w:pPr>
    </w:p>
    <w:p w14:paraId="79231F96" w14:textId="77777777" w:rsidR="00984799" w:rsidRPr="00E41004" w:rsidRDefault="00984799" w:rsidP="00984799">
      <w:pPr>
        <w:ind w:left="720"/>
        <w:jc w:val="both"/>
        <w:rPr>
          <w:color w:val="000000"/>
          <w:sz w:val="27"/>
          <w:szCs w:val="27"/>
        </w:rPr>
      </w:pPr>
      <w:r w:rsidRPr="00E41004">
        <w:rPr>
          <w:rFonts w:ascii="Arial" w:hAnsi="Arial" w:cs="Arial"/>
          <w:i/>
          <w:iCs/>
          <w:color w:val="000000"/>
          <w:u w:val="single"/>
          <w:shd w:val="clear" w:color="auto" w:fill="FFFFFF"/>
        </w:rPr>
        <w:t>Prospectus excerpt:</w:t>
      </w:r>
      <w:r w:rsidRPr="000610EC">
        <w:rPr>
          <w:rFonts w:ascii="Arial" w:hAnsi="Arial" w:cs="Arial"/>
          <w:i/>
          <w:iCs/>
          <w:color w:val="000000"/>
          <w:shd w:val="clear" w:color="auto" w:fill="FFFFFF"/>
        </w:rPr>
        <w:t> </w:t>
      </w:r>
      <w:r w:rsidRPr="000610EC">
        <w:rPr>
          <w:rFonts w:ascii="Arial" w:hAnsi="Arial" w:cs="Arial"/>
          <w:color w:val="000000"/>
          <w:shd w:val="clear" w:color="auto" w:fill="FFFFFF"/>
        </w:rPr>
        <w:t> </w:t>
      </w:r>
      <w:r w:rsidRPr="00E41004">
        <w:rPr>
          <w:rFonts w:ascii="Arial" w:hAnsi="Arial" w:cs="Arial"/>
          <w:color w:val="000000"/>
        </w:rPr>
        <w:t xml:space="preserve">We are selling  shares of our  % Series B </w:t>
      </w:r>
      <w:r w:rsidRPr="00E41004">
        <w:rPr>
          <w:rFonts w:ascii="Arial" w:hAnsi="Arial" w:cs="Arial"/>
          <w:color w:val="000000"/>
          <w:u w:val="single"/>
        </w:rPr>
        <w:t>Cumulative Redeemable Perpetual Preferred Shares</w:t>
      </w:r>
      <w:r w:rsidRPr="00E41004">
        <w:rPr>
          <w:rFonts w:ascii="Arial" w:hAnsi="Arial" w:cs="Arial"/>
          <w:color w:val="000000"/>
        </w:rPr>
        <w:t xml:space="preserve">, par value $0.01 per share, liquidation preference $25.00 per share (the “Series B Preferred Shares”). Dividends on the Series B Preferred Shares will accrue and be cumulative from the date of original issue and will be payable quarterly in arrears on January 30, April 30, July 30 and October 30 of each year, commencing July 30, 2013, when, as and if declared by our board of directors. Dividends will be payable out of amounts legally available therefor at an initial rate equal to  % per annum of the stated liquidation preference, subject to adjustment as described in this prospectus supplement. </w:t>
      </w:r>
      <w:r w:rsidRPr="004C1D25">
        <w:rPr>
          <w:rFonts w:ascii="Arial" w:hAnsi="Arial" w:cs="Arial"/>
          <w:color w:val="000000"/>
          <w:u w:val="single"/>
        </w:rPr>
        <w:t>At any time on or after July 30, 2016,</w:t>
      </w:r>
      <w:r w:rsidRPr="00E41004">
        <w:rPr>
          <w:rFonts w:ascii="Arial" w:hAnsi="Arial" w:cs="Arial"/>
          <w:color w:val="000000"/>
        </w:rPr>
        <w:t xml:space="preserve"> </w:t>
      </w:r>
      <w:r w:rsidRPr="00E41004">
        <w:rPr>
          <w:rFonts w:ascii="Arial" w:hAnsi="Arial" w:cs="Arial"/>
          <w:color w:val="000000"/>
          <w:u w:val="single"/>
        </w:rPr>
        <w:t>the Series B Preferred Shares may be redeemed, in whole or in part, out of amounts legally available therefor, at a redemption price of $25.00 per share plus an amount equal to all accumulated and unpaid dividends thereon to the date of redemption, whether or not declared</w:t>
      </w:r>
      <w:r w:rsidRPr="00E41004">
        <w:rPr>
          <w:rFonts w:ascii="Arial" w:hAnsi="Arial" w:cs="Arial"/>
          <w:color w:val="000000"/>
        </w:rPr>
        <w:t xml:space="preserve">. If (i) we fail to comply with certain covenants (a “Covenant Default”), (ii) we experience certain defaults under any of our credit facilities (a “Cross Default”), (iii) four quarterly dividends payable on the Series B Preferred Shares are in arrears (a “Dividend Payment Default”) </w:t>
      </w:r>
      <w:r w:rsidRPr="00E41004">
        <w:rPr>
          <w:rFonts w:ascii="Arial" w:hAnsi="Arial" w:cs="Arial"/>
          <w:color w:val="000000"/>
          <w:u w:val="single"/>
        </w:rPr>
        <w:t>or (iv) the Series B Preferred Shares are not redeemed in whole by July 30, 2018 (a “Failure to Redeem”), the dividend rate payable on the Series B Preferred Shares shall increase</w:t>
      </w:r>
      <w:r w:rsidRPr="00E41004">
        <w:rPr>
          <w:rFonts w:ascii="Arial" w:hAnsi="Arial" w:cs="Arial"/>
          <w:color w:val="000000"/>
        </w:rPr>
        <w:t xml:space="preserve">, subject to an aggregate maximum rate per annum of 25% prior to July 30, 2016 and 30% thereafter, to a rate that is 1.25 times the dividend rate payable on the Series B Preferred Shares as of the close of business on the day immediately preceding the Covenant Default, Cross Default, Divided Payment Default or Failure to Redeem, as applicable, and on each subsequent Dividend Payment Date, the dividend rate payable shall increase to a rate that is 1.25 times the dividend rate payable on the Series B Preferred Shares as in effect as of the close of business on the day immediately preceding such Dividend Payment Date, until the Covenant Default, Cross Default or Dividend Payment Default is cured or the Series B Preferred Shares are no longer outstanding. </w:t>
      </w:r>
    </w:p>
    <w:p w14:paraId="537FBC92" w14:textId="77777777" w:rsidR="000B1A9B" w:rsidRDefault="000B1A9B" w:rsidP="00777680">
      <w:pPr>
        <w:pStyle w:val="ListParagraph"/>
        <w:ind w:left="0"/>
        <w:jc w:val="both"/>
        <w:rPr>
          <w:rFonts w:ascii="Verdana" w:hAnsi="Verdana"/>
          <w:color w:val="000000"/>
          <w:szCs w:val="22"/>
          <w:shd w:val="clear" w:color="auto" w:fill="FFFFFF"/>
        </w:rPr>
      </w:pPr>
    </w:p>
    <w:p w14:paraId="66720946" w14:textId="77777777" w:rsidR="00A84E0A" w:rsidRPr="00A84E0A" w:rsidRDefault="00A84E0A" w:rsidP="00A84E0A">
      <w:pPr>
        <w:ind w:left="1440" w:hanging="360"/>
        <w:jc w:val="both"/>
        <w:rPr>
          <w:rFonts w:ascii="Arial" w:hAnsi="Arial" w:cs="Arial"/>
          <w:i/>
          <w:color w:val="000000"/>
        </w:rPr>
      </w:pPr>
      <w:r w:rsidRPr="00A84E0A">
        <w:rPr>
          <w:rFonts w:ascii="Arial" w:hAnsi="Arial" w:cs="Arial"/>
          <w:i/>
          <w:color w:val="000000"/>
        </w:rPr>
        <w:t xml:space="preserve">(As redemption is at the option of the </w:t>
      </w:r>
      <w:r>
        <w:rPr>
          <w:rFonts w:ascii="Arial" w:hAnsi="Arial" w:cs="Arial"/>
          <w:i/>
          <w:color w:val="000000"/>
        </w:rPr>
        <w:t>holder</w:t>
      </w:r>
      <w:r w:rsidRPr="00A84E0A">
        <w:rPr>
          <w:rFonts w:ascii="Arial" w:hAnsi="Arial" w:cs="Arial"/>
          <w:i/>
          <w:color w:val="000000"/>
        </w:rPr>
        <w:t>, th</w:t>
      </w:r>
      <w:r>
        <w:rPr>
          <w:rFonts w:ascii="Arial" w:hAnsi="Arial" w:cs="Arial"/>
          <w:i/>
          <w:color w:val="000000"/>
        </w:rPr>
        <w:t>e above</w:t>
      </w:r>
      <w:r w:rsidRPr="00A84E0A">
        <w:rPr>
          <w:rFonts w:ascii="Arial" w:hAnsi="Arial" w:cs="Arial"/>
          <w:i/>
          <w:color w:val="000000"/>
        </w:rPr>
        <w:t xml:space="preserve"> example reflects </w:t>
      </w:r>
      <w:r>
        <w:rPr>
          <w:rFonts w:ascii="Arial" w:hAnsi="Arial" w:cs="Arial"/>
          <w:i/>
          <w:color w:val="000000"/>
        </w:rPr>
        <w:t>redeemable</w:t>
      </w:r>
      <w:r w:rsidRPr="00A84E0A">
        <w:rPr>
          <w:rFonts w:ascii="Arial" w:hAnsi="Arial" w:cs="Arial"/>
          <w:i/>
          <w:color w:val="000000"/>
        </w:rPr>
        <w:t xml:space="preserve"> preferred stock.) </w:t>
      </w:r>
    </w:p>
    <w:p w14:paraId="3FDAB346" w14:textId="77777777" w:rsidR="00A84E0A" w:rsidRDefault="00A84E0A" w:rsidP="00777680">
      <w:pPr>
        <w:pStyle w:val="ListParagraph"/>
        <w:ind w:left="0"/>
        <w:jc w:val="both"/>
        <w:rPr>
          <w:rFonts w:ascii="Verdana" w:hAnsi="Verdana"/>
          <w:color w:val="000000"/>
          <w:szCs w:val="22"/>
          <w:shd w:val="clear" w:color="auto" w:fill="FFFFFF"/>
        </w:rPr>
      </w:pPr>
    </w:p>
    <w:p w14:paraId="441C4D09" w14:textId="77777777" w:rsidR="00150CE4" w:rsidRPr="00150CE4" w:rsidRDefault="00150CE4" w:rsidP="00150CE4">
      <w:pPr>
        <w:pStyle w:val="ListParagraph"/>
        <w:ind w:left="0"/>
        <w:jc w:val="both"/>
        <w:rPr>
          <w:rFonts w:cs="Arial"/>
          <w:b/>
          <w:u w:val="single"/>
        </w:rPr>
      </w:pPr>
      <w:r>
        <w:rPr>
          <w:rFonts w:cs="Arial"/>
          <w:b/>
          <w:u w:val="single"/>
        </w:rPr>
        <w:t>Mandatory Sinking Fund</w:t>
      </w:r>
      <w:r w:rsidRPr="00150CE4">
        <w:rPr>
          <w:rFonts w:cs="Arial"/>
          <w:b/>
          <w:u w:val="single"/>
        </w:rPr>
        <w:t xml:space="preserve">: </w:t>
      </w:r>
    </w:p>
    <w:p w14:paraId="0CC42C7D" w14:textId="77777777" w:rsidR="00150CE4" w:rsidRDefault="00150CE4" w:rsidP="00150CE4">
      <w:pPr>
        <w:pStyle w:val="ListParagraph"/>
        <w:jc w:val="both"/>
        <w:rPr>
          <w:rFonts w:cs="Arial"/>
        </w:rPr>
      </w:pPr>
    </w:p>
    <w:p w14:paraId="5CEB5F32" w14:textId="77777777" w:rsidR="00150CE4" w:rsidRDefault="00150CE4" w:rsidP="00150CE4">
      <w:pPr>
        <w:pStyle w:val="ListContinue"/>
        <w:numPr>
          <w:ilvl w:val="0"/>
          <w:numId w:val="0"/>
        </w:numPr>
        <w:ind w:left="720"/>
      </w:pPr>
      <w:r w:rsidRPr="00150CE4">
        <w:rPr>
          <w:rFonts w:cs="Arial"/>
          <w:u w:val="single"/>
        </w:rPr>
        <w:t xml:space="preserve">SSAP No. 32, paragraph </w:t>
      </w:r>
      <w:r>
        <w:rPr>
          <w:rFonts w:cs="Arial"/>
          <w:u w:val="single"/>
        </w:rPr>
        <w:t>5</w:t>
      </w:r>
      <w:r>
        <w:rPr>
          <w:rFonts w:cs="Arial"/>
        </w:rPr>
        <w:t xml:space="preserve">: </w:t>
      </w:r>
      <w:r w:rsidRPr="00150CE4">
        <w:rPr>
          <w:rFonts w:ascii="Arial" w:hAnsi="Arial" w:cs="Arial"/>
          <w:sz w:val="20"/>
        </w:rPr>
        <w:t>Mandatory sinking fund preferred stock is defined as redeemable preferred stock subject to a 100% mandatory sinking fund, annual installments of which will (a) commence not more than 10 years from the date of issue or December 31, 1978, if outstanding on that date; (b) be not less than 2% of the number of shares issued (or outstanding on December 31, 1978, if issued prior to that date); (c) provide for the redemption of the entire issue over a period not longer than 40 years from the date of issue, or December 31, 1978, if outstanding on that date. Redeemable preferred stock which is subject to a 100% mandatory sinking fund, but which does not, at date of issue or December 31, 1978, if outstanding at that time, meet one or more of the other requirements above, shall be considered as mandatory sinking fund preferred stock at the time the deficiency is cured through the passage of time or otherwise.</w:t>
      </w:r>
      <w:r>
        <w:t xml:space="preserve"> </w:t>
      </w:r>
    </w:p>
    <w:p w14:paraId="4CAFEC50" w14:textId="77777777" w:rsidR="00A84E0A" w:rsidRDefault="00A84E0A" w:rsidP="00CB2235">
      <w:pPr>
        <w:jc w:val="both"/>
        <w:rPr>
          <w:i/>
          <w:sz w:val="22"/>
          <w:szCs w:val="22"/>
          <w:shd w:val="clear" w:color="auto" w:fill="FFFFFF"/>
        </w:rPr>
      </w:pPr>
      <w:r w:rsidRPr="003B714B">
        <w:rPr>
          <w:i/>
          <w:sz w:val="22"/>
          <w:szCs w:val="22"/>
          <w:shd w:val="clear" w:color="auto" w:fill="FFFFFF"/>
        </w:rPr>
        <w:t xml:space="preserve">(NAIC staff highlights that the reference to 1978 in </w:t>
      </w:r>
      <w:r>
        <w:rPr>
          <w:i/>
          <w:sz w:val="22"/>
          <w:szCs w:val="22"/>
          <w:shd w:val="clear" w:color="auto" w:fill="FFFFFF"/>
        </w:rPr>
        <w:t>this paragraph</w:t>
      </w:r>
      <w:r w:rsidRPr="003B714B">
        <w:rPr>
          <w:i/>
          <w:sz w:val="22"/>
          <w:szCs w:val="22"/>
          <w:shd w:val="clear" w:color="auto" w:fill="FFFFFF"/>
        </w:rPr>
        <w:t xml:space="preserve"> is no longer applicable as all preferred stock outstanding as of that date would have had a maximum (40-year) redemption date in 2018.</w:t>
      </w:r>
      <w:r w:rsidR="00212116">
        <w:rPr>
          <w:i/>
          <w:sz w:val="22"/>
          <w:szCs w:val="22"/>
          <w:shd w:val="clear" w:color="auto" w:fill="FFFFFF"/>
        </w:rPr>
        <w:t xml:space="preserve"> </w:t>
      </w:r>
      <w:r w:rsidR="004C1D25">
        <w:rPr>
          <w:i/>
          <w:sz w:val="22"/>
          <w:szCs w:val="22"/>
          <w:shd w:val="clear" w:color="auto" w:fill="FFFFFF"/>
        </w:rPr>
        <w:t xml:space="preserve">In reviewing the origin of this guidance, it was identified that it has </w:t>
      </w:r>
      <w:r w:rsidR="00212116">
        <w:rPr>
          <w:i/>
          <w:sz w:val="22"/>
          <w:szCs w:val="22"/>
          <w:shd w:val="clear" w:color="auto" w:fill="FFFFFF"/>
        </w:rPr>
        <w:t xml:space="preserve">been in place since </w:t>
      </w:r>
      <w:r w:rsidR="004C1D25">
        <w:rPr>
          <w:i/>
          <w:sz w:val="22"/>
          <w:szCs w:val="22"/>
          <w:shd w:val="clear" w:color="auto" w:fill="FFFFFF"/>
        </w:rPr>
        <w:t>original issuance of</w:t>
      </w:r>
      <w:r w:rsidR="00212116">
        <w:rPr>
          <w:i/>
          <w:sz w:val="22"/>
          <w:szCs w:val="22"/>
          <w:shd w:val="clear" w:color="auto" w:fill="FFFFFF"/>
        </w:rPr>
        <w:t xml:space="preserve"> SSAP No. 32 and </w:t>
      </w:r>
      <w:r w:rsidR="004C1D25">
        <w:rPr>
          <w:i/>
          <w:sz w:val="22"/>
          <w:szCs w:val="22"/>
          <w:shd w:val="clear" w:color="auto" w:fill="FFFFFF"/>
        </w:rPr>
        <w:t>it came</w:t>
      </w:r>
      <w:r w:rsidR="00212116">
        <w:rPr>
          <w:i/>
          <w:sz w:val="22"/>
          <w:szCs w:val="22"/>
          <w:shd w:val="clear" w:color="auto" w:fill="FFFFFF"/>
        </w:rPr>
        <w:t xml:space="preserve"> from the Purposes and Procedures Manual of the NAIC SVO. </w:t>
      </w:r>
      <w:r w:rsidR="00CB2235">
        <w:rPr>
          <w:i/>
          <w:sz w:val="22"/>
          <w:szCs w:val="22"/>
          <w:shd w:val="clear" w:color="auto" w:fill="FFFFFF"/>
        </w:rPr>
        <w:t xml:space="preserve">This guidance is no longer included in the P&amp;P Manual.) </w:t>
      </w:r>
    </w:p>
    <w:p w14:paraId="1409892A" w14:textId="77777777" w:rsidR="00935049" w:rsidRPr="003B714B" w:rsidRDefault="00935049" w:rsidP="00CB2235">
      <w:pPr>
        <w:jc w:val="both"/>
        <w:rPr>
          <w:rFonts w:ascii="Trade Gothic W01" w:hAnsi="Trade Gothic W01"/>
          <w:color w:val="000000"/>
          <w:sz w:val="22"/>
          <w:szCs w:val="22"/>
        </w:rPr>
      </w:pPr>
    </w:p>
    <w:p w14:paraId="4CDFCA67" w14:textId="77777777" w:rsidR="00150CE4" w:rsidRDefault="00150CE4" w:rsidP="00150CE4">
      <w:pPr>
        <w:pStyle w:val="ListParagraph"/>
        <w:jc w:val="both"/>
        <w:rPr>
          <w:rFonts w:ascii="Arial" w:hAnsi="Arial" w:cs="Arial"/>
          <w:sz w:val="20"/>
          <w:szCs w:val="20"/>
        </w:rPr>
      </w:pPr>
      <w:r w:rsidRPr="00150CE4">
        <w:rPr>
          <w:rFonts w:cs="Arial"/>
          <w:u w:val="single"/>
        </w:rPr>
        <w:lastRenderedPageBreak/>
        <w:t>NASDAQ Definition “Sinking Fund”:</w:t>
      </w:r>
      <w:r>
        <w:rPr>
          <w:rFonts w:cs="Arial"/>
        </w:rPr>
        <w:t xml:space="preserve"> </w:t>
      </w:r>
      <w:r w:rsidRPr="00150CE4">
        <w:rPr>
          <w:rFonts w:ascii="Arial" w:hAnsi="Arial" w:cs="Arial"/>
          <w:sz w:val="20"/>
          <w:szCs w:val="20"/>
        </w:rPr>
        <w:t>A fund to which </w:t>
      </w:r>
      <w:hyperlink r:id="rId8" w:history="1">
        <w:r w:rsidRPr="00150CE4">
          <w:rPr>
            <w:rFonts w:ascii="Arial" w:hAnsi="Arial" w:cs="Arial"/>
            <w:sz w:val="20"/>
            <w:szCs w:val="20"/>
          </w:rPr>
          <w:t>money</w:t>
        </w:r>
      </w:hyperlink>
      <w:r w:rsidRPr="00150CE4">
        <w:rPr>
          <w:rFonts w:ascii="Arial" w:hAnsi="Arial" w:cs="Arial"/>
          <w:sz w:val="20"/>
          <w:szCs w:val="20"/>
        </w:rPr>
        <w:t> is added on a regular basis that is used to ensure </w:t>
      </w:r>
      <w:hyperlink r:id="rId9" w:history="1">
        <w:r w:rsidRPr="00150CE4">
          <w:rPr>
            <w:rFonts w:ascii="Arial" w:hAnsi="Arial" w:cs="Arial"/>
            <w:sz w:val="20"/>
            <w:szCs w:val="20"/>
          </w:rPr>
          <w:t>investor</w:t>
        </w:r>
      </w:hyperlink>
      <w:r w:rsidRPr="00150CE4">
        <w:rPr>
          <w:rFonts w:ascii="Arial" w:hAnsi="Arial" w:cs="Arial"/>
          <w:sz w:val="20"/>
          <w:szCs w:val="20"/>
        </w:rPr>
        <w:t> confidence that promised payments will be made and that is used to </w:t>
      </w:r>
      <w:hyperlink r:id="rId10" w:history="1">
        <w:r w:rsidRPr="00150CE4">
          <w:rPr>
            <w:rFonts w:ascii="Arial" w:hAnsi="Arial" w:cs="Arial"/>
            <w:sz w:val="20"/>
            <w:szCs w:val="20"/>
          </w:rPr>
          <w:t>redeem</w:t>
        </w:r>
      </w:hyperlink>
      <w:r w:rsidRPr="00150CE4">
        <w:rPr>
          <w:rFonts w:ascii="Arial" w:hAnsi="Arial" w:cs="Arial"/>
          <w:sz w:val="20"/>
          <w:szCs w:val="20"/>
        </w:rPr>
        <w:t> </w:t>
      </w:r>
      <w:hyperlink r:id="rId11" w:history="1">
        <w:r w:rsidRPr="00150CE4">
          <w:rPr>
            <w:rFonts w:ascii="Arial" w:hAnsi="Arial" w:cs="Arial"/>
            <w:sz w:val="20"/>
            <w:szCs w:val="20"/>
          </w:rPr>
          <w:t>debt </w:t>
        </w:r>
      </w:hyperlink>
      <w:hyperlink r:id="rId12" w:history="1">
        <w:r w:rsidRPr="00150CE4">
          <w:rPr>
            <w:rFonts w:ascii="Arial" w:hAnsi="Arial" w:cs="Arial"/>
            <w:sz w:val="20"/>
            <w:szCs w:val="20"/>
          </w:rPr>
          <w:t>securities</w:t>
        </w:r>
      </w:hyperlink>
      <w:r w:rsidRPr="00150CE4">
        <w:rPr>
          <w:rFonts w:ascii="Arial" w:hAnsi="Arial" w:cs="Arial"/>
          <w:sz w:val="20"/>
          <w:szCs w:val="20"/>
        </w:rPr>
        <w:t> or </w:t>
      </w:r>
      <w:hyperlink r:id="rId13" w:history="1">
        <w:r w:rsidRPr="00150CE4">
          <w:rPr>
            <w:rFonts w:ascii="Arial" w:hAnsi="Arial" w:cs="Arial"/>
            <w:sz w:val="20"/>
            <w:szCs w:val="20"/>
          </w:rPr>
          <w:t>preferred stock</w:t>
        </w:r>
      </w:hyperlink>
      <w:r w:rsidRPr="00150CE4">
        <w:rPr>
          <w:rFonts w:ascii="Arial" w:hAnsi="Arial" w:cs="Arial"/>
          <w:sz w:val="20"/>
          <w:szCs w:val="20"/>
        </w:rPr>
        <w:t> </w:t>
      </w:r>
      <w:hyperlink r:id="rId14" w:history="1">
        <w:r w:rsidRPr="00150CE4">
          <w:rPr>
            <w:rFonts w:ascii="Arial" w:hAnsi="Arial" w:cs="Arial"/>
            <w:sz w:val="20"/>
            <w:szCs w:val="20"/>
          </w:rPr>
          <w:t>issues</w:t>
        </w:r>
      </w:hyperlink>
      <w:r w:rsidRPr="00150CE4">
        <w:rPr>
          <w:rFonts w:ascii="Arial" w:hAnsi="Arial" w:cs="Arial"/>
          <w:sz w:val="20"/>
          <w:szCs w:val="20"/>
        </w:rPr>
        <w:t>.</w:t>
      </w:r>
    </w:p>
    <w:p w14:paraId="4064A976" w14:textId="77777777" w:rsidR="002E45E2" w:rsidRDefault="002E45E2" w:rsidP="00150CE4">
      <w:pPr>
        <w:pStyle w:val="ListParagraph"/>
        <w:jc w:val="both"/>
        <w:rPr>
          <w:rFonts w:ascii="Arial" w:hAnsi="Arial" w:cs="Arial"/>
          <w:sz w:val="20"/>
          <w:szCs w:val="20"/>
        </w:rPr>
      </w:pPr>
    </w:p>
    <w:p w14:paraId="70C5D7C0" w14:textId="77777777" w:rsidR="002E45E2" w:rsidRDefault="002E45E2" w:rsidP="003B714B">
      <w:pPr>
        <w:pStyle w:val="NormalWeb"/>
        <w:spacing w:before="96" w:after="240"/>
        <w:ind w:left="720"/>
        <w:jc w:val="both"/>
      </w:pPr>
      <w:r w:rsidRPr="003B714B">
        <w:rPr>
          <w:rFonts w:ascii="Times New Roman" w:hAnsi="Times New Roman" w:cs="Arial"/>
          <w:sz w:val="22"/>
          <w:szCs w:val="24"/>
          <w:u w:val="single"/>
        </w:rPr>
        <w:t xml:space="preserve">U.S. GAAP </w:t>
      </w:r>
      <w:r w:rsidR="003B714B">
        <w:rPr>
          <w:rFonts w:ascii="Times New Roman" w:hAnsi="Times New Roman" w:cs="Arial"/>
          <w:sz w:val="22"/>
          <w:szCs w:val="24"/>
          <w:u w:val="single"/>
        </w:rPr>
        <w:t xml:space="preserve">Glossary </w:t>
      </w:r>
      <w:r w:rsidRPr="003B714B">
        <w:rPr>
          <w:rFonts w:ascii="Times New Roman" w:hAnsi="Times New Roman" w:cs="Arial"/>
          <w:sz w:val="22"/>
          <w:szCs w:val="24"/>
          <w:u w:val="single"/>
        </w:rPr>
        <w:t>– Mandatorily Redeemable Financial Instrument:</w:t>
      </w:r>
      <w:r>
        <w:rPr>
          <w:rFonts w:ascii="Arial" w:hAnsi="Arial" w:cs="Arial"/>
        </w:rPr>
        <w:t xml:space="preserve"> </w:t>
      </w:r>
      <w:r w:rsidRPr="002E45E2">
        <w:rPr>
          <w:rFonts w:ascii="Arial" w:hAnsi="Arial" w:cs="Arial"/>
        </w:rPr>
        <w:t>Any of various financial instruments issued in the form of shares that embody an unconditional obligation requiring the issuer to redeem the instrument by transferring its assets at a specified or determinable date (or dates) or upon an event that is certain to occur.</w:t>
      </w:r>
    </w:p>
    <w:p w14:paraId="70F2D051" w14:textId="77777777" w:rsidR="00EC6698" w:rsidRPr="00EC6698" w:rsidRDefault="00EC6698" w:rsidP="00EC6698">
      <w:pPr>
        <w:pStyle w:val="ListParagraph"/>
        <w:ind w:left="0"/>
        <w:jc w:val="both"/>
        <w:rPr>
          <w:iCs/>
          <w:szCs w:val="22"/>
          <w:u w:val="single"/>
          <w:shd w:val="clear" w:color="auto" w:fill="FFFFFF"/>
        </w:rPr>
      </w:pPr>
      <w:r w:rsidRPr="00EC6698">
        <w:rPr>
          <w:i/>
          <w:iCs/>
          <w:szCs w:val="22"/>
          <w:u w:val="single"/>
          <w:shd w:val="clear" w:color="auto" w:fill="FFFFFF"/>
        </w:rPr>
        <w:t>NAIC Staff Notes</w:t>
      </w:r>
      <w:r w:rsidRPr="00EC6698">
        <w:rPr>
          <w:iCs/>
          <w:szCs w:val="22"/>
          <w:u w:val="single"/>
          <w:shd w:val="clear" w:color="auto" w:fill="FFFFFF"/>
        </w:rPr>
        <w:t xml:space="preserve">: </w:t>
      </w:r>
    </w:p>
    <w:p w14:paraId="2E2E9F19" w14:textId="77777777" w:rsidR="00583A07" w:rsidRDefault="00EC6698" w:rsidP="00EC6698">
      <w:pPr>
        <w:pStyle w:val="ListParagraph"/>
        <w:ind w:left="0"/>
        <w:jc w:val="both"/>
      </w:pPr>
      <w:r>
        <w:rPr>
          <w:color w:val="000000"/>
          <w:szCs w:val="22"/>
          <w:shd w:val="clear" w:color="auto" w:fill="FFFFFF"/>
        </w:rPr>
        <w:t xml:space="preserve">NAIC staff is under the impression that </w:t>
      </w:r>
      <w:r w:rsidR="004C1D25">
        <w:rPr>
          <w:color w:val="000000"/>
          <w:szCs w:val="22"/>
          <w:shd w:val="clear" w:color="auto" w:fill="FFFFFF"/>
        </w:rPr>
        <w:t xml:space="preserve">the term </w:t>
      </w:r>
      <w:r>
        <w:rPr>
          <w:color w:val="000000"/>
          <w:szCs w:val="22"/>
          <w:shd w:val="clear" w:color="auto" w:fill="FFFFFF"/>
        </w:rPr>
        <w:t>“mandatory sinking fund preferred stock</w:t>
      </w:r>
      <w:r w:rsidR="004C1D25">
        <w:rPr>
          <w:color w:val="000000"/>
          <w:szCs w:val="22"/>
          <w:shd w:val="clear" w:color="auto" w:fill="FFFFFF"/>
        </w:rPr>
        <w:t>”</w:t>
      </w:r>
      <w:r>
        <w:rPr>
          <w:color w:val="000000"/>
          <w:szCs w:val="22"/>
          <w:shd w:val="clear" w:color="auto" w:fill="FFFFFF"/>
        </w:rPr>
        <w:t xml:space="preserve"> </w:t>
      </w:r>
      <w:r w:rsidR="00225009">
        <w:rPr>
          <w:color w:val="000000"/>
          <w:szCs w:val="22"/>
          <w:shd w:val="clear" w:color="auto" w:fill="FFFFFF"/>
        </w:rPr>
        <w:t xml:space="preserve">is no longer prevalent. </w:t>
      </w:r>
      <w:r w:rsidR="004C1D25">
        <w:rPr>
          <w:color w:val="000000"/>
          <w:szCs w:val="22"/>
          <w:shd w:val="clear" w:color="auto" w:fill="FFFFFF"/>
        </w:rPr>
        <w:t xml:space="preserve">Rather, </w:t>
      </w:r>
      <w:r w:rsidR="00A84E0A">
        <w:rPr>
          <w:color w:val="000000"/>
          <w:szCs w:val="22"/>
          <w:shd w:val="clear" w:color="auto" w:fill="FFFFFF"/>
        </w:rPr>
        <w:t>r</w:t>
      </w:r>
      <w:r w:rsidR="00583A07">
        <w:rPr>
          <w:color w:val="000000"/>
          <w:szCs w:val="22"/>
          <w:shd w:val="clear" w:color="auto" w:fill="FFFFFF"/>
        </w:rPr>
        <w:t xml:space="preserve">edeemable preferred stock with a mandatory redemption date is </w:t>
      </w:r>
      <w:r w:rsidR="002E45E2">
        <w:rPr>
          <w:color w:val="000000"/>
          <w:szCs w:val="22"/>
          <w:shd w:val="clear" w:color="auto" w:fill="FFFFFF"/>
        </w:rPr>
        <w:t xml:space="preserve">often </w:t>
      </w:r>
      <w:r w:rsidR="00583A07">
        <w:rPr>
          <w:color w:val="000000"/>
          <w:szCs w:val="22"/>
          <w:shd w:val="clear" w:color="auto" w:fill="FFFFFF"/>
        </w:rPr>
        <w:t xml:space="preserve">referred to as “term preferred stock.” </w:t>
      </w:r>
      <w:r w:rsidR="00A84E0A">
        <w:rPr>
          <w:color w:val="000000"/>
          <w:szCs w:val="22"/>
          <w:shd w:val="clear" w:color="auto" w:fill="FFFFFF"/>
        </w:rPr>
        <w:t xml:space="preserve">Although preferred stock may stipulate use of a sinking fund to provide assurance that preferred stock may be redeemed when due, </w:t>
      </w:r>
      <w:r w:rsidR="003B714B">
        <w:rPr>
          <w:color w:val="000000"/>
          <w:szCs w:val="22"/>
          <w:shd w:val="clear" w:color="auto" w:fill="FFFFFF"/>
        </w:rPr>
        <w:t>failing to</w:t>
      </w:r>
      <w:r w:rsidR="00A84E0A">
        <w:rPr>
          <w:color w:val="000000"/>
          <w:szCs w:val="22"/>
          <w:shd w:val="clear" w:color="auto" w:fill="FFFFFF"/>
        </w:rPr>
        <w:t xml:space="preserve"> make deposits into a s</w:t>
      </w:r>
      <w:r w:rsidR="003B714B">
        <w:t xml:space="preserve">inking fund as agreed by the company in the preferred stock’s provisions </w:t>
      </w:r>
      <w:r w:rsidR="003B714B" w:rsidRPr="00A84E0A">
        <w:rPr>
          <w:u w:val="single"/>
        </w:rPr>
        <w:t>is not similar to an act of default on debt</w:t>
      </w:r>
      <w:r w:rsidR="003B714B">
        <w:t>. Rather, such action would be subject to remedies specified in the preferred stock prospectus.</w:t>
      </w:r>
      <w:r w:rsidR="00984799">
        <w:t xml:space="preserve"> </w:t>
      </w:r>
    </w:p>
    <w:p w14:paraId="4D9A5CAB" w14:textId="77777777" w:rsidR="00A84E0A" w:rsidRDefault="00A84E0A" w:rsidP="00EC6698">
      <w:pPr>
        <w:pStyle w:val="ListParagraph"/>
        <w:ind w:left="0"/>
        <w:jc w:val="both"/>
      </w:pPr>
    </w:p>
    <w:p w14:paraId="35E1FD1D" w14:textId="77777777" w:rsidR="00A84E0A" w:rsidRDefault="00A84E0A" w:rsidP="004C1D25">
      <w:pPr>
        <w:jc w:val="both"/>
        <w:rPr>
          <w:sz w:val="22"/>
          <w:szCs w:val="22"/>
          <w:u w:val="single"/>
          <w:shd w:val="clear" w:color="auto" w:fill="FFFFFF"/>
        </w:rPr>
      </w:pPr>
      <w:r w:rsidRPr="006C6A8A">
        <w:rPr>
          <w:iCs/>
          <w:sz w:val="22"/>
          <w:szCs w:val="22"/>
          <w:shd w:val="clear" w:color="auto" w:fill="FFFFFF"/>
        </w:rPr>
        <w:t xml:space="preserve">Even if preferred stock is considered to be “mandatory redeemable,” </w:t>
      </w:r>
      <w:r w:rsidRPr="006C6A8A">
        <w:rPr>
          <w:sz w:val="22"/>
          <w:szCs w:val="22"/>
        </w:rPr>
        <w:t xml:space="preserve">Section 160 of the Delaware General Corporation Law prohibits a corporation from redeeming its shares of capital stock when the capital of the corporation is impaired or when such redemption would cause any impairment of the capital. Under findings under this Law, it </w:t>
      </w:r>
      <w:r w:rsidRPr="004C1D25">
        <w:rPr>
          <w:sz w:val="22"/>
          <w:szCs w:val="22"/>
          <w:u w:val="single"/>
        </w:rPr>
        <w:t>has been noted that the existence of a mandatory redemption right, even one that is ripened, does not convert the holder of preferred stock into a creditor</w:t>
      </w:r>
      <w:r w:rsidRPr="006C6A8A">
        <w:rPr>
          <w:sz w:val="22"/>
          <w:szCs w:val="22"/>
        </w:rPr>
        <w:t xml:space="preserve">. Specifically, a redemption right does not give the holder the absolute, unfettered ability to force the corporation to redeem its shares under any circumstances and recent case law establishes limitations on the ability of preferred stockholders to force redemption. </w:t>
      </w:r>
      <w:r w:rsidRPr="006C6A8A">
        <w:rPr>
          <w:sz w:val="22"/>
          <w:szCs w:val="22"/>
          <w:u w:val="single"/>
        </w:rPr>
        <w:t xml:space="preserve">It should be noted that </w:t>
      </w:r>
      <w:r w:rsidRPr="006C6A8A">
        <w:rPr>
          <w:sz w:val="22"/>
          <w:szCs w:val="22"/>
          <w:u w:val="single"/>
          <w:shd w:val="clear" w:color="auto" w:fill="FFFFFF"/>
        </w:rPr>
        <w:t>preferred stock provides no guaranteed right of payment, and its redemption obligation is treated neither as debt nor as a current liability.</w:t>
      </w:r>
      <w:r>
        <w:rPr>
          <w:sz w:val="22"/>
          <w:szCs w:val="22"/>
          <w:u w:val="single"/>
          <w:shd w:val="clear" w:color="auto" w:fill="FFFFFF"/>
        </w:rPr>
        <w:t xml:space="preserve"> </w:t>
      </w:r>
    </w:p>
    <w:p w14:paraId="39B81814" w14:textId="77777777" w:rsidR="00A84E0A" w:rsidRDefault="00A84E0A" w:rsidP="00EC6698">
      <w:pPr>
        <w:pStyle w:val="ListParagraph"/>
        <w:ind w:left="0"/>
        <w:jc w:val="both"/>
        <w:rPr>
          <w:color w:val="000000"/>
          <w:szCs w:val="22"/>
          <w:shd w:val="clear" w:color="auto" w:fill="FFFFFF"/>
        </w:rPr>
      </w:pPr>
    </w:p>
    <w:p w14:paraId="6680893C" w14:textId="77777777" w:rsidR="002E45E2" w:rsidRDefault="002E45E2" w:rsidP="00EC6698">
      <w:pPr>
        <w:pStyle w:val="ListParagraph"/>
        <w:ind w:left="0"/>
        <w:jc w:val="both"/>
        <w:rPr>
          <w:color w:val="000000"/>
          <w:szCs w:val="22"/>
          <w:shd w:val="clear" w:color="auto" w:fill="FFFFFF"/>
        </w:rPr>
      </w:pPr>
      <w:r>
        <w:rPr>
          <w:color w:val="000000"/>
          <w:szCs w:val="22"/>
          <w:shd w:val="clear" w:color="auto" w:fill="FFFFFF"/>
        </w:rPr>
        <w:t>Under U.S. GAAP, issuers of “mandatorily redeemable financial instruments” may report the issuance as liability or as equity</w:t>
      </w:r>
      <w:r w:rsidR="00A84E0A">
        <w:rPr>
          <w:color w:val="000000"/>
          <w:szCs w:val="22"/>
          <w:shd w:val="clear" w:color="auto" w:fill="FFFFFF"/>
        </w:rPr>
        <w:t xml:space="preserve">, </w:t>
      </w:r>
      <w:r>
        <w:rPr>
          <w:color w:val="000000"/>
          <w:szCs w:val="22"/>
          <w:shd w:val="clear" w:color="auto" w:fill="FFFFFF"/>
        </w:rPr>
        <w:t xml:space="preserve">depending on type of issuer. </w:t>
      </w:r>
      <w:r w:rsidR="004C1D25">
        <w:rPr>
          <w:color w:val="000000"/>
          <w:szCs w:val="22"/>
          <w:shd w:val="clear" w:color="auto" w:fill="FFFFFF"/>
        </w:rPr>
        <w:t>P</w:t>
      </w:r>
      <w:r w:rsidR="00A84E0A">
        <w:rPr>
          <w:color w:val="000000"/>
          <w:szCs w:val="22"/>
          <w:shd w:val="clear" w:color="auto" w:fill="FFFFFF"/>
        </w:rPr>
        <w:t xml:space="preserve">ublic entities and SEC registrants are required to report mandatorily redeemable financial instruments as liabilities unless the redemption is required to occur only upon the liquidation or termination of the reporting entity (ASC 480-10-25-4). However, the guidance in </w:t>
      </w:r>
      <w:r w:rsidRPr="002E45E2">
        <w:rPr>
          <w:i/>
          <w:color w:val="000000"/>
          <w:szCs w:val="22"/>
          <w:shd w:val="clear" w:color="auto" w:fill="FFFFFF"/>
        </w:rPr>
        <w:t>ASC 480-10: Distinguishing Liabilities from Equities</w:t>
      </w:r>
      <w:r>
        <w:rPr>
          <w:color w:val="000000"/>
          <w:szCs w:val="22"/>
          <w:shd w:val="clear" w:color="auto" w:fill="FFFFFF"/>
        </w:rPr>
        <w:t xml:space="preserve"> does not apply to instruments that are a) issued by nonpublic entities that are not SEC registrants and b) mandatorily redeemable, but not on fixed dates or not for amounts that either are fixed or are determined by reference to an interest rate index, currency index or another index</w:t>
      </w:r>
      <w:r w:rsidR="00A84E0A">
        <w:rPr>
          <w:color w:val="000000"/>
          <w:szCs w:val="22"/>
          <w:shd w:val="clear" w:color="auto" w:fill="FFFFFF"/>
        </w:rPr>
        <w:t xml:space="preserve"> (ASC 480-10-15-7A).</w:t>
      </w:r>
    </w:p>
    <w:p w14:paraId="6C1DB80F" w14:textId="77777777" w:rsidR="002E45E2" w:rsidRDefault="002E45E2" w:rsidP="00EC6698">
      <w:pPr>
        <w:pStyle w:val="ListParagraph"/>
        <w:ind w:left="0"/>
        <w:jc w:val="both"/>
        <w:rPr>
          <w:color w:val="000000"/>
          <w:szCs w:val="22"/>
          <w:shd w:val="clear" w:color="auto" w:fill="FFFFFF"/>
        </w:rPr>
      </w:pPr>
    </w:p>
    <w:p w14:paraId="4B2AFB8E" w14:textId="77777777" w:rsidR="006C6A8A" w:rsidRPr="00150CE4" w:rsidRDefault="006C6A8A" w:rsidP="006C6A8A">
      <w:pPr>
        <w:pStyle w:val="ListParagraph"/>
        <w:ind w:left="0"/>
        <w:jc w:val="both"/>
        <w:rPr>
          <w:rFonts w:cs="Arial"/>
          <w:b/>
          <w:u w:val="single"/>
        </w:rPr>
      </w:pPr>
      <w:r>
        <w:rPr>
          <w:rFonts w:cs="Arial"/>
          <w:b/>
          <w:u w:val="single"/>
        </w:rPr>
        <w:t>Payment-In-Kind (PIK) Preferred Stock</w:t>
      </w:r>
      <w:r w:rsidRPr="00150CE4">
        <w:rPr>
          <w:rFonts w:cs="Arial"/>
          <w:b/>
          <w:u w:val="single"/>
        </w:rPr>
        <w:t xml:space="preserve">: </w:t>
      </w:r>
    </w:p>
    <w:p w14:paraId="4B0143D6" w14:textId="77777777" w:rsidR="006C6A8A" w:rsidRDefault="006C6A8A" w:rsidP="006C6A8A">
      <w:pPr>
        <w:pStyle w:val="ListParagraph"/>
        <w:jc w:val="both"/>
        <w:rPr>
          <w:rFonts w:ascii="Trade Gothic W01" w:hAnsi="Trade Gothic W01"/>
          <w:color w:val="000000"/>
          <w:sz w:val="24"/>
        </w:rPr>
      </w:pPr>
    </w:p>
    <w:p w14:paraId="0A944D00" w14:textId="77777777" w:rsidR="006C6A8A" w:rsidRDefault="006C6A8A" w:rsidP="006C6A8A">
      <w:pPr>
        <w:pStyle w:val="ListContinue"/>
        <w:numPr>
          <w:ilvl w:val="0"/>
          <w:numId w:val="0"/>
        </w:numPr>
        <w:ind w:left="720"/>
        <w:rPr>
          <w:rFonts w:ascii="Arial" w:hAnsi="Arial" w:cs="Arial"/>
          <w:sz w:val="20"/>
        </w:rPr>
      </w:pPr>
      <w:r w:rsidRPr="006C6A8A">
        <w:rPr>
          <w:u w:val="single"/>
        </w:rPr>
        <w:t>SSAP No. 32, paragraph 6</w:t>
      </w:r>
      <w:r>
        <w:t xml:space="preserve">: </w:t>
      </w:r>
      <w:r w:rsidRPr="006C6A8A">
        <w:rPr>
          <w:rFonts w:ascii="Arial" w:hAnsi="Arial" w:cs="Arial"/>
          <w:sz w:val="20"/>
        </w:rPr>
        <w:t>PIK preferred stock is defined as redeemable preferred stock on which, at the option of the issuer, dividends can be paid in additional securities rather than cash.</w:t>
      </w:r>
    </w:p>
    <w:p w14:paraId="765AADD2" w14:textId="77777777" w:rsidR="006C6A8A" w:rsidRDefault="000142F1" w:rsidP="006C6A8A">
      <w:pPr>
        <w:pStyle w:val="ListContinue"/>
        <w:numPr>
          <w:ilvl w:val="0"/>
          <w:numId w:val="0"/>
        </w:numPr>
        <w:ind w:left="720"/>
        <w:rPr>
          <w:rFonts w:ascii="Arial" w:hAnsi="Arial" w:cs="Arial"/>
          <w:color w:val="545454"/>
          <w:shd w:val="clear" w:color="auto" w:fill="FFFFFF"/>
        </w:rPr>
      </w:pPr>
      <w:r w:rsidRPr="000142F1">
        <w:rPr>
          <w:u w:val="single"/>
          <w:shd w:val="clear" w:color="auto" w:fill="FFFFFF"/>
        </w:rPr>
        <w:t>General “in-kind” Definition</w:t>
      </w:r>
      <w:r w:rsidRPr="000142F1">
        <w:rPr>
          <w:rFonts w:ascii="Arial" w:hAnsi="Arial" w:cs="Arial"/>
          <w:shd w:val="clear" w:color="auto" w:fill="FFFFFF"/>
        </w:rPr>
        <w:t xml:space="preserve">: </w:t>
      </w:r>
      <w:r w:rsidRPr="000142F1">
        <w:rPr>
          <w:rFonts w:ascii="Arial" w:hAnsi="Arial" w:cs="Arial"/>
          <w:sz w:val="20"/>
        </w:rPr>
        <w:t>Payment-in-kind (PIK) is the use of a good or service as payment instead of cash. Payment in kind also refers to a </w:t>
      </w:r>
      <w:hyperlink r:id="rId15" w:history="1">
        <w:r w:rsidRPr="000142F1">
          <w:rPr>
            <w:rFonts w:ascii="Arial" w:hAnsi="Arial" w:cs="Arial"/>
            <w:sz w:val="20"/>
          </w:rPr>
          <w:t>financial instrument</w:t>
        </w:r>
      </w:hyperlink>
      <w:r w:rsidRPr="000142F1">
        <w:rPr>
          <w:rFonts w:ascii="Arial" w:hAnsi="Arial" w:cs="Arial"/>
          <w:sz w:val="20"/>
        </w:rPr>
        <w:t> that pays interest or </w:t>
      </w:r>
      <w:hyperlink r:id="rId16" w:history="1">
        <w:r w:rsidRPr="000142F1">
          <w:rPr>
            <w:rFonts w:ascii="Arial" w:hAnsi="Arial" w:cs="Arial"/>
            <w:sz w:val="20"/>
          </w:rPr>
          <w:t>dividends</w:t>
        </w:r>
      </w:hyperlink>
      <w:r w:rsidRPr="000142F1">
        <w:rPr>
          <w:rFonts w:ascii="Arial" w:hAnsi="Arial" w:cs="Arial"/>
          <w:sz w:val="20"/>
        </w:rPr>
        <w:t> to investors of bonds, notes or </w:t>
      </w:r>
      <w:hyperlink r:id="rId17" w:history="1">
        <w:r w:rsidRPr="000142F1">
          <w:rPr>
            <w:rFonts w:ascii="Arial" w:hAnsi="Arial" w:cs="Arial"/>
            <w:sz w:val="20"/>
          </w:rPr>
          <w:t>preferred stock</w:t>
        </w:r>
      </w:hyperlink>
      <w:r w:rsidRPr="000142F1">
        <w:rPr>
          <w:rFonts w:ascii="Arial" w:hAnsi="Arial" w:cs="Arial"/>
          <w:sz w:val="20"/>
        </w:rPr>
        <w:t> with additional securities or equity instead of cash.</w:t>
      </w:r>
      <w:r w:rsidRPr="004C1D25">
        <w:rPr>
          <w:rFonts w:ascii="Arial" w:hAnsi="Arial" w:cs="Arial"/>
          <w:sz w:val="20"/>
        </w:rPr>
        <w:t> </w:t>
      </w:r>
    </w:p>
    <w:p w14:paraId="0FCB53AB" w14:textId="77777777" w:rsidR="000142F1" w:rsidRDefault="000142F1" w:rsidP="00B70FB5">
      <w:pPr>
        <w:pStyle w:val="ListParagraph"/>
        <w:ind w:left="0"/>
        <w:jc w:val="both"/>
        <w:rPr>
          <w:iCs/>
          <w:szCs w:val="22"/>
          <w:shd w:val="clear" w:color="auto" w:fill="FFFFFF"/>
        </w:rPr>
      </w:pPr>
      <w:r w:rsidRPr="006C6A8A">
        <w:rPr>
          <w:i/>
          <w:iCs/>
          <w:szCs w:val="22"/>
          <w:shd w:val="clear" w:color="auto" w:fill="FFFFFF"/>
        </w:rPr>
        <w:t>NAIC Staff Notes</w:t>
      </w:r>
      <w:r w:rsidRPr="006C6A8A">
        <w:rPr>
          <w:iCs/>
          <w:szCs w:val="22"/>
          <w:shd w:val="clear" w:color="auto" w:fill="FFFFFF"/>
        </w:rPr>
        <w:t xml:space="preserve">: </w:t>
      </w:r>
    </w:p>
    <w:p w14:paraId="06557CB3" w14:textId="77777777" w:rsidR="004C1D25" w:rsidRDefault="000142F1" w:rsidP="00B70FB5">
      <w:pPr>
        <w:pStyle w:val="ListContinue"/>
        <w:numPr>
          <w:ilvl w:val="0"/>
          <w:numId w:val="0"/>
        </w:numPr>
        <w:rPr>
          <w:shd w:val="clear" w:color="auto" w:fill="FFFFFF"/>
        </w:rPr>
      </w:pPr>
      <w:r w:rsidRPr="000142F1">
        <w:rPr>
          <w:shd w:val="clear" w:color="auto" w:fill="FFFFFF"/>
        </w:rPr>
        <w:t xml:space="preserve">PIK stock </w:t>
      </w:r>
      <w:r w:rsidR="00B70FB5">
        <w:rPr>
          <w:shd w:val="clear" w:color="auto" w:fill="FFFFFF"/>
        </w:rPr>
        <w:t xml:space="preserve">dividends </w:t>
      </w:r>
      <w:r w:rsidR="004C1D25">
        <w:rPr>
          <w:shd w:val="clear" w:color="auto" w:fill="FFFFFF"/>
        </w:rPr>
        <w:t>are</w:t>
      </w:r>
      <w:r w:rsidRPr="000142F1">
        <w:rPr>
          <w:shd w:val="clear" w:color="auto" w:fill="FFFFFF"/>
        </w:rPr>
        <w:t xml:space="preserve"> </w:t>
      </w:r>
      <w:r w:rsidR="00B70FB5">
        <w:rPr>
          <w:shd w:val="clear" w:color="auto" w:fill="FFFFFF"/>
        </w:rPr>
        <w:t xml:space="preserve">not </w:t>
      </w:r>
      <w:r w:rsidRPr="000142F1">
        <w:rPr>
          <w:shd w:val="clear" w:color="auto" w:fill="FFFFFF"/>
        </w:rPr>
        <w:t xml:space="preserve">limited to redeemable preferred stock. Additionally, PIK provisions may not require PIK dividends to be provided in additional shares of </w:t>
      </w:r>
      <w:r>
        <w:rPr>
          <w:shd w:val="clear" w:color="auto" w:fill="FFFFFF"/>
        </w:rPr>
        <w:t xml:space="preserve">the same </w:t>
      </w:r>
      <w:r w:rsidRPr="000142F1">
        <w:rPr>
          <w:shd w:val="clear" w:color="auto" w:fill="FFFFFF"/>
        </w:rPr>
        <w:t xml:space="preserve">preferred stock. Rather, the provisions of the preferred stock could specify that the PIK dividends are issued in other forms of preferred stock or </w:t>
      </w:r>
      <w:r>
        <w:rPr>
          <w:shd w:val="clear" w:color="auto" w:fill="FFFFFF"/>
        </w:rPr>
        <w:t xml:space="preserve">in shares of </w:t>
      </w:r>
      <w:r w:rsidRPr="000142F1">
        <w:rPr>
          <w:shd w:val="clear" w:color="auto" w:fill="FFFFFF"/>
        </w:rPr>
        <w:t xml:space="preserve">common stock. </w:t>
      </w:r>
      <w:r>
        <w:rPr>
          <w:shd w:val="clear" w:color="auto" w:fill="FFFFFF"/>
        </w:rPr>
        <w:t xml:space="preserve">Additionally, the preferred stock provisions can be designed to specify PIK dividends for a specific number of years, with subsequent conversion of cash dividends. </w:t>
      </w:r>
    </w:p>
    <w:p w14:paraId="189D8DA3" w14:textId="77777777" w:rsidR="000142F1" w:rsidRDefault="00212116" w:rsidP="00B70FB5">
      <w:pPr>
        <w:pStyle w:val="ListContinue"/>
        <w:numPr>
          <w:ilvl w:val="0"/>
          <w:numId w:val="0"/>
        </w:numPr>
        <w:rPr>
          <w:shd w:val="clear" w:color="auto" w:fill="FFFFFF"/>
        </w:rPr>
      </w:pPr>
      <w:r w:rsidRPr="00212116">
        <w:rPr>
          <w:i/>
          <w:shd w:val="clear" w:color="auto" w:fill="FFFFFF"/>
        </w:rPr>
        <w:t xml:space="preserve">(The </w:t>
      </w:r>
      <w:r w:rsidR="004C1D25">
        <w:rPr>
          <w:i/>
          <w:shd w:val="clear" w:color="auto" w:fill="FFFFFF"/>
        </w:rPr>
        <w:t xml:space="preserve">existing SSAP No. 32 </w:t>
      </w:r>
      <w:r w:rsidRPr="00212116">
        <w:rPr>
          <w:i/>
          <w:shd w:val="clear" w:color="auto" w:fill="FFFFFF"/>
        </w:rPr>
        <w:t xml:space="preserve">guidance for PIK preferred stock </w:t>
      </w:r>
      <w:r w:rsidR="004C1D25">
        <w:rPr>
          <w:i/>
          <w:shd w:val="clear" w:color="auto" w:fill="FFFFFF"/>
        </w:rPr>
        <w:t xml:space="preserve">has been in place </w:t>
      </w:r>
      <w:r w:rsidR="004C1D25">
        <w:rPr>
          <w:i/>
          <w:szCs w:val="22"/>
          <w:shd w:val="clear" w:color="auto" w:fill="FFFFFF"/>
        </w:rPr>
        <w:t xml:space="preserve">since original issuance </w:t>
      </w:r>
      <w:r w:rsidRPr="00212116">
        <w:rPr>
          <w:i/>
          <w:shd w:val="clear" w:color="auto" w:fill="FFFFFF"/>
        </w:rPr>
        <w:t>of SSAP No. 32. Pursuant to Issue Paper No. 32, this information came from the “NAIC Technical Resource group Proposed Draft Life Codification.”)</w:t>
      </w:r>
    </w:p>
    <w:p w14:paraId="6F4F58F0" w14:textId="77777777" w:rsidR="000142F1" w:rsidRPr="00B70FB5" w:rsidRDefault="00B70FB5" w:rsidP="00B70FB5">
      <w:pPr>
        <w:pStyle w:val="ListContinue"/>
        <w:numPr>
          <w:ilvl w:val="0"/>
          <w:numId w:val="0"/>
        </w:numPr>
        <w:ind w:left="720"/>
        <w:rPr>
          <w:rFonts w:ascii="Arial" w:hAnsi="Arial" w:cs="Arial"/>
          <w:sz w:val="20"/>
          <w:shd w:val="clear" w:color="auto" w:fill="FFFFFF"/>
        </w:rPr>
      </w:pPr>
      <w:r w:rsidRPr="00B70FB5">
        <w:rPr>
          <w:rFonts w:ascii="Arial" w:hAnsi="Arial" w:cs="Arial"/>
          <w:sz w:val="20"/>
          <w:u w:val="single"/>
          <w:shd w:val="clear" w:color="auto" w:fill="FFFFFF"/>
        </w:rPr>
        <w:lastRenderedPageBreak/>
        <w:t xml:space="preserve">Example </w:t>
      </w:r>
      <w:r w:rsidR="000142F1" w:rsidRPr="00B70FB5">
        <w:rPr>
          <w:rFonts w:ascii="Arial" w:hAnsi="Arial" w:cs="Arial"/>
          <w:sz w:val="20"/>
          <w:u w:val="single"/>
          <w:shd w:val="clear" w:color="auto" w:fill="FFFFFF"/>
        </w:rPr>
        <w:t>Prospectus</w:t>
      </w:r>
      <w:r w:rsidRPr="00B70FB5">
        <w:rPr>
          <w:rFonts w:ascii="Arial" w:hAnsi="Arial" w:cs="Arial"/>
          <w:sz w:val="20"/>
          <w:u w:val="single"/>
          <w:shd w:val="clear" w:color="auto" w:fill="FFFFFF"/>
        </w:rPr>
        <w:t xml:space="preserve"> Excerpt</w:t>
      </w:r>
      <w:r>
        <w:rPr>
          <w:rFonts w:ascii="Arial" w:hAnsi="Arial" w:cs="Arial"/>
          <w:sz w:val="20"/>
          <w:u w:val="single"/>
          <w:shd w:val="clear" w:color="auto" w:fill="FFFFFF"/>
        </w:rPr>
        <w:t xml:space="preserve"> 1</w:t>
      </w:r>
      <w:r w:rsidRPr="00B70FB5">
        <w:rPr>
          <w:rFonts w:ascii="Arial" w:hAnsi="Arial" w:cs="Arial"/>
          <w:bCs/>
          <w:color w:val="000000"/>
          <w:sz w:val="20"/>
          <w:u w:val="single"/>
          <w:shd w:val="clear" w:color="auto" w:fill="FFFFFF"/>
        </w:rPr>
        <w:t xml:space="preserve">: </w:t>
      </w:r>
      <w:r w:rsidR="000142F1" w:rsidRPr="00B70FB5">
        <w:rPr>
          <w:rFonts w:ascii="Arial" w:hAnsi="Arial" w:cs="Arial"/>
          <w:color w:val="000000"/>
          <w:sz w:val="20"/>
          <w:shd w:val="clear" w:color="auto" w:fill="FFFFFF"/>
        </w:rPr>
        <w:t xml:space="preserve">Dividends on our </w:t>
      </w:r>
      <w:r w:rsidR="000142F1" w:rsidRPr="00985E7F">
        <w:rPr>
          <w:rFonts w:ascii="Arial" w:hAnsi="Arial" w:cs="Arial"/>
          <w:b/>
          <w:color w:val="000000"/>
          <w:sz w:val="20"/>
          <w:u w:val="single"/>
          <w:shd w:val="clear" w:color="auto" w:fill="FFFFFF"/>
        </w:rPr>
        <w:t>perpetual convertible preferred stock</w:t>
      </w:r>
      <w:r w:rsidR="000142F1" w:rsidRPr="00B70FB5">
        <w:rPr>
          <w:rFonts w:ascii="Arial" w:hAnsi="Arial" w:cs="Arial"/>
          <w:color w:val="000000"/>
          <w:sz w:val="20"/>
          <w:shd w:val="clear" w:color="auto" w:fill="FFFFFF"/>
        </w:rPr>
        <w:t xml:space="preserve"> will be payable on a cumulative basis when, as and if declared by our board of directors or an authorized committee of our board of directors, at an annual rate of 6.75% on the liquidation preference of $1,000 per share. </w:t>
      </w:r>
      <w:r w:rsidR="000142F1" w:rsidRPr="00B70FB5">
        <w:rPr>
          <w:rFonts w:ascii="Arial" w:hAnsi="Arial" w:cs="Arial"/>
          <w:color w:val="000000"/>
          <w:sz w:val="20"/>
          <w:u w:val="single"/>
          <w:shd w:val="clear" w:color="auto" w:fill="FFFFFF"/>
        </w:rPr>
        <w:t xml:space="preserve">We may pay declared dividends in cash or, subject to certain limitations, </w:t>
      </w:r>
      <w:r w:rsidR="000142F1" w:rsidRPr="00985E7F">
        <w:rPr>
          <w:rFonts w:ascii="Arial" w:hAnsi="Arial" w:cs="Arial"/>
          <w:b/>
          <w:color w:val="000000"/>
          <w:sz w:val="20"/>
          <w:u w:val="single"/>
          <w:shd w:val="clear" w:color="auto" w:fill="FFFFFF"/>
        </w:rPr>
        <w:t>in shares of our common stock</w:t>
      </w:r>
      <w:r w:rsidR="000142F1" w:rsidRPr="00B70FB5">
        <w:rPr>
          <w:rFonts w:ascii="Arial" w:hAnsi="Arial" w:cs="Arial"/>
          <w:color w:val="000000"/>
          <w:sz w:val="20"/>
          <w:u w:val="single"/>
          <w:shd w:val="clear" w:color="auto" w:fill="FFFFFF"/>
        </w:rPr>
        <w:t>, par value $0.01 per share, or in any combination of cash and common stock on March 1, June 1, September 1 and December 1 of each year, commencing on December 1, 2015.</w:t>
      </w:r>
      <w:r w:rsidR="000142F1" w:rsidRPr="00B70FB5">
        <w:rPr>
          <w:rFonts w:ascii="Arial" w:hAnsi="Arial" w:cs="Arial"/>
          <w:color w:val="000000"/>
          <w:sz w:val="20"/>
          <w:shd w:val="clear" w:color="auto" w:fill="FFFFFF"/>
        </w:rPr>
        <w:t xml:space="preserve"> Our perpetual convertible preferred stock has no maturity date, and we are not required to redeem our perpetual convertible preferred stock at any time. Accordingly, our perpetual convertible preferred stock will remain outstanding indefinitely unless a holder of shares of our perpetual convertible preferred stock converts it or we decide to convert or repurchase it as described herein.</w:t>
      </w:r>
    </w:p>
    <w:p w14:paraId="5213EE44" w14:textId="77777777" w:rsidR="000142F1" w:rsidRPr="00B70FB5" w:rsidRDefault="00B70FB5" w:rsidP="006C6A8A">
      <w:pPr>
        <w:pStyle w:val="ListContinue"/>
        <w:numPr>
          <w:ilvl w:val="0"/>
          <w:numId w:val="0"/>
        </w:numPr>
        <w:ind w:left="720"/>
        <w:rPr>
          <w:rFonts w:ascii="Arial" w:hAnsi="Arial" w:cs="Arial"/>
        </w:rPr>
      </w:pPr>
      <w:r w:rsidRPr="00B70FB5">
        <w:rPr>
          <w:rFonts w:ascii="Arial" w:hAnsi="Arial" w:cs="Arial"/>
          <w:sz w:val="20"/>
          <w:u w:val="single"/>
          <w:shd w:val="clear" w:color="auto" w:fill="FFFFFF"/>
        </w:rPr>
        <w:t>Example Prospectus Excerpt 2</w:t>
      </w:r>
      <w:r w:rsidRPr="00B70FB5">
        <w:rPr>
          <w:rFonts w:ascii="Arial" w:hAnsi="Arial" w:cs="Arial"/>
          <w:bCs/>
          <w:color w:val="000000"/>
          <w:sz w:val="20"/>
          <w:u w:val="single"/>
          <w:shd w:val="clear" w:color="auto" w:fill="FFFFFF"/>
        </w:rPr>
        <w:t xml:space="preserve">: </w:t>
      </w:r>
      <w:r w:rsidR="000142F1" w:rsidRPr="00B70FB5">
        <w:rPr>
          <w:rFonts w:ascii="Arial" w:hAnsi="Arial" w:cs="Arial"/>
          <w:color w:val="000000"/>
          <w:sz w:val="20"/>
        </w:rPr>
        <w:t xml:space="preserve">Each </w:t>
      </w:r>
      <w:r w:rsidR="000142F1" w:rsidRPr="004C1D25">
        <w:rPr>
          <w:rFonts w:ascii="Arial" w:hAnsi="Arial" w:cs="Arial"/>
          <w:color w:val="000000"/>
          <w:sz w:val="20"/>
          <w:u w:val="single"/>
        </w:rPr>
        <w:t>dividend shall be paid either in shares of Common Stock (“</w:t>
      </w:r>
      <w:r w:rsidR="000142F1" w:rsidRPr="004C1D25">
        <w:rPr>
          <w:rFonts w:ascii="Arial" w:hAnsi="Arial" w:cs="Arial"/>
          <w:bCs/>
          <w:color w:val="000000"/>
          <w:sz w:val="20"/>
          <w:u w:val="single"/>
        </w:rPr>
        <w:t>Payment-in-Kind</w:t>
      </w:r>
      <w:r w:rsidR="000142F1" w:rsidRPr="004C1D25">
        <w:rPr>
          <w:rFonts w:ascii="Arial" w:hAnsi="Arial" w:cs="Arial"/>
          <w:color w:val="000000"/>
          <w:sz w:val="20"/>
          <w:u w:val="single"/>
        </w:rPr>
        <w:t>”) or in cash, at the option of the Corporation on the respective Dividend Date; provided, however,</w:t>
      </w:r>
      <w:r w:rsidR="000142F1" w:rsidRPr="00B70FB5">
        <w:rPr>
          <w:rFonts w:ascii="Arial" w:hAnsi="Arial" w:cs="Arial"/>
          <w:color w:val="000000"/>
          <w:sz w:val="20"/>
        </w:rPr>
        <w:t xml:space="preserve"> </w:t>
      </w:r>
      <w:r w:rsidR="000142F1" w:rsidRPr="00B70FB5">
        <w:rPr>
          <w:rFonts w:ascii="Arial" w:hAnsi="Arial" w:cs="Arial"/>
          <w:color w:val="000000"/>
          <w:sz w:val="20"/>
          <w:u w:val="single"/>
        </w:rPr>
        <w:t>that dividends may only be paid in cash following the fiscal year in which the Corporation has net income</w:t>
      </w:r>
      <w:r w:rsidR="000142F1" w:rsidRPr="00B70FB5">
        <w:rPr>
          <w:rFonts w:ascii="Arial" w:hAnsi="Arial" w:cs="Arial"/>
          <w:color w:val="000000"/>
          <w:sz w:val="20"/>
        </w:rPr>
        <w:t xml:space="preserve"> (as shown in its audited financial statements contained in its Annual Report on Form 10-K for such year) of at least $500,000, to the extent permitted under applicable law out of funds legally available therefor</w:t>
      </w:r>
      <w:r w:rsidR="000142F1" w:rsidRPr="00985E7F">
        <w:rPr>
          <w:rFonts w:ascii="Arial" w:hAnsi="Arial" w:cs="Arial"/>
          <w:b/>
          <w:color w:val="000000"/>
          <w:sz w:val="20"/>
        </w:rPr>
        <w:t xml:space="preserve">. </w:t>
      </w:r>
      <w:r w:rsidR="000142F1" w:rsidRPr="00985E7F">
        <w:rPr>
          <w:rFonts w:ascii="Arial" w:hAnsi="Arial" w:cs="Arial"/>
          <w:b/>
          <w:color w:val="000000"/>
          <w:sz w:val="20"/>
          <w:u w:val="single"/>
        </w:rPr>
        <w:t>For Payment-in-Kind dividends, each Holder on the record date for such divided will receive that number of shares of Common Stock equal</w:t>
      </w:r>
      <w:r w:rsidR="000142F1" w:rsidRPr="00B70FB5">
        <w:rPr>
          <w:rFonts w:ascii="Arial" w:hAnsi="Arial" w:cs="Arial"/>
          <w:color w:val="000000"/>
          <w:sz w:val="20"/>
          <w:u w:val="single"/>
        </w:rPr>
        <w:t xml:space="preserve"> to</w:t>
      </w:r>
      <w:r w:rsidR="000142F1" w:rsidRPr="00B70FB5">
        <w:rPr>
          <w:rFonts w:ascii="Arial" w:hAnsi="Arial" w:cs="Arial"/>
          <w:color w:val="000000"/>
          <w:sz w:val="20"/>
        </w:rPr>
        <w:t xml:space="preserve"> (i) the amount of the dividend payment due such stockholder divided by (ii) 90% of the average of the Per Share Market Values during the twenty (20) Trading Days immediately preceding a Dividend Date. No fractional shares shall be issued upon payment of such dividends pursuant to this Section 3.2 and the number of shares to be issued upon payment of such dividends will be rounded up to the nearest whole share; provided, that, in lieu of rounding up to the nearest whole share, the Corporation may, at its option, pay a cash adjustment in respect of such fractional interest equal to such fractional interest multiplied by the Per Share Market Value on the respective dividend date. Each dividend paid in cash shall be mailed to the Holders of record of the Corporation as their names appear on the share register of the Corporation or at the office of the Corporation’s transfer agent on the corresponding dividend payment date. Holders will receive written notification from the Corporation or the transfer agent if a dividend is paid in Common Stock, which notification will specify the number of shares of Common Stock paid as a dividend. Certificates representing the shares of Common Stock issuable upon payment of each Payment-In-Kind shall be delivered to each Holder entitled to receive such Payment-in-Kind (in appropriate denominations) as soon as reasonably practicable.</w:t>
      </w:r>
    </w:p>
    <w:p w14:paraId="61A882F0" w14:textId="77777777" w:rsidR="00C843FC" w:rsidRPr="00150CE4" w:rsidRDefault="00C843FC" w:rsidP="00C843FC">
      <w:pPr>
        <w:pStyle w:val="ListParagraph"/>
        <w:ind w:left="0"/>
        <w:jc w:val="both"/>
        <w:rPr>
          <w:rFonts w:cs="Arial"/>
          <w:b/>
          <w:u w:val="single"/>
        </w:rPr>
      </w:pPr>
      <w:r>
        <w:rPr>
          <w:rFonts w:cs="Arial"/>
          <w:b/>
          <w:u w:val="single"/>
        </w:rPr>
        <w:t>Step-Up Preferred Stock</w:t>
      </w:r>
      <w:r w:rsidRPr="00150CE4">
        <w:rPr>
          <w:rFonts w:cs="Arial"/>
          <w:b/>
          <w:u w:val="single"/>
        </w:rPr>
        <w:t xml:space="preserve">: </w:t>
      </w:r>
    </w:p>
    <w:p w14:paraId="18B42208" w14:textId="77777777" w:rsidR="006C6A8A" w:rsidRPr="00C01795" w:rsidRDefault="006C6A8A" w:rsidP="00150CE4">
      <w:pPr>
        <w:pStyle w:val="ListParagraph"/>
        <w:jc w:val="both"/>
        <w:rPr>
          <w:rFonts w:ascii="Arial" w:hAnsi="Arial" w:cs="Arial"/>
          <w:i/>
          <w:iCs/>
          <w:sz w:val="21"/>
          <w:szCs w:val="21"/>
          <w:shd w:val="clear" w:color="auto" w:fill="FFFFFF"/>
        </w:rPr>
      </w:pPr>
    </w:p>
    <w:p w14:paraId="518A5583" w14:textId="77777777" w:rsidR="00C843FC" w:rsidRPr="00C01795" w:rsidRDefault="00C843FC" w:rsidP="00C843FC">
      <w:pPr>
        <w:pStyle w:val="ListContinue"/>
        <w:numPr>
          <w:ilvl w:val="0"/>
          <w:numId w:val="0"/>
        </w:numPr>
        <w:ind w:left="720"/>
      </w:pPr>
      <w:bookmarkStart w:id="2" w:name="_Hlk953426"/>
      <w:r w:rsidRPr="00C01795">
        <w:rPr>
          <w:u w:val="single"/>
        </w:rPr>
        <w:t>SSAP No. 32, paragraph 17</w:t>
      </w:r>
      <w:r w:rsidRPr="00C01795">
        <w:t xml:space="preserve">: </w:t>
      </w:r>
      <w:r w:rsidRPr="00C01795">
        <w:rPr>
          <w:rFonts w:ascii="Arial" w:hAnsi="Arial" w:cs="Arial"/>
          <w:sz w:val="20"/>
        </w:rPr>
        <w:t xml:space="preserve">Step-up preferred stock (a security with the structure of a preferred stock, that has the cash flow characteristics of a debt instrument) is considered a security with characteristics of both debt and equity, and the accounting and valuation of such securities shall be consistent with SVO guidelines as stipulated in the </w:t>
      </w:r>
      <w:r w:rsidRPr="00C01795">
        <w:rPr>
          <w:rFonts w:ascii="Arial" w:hAnsi="Arial" w:cs="Arial"/>
          <w:i/>
          <w:sz w:val="20"/>
        </w:rPr>
        <w:t>Purposes and Procedures Manual of the NAIC Investment Analysis Office</w:t>
      </w:r>
      <w:r w:rsidRPr="00C01795">
        <w:rPr>
          <w:rFonts w:ascii="Arial" w:hAnsi="Arial" w:cs="Arial"/>
          <w:sz w:val="20"/>
        </w:rPr>
        <w:t>.</w:t>
      </w:r>
    </w:p>
    <w:bookmarkEnd w:id="2"/>
    <w:p w14:paraId="42FF5CCE" w14:textId="77777777" w:rsidR="00C843FC" w:rsidRPr="00C01795" w:rsidRDefault="00C843FC" w:rsidP="00C843FC">
      <w:pPr>
        <w:pStyle w:val="ListContinue"/>
        <w:numPr>
          <w:ilvl w:val="0"/>
          <w:numId w:val="0"/>
        </w:numPr>
        <w:ind w:left="720"/>
        <w:rPr>
          <w:szCs w:val="22"/>
        </w:rPr>
      </w:pPr>
      <w:r w:rsidRPr="00C01795">
        <w:rPr>
          <w:szCs w:val="22"/>
          <w:u w:val="single"/>
        </w:rPr>
        <w:t>P&amp;P Manual</w:t>
      </w:r>
      <w:r w:rsidRPr="00C01795">
        <w:rPr>
          <w:szCs w:val="22"/>
        </w:rPr>
        <w:t xml:space="preserve"> – There is no current guidance in the </w:t>
      </w:r>
      <w:r w:rsidRPr="00677AC3">
        <w:rPr>
          <w:i/>
          <w:szCs w:val="22"/>
        </w:rPr>
        <w:t>Purposes and Procedures Manual of the NAIC Investment Analysis Office</w:t>
      </w:r>
      <w:r w:rsidRPr="00C01795">
        <w:rPr>
          <w:szCs w:val="22"/>
        </w:rPr>
        <w:t xml:space="preserve"> regarding step-up preferred stock. </w:t>
      </w:r>
    </w:p>
    <w:p w14:paraId="599818FC" w14:textId="77777777" w:rsidR="00114E3C" w:rsidRPr="00C01795" w:rsidRDefault="00C843FC" w:rsidP="00150CE4">
      <w:pPr>
        <w:pStyle w:val="ListParagraph"/>
        <w:jc w:val="both"/>
        <w:rPr>
          <w:iCs/>
          <w:szCs w:val="22"/>
          <w:shd w:val="clear" w:color="auto" w:fill="FFFFFF"/>
        </w:rPr>
      </w:pPr>
      <w:r w:rsidRPr="00C01795">
        <w:rPr>
          <w:iCs/>
          <w:szCs w:val="22"/>
          <w:u w:val="single"/>
          <w:shd w:val="clear" w:color="auto" w:fill="FFFFFF"/>
        </w:rPr>
        <w:t>General</w:t>
      </w:r>
      <w:r w:rsidRPr="00C01795">
        <w:rPr>
          <w:iCs/>
          <w:szCs w:val="22"/>
          <w:shd w:val="clear" w:color="auto" w:fill="FFFFFF"/>
        </w:rPr>
        <w:t xml:space="preserve"> – A “step-up” feature is a component that increases </w:t>
      </w:r>
      <w:r w:rsidR="00114E3C" w:rsidRPr="00C01795">
        <w:rPr>
          <w:iCs/>
          <w:szCs w:val="22"/>
          <w:shd w:val="clear" w:color="auto" w:fill="FFFFFF"/>
        </w:rPr>
        <w:t xml:space="preserve">over time or with stated provisions. For example, a “step-up divided” if a feature that increases the dividend rate. A “step-up call” is a feature that increases the call price for a security. A “step-up conversion” increases the conversion price in a convertible security. In review, no references </w:t>
      </w:r>
      <w:r w:rsidR="0080332C" w:rsidRPr="00C01795">
        <w:rPr>
          <w:iCs/>
          <w:szCs w:val="22"/>
          <w:shd w:val="clear" w:color="auto" w:fill="FFFFFF"/>
        </w:rPr>
        <w:t xml:space="preserve">were </w:t>
      </w:r>
      <w:r w:rsidR="00114E3C" w:rsidRPr="00C01795">
        <w:rPr>
          <w:iCs/>
          <w:szCs w:val="22"/>
          <w:shd w:val="clear" w:color="auto" w:fill="FFFFFF"/>
        </w:rPr>
        <w:t xml:space="preserve">identified that limit “step-up” features to redeemable preferred stock. </w:t>
      </w:r>
    </w:p>
    <w:p w14:paraId="3B0366B2" w14:textId="77777777" w:rsidR="00114E3C" w:rsidRPr="00C01795" w:rsidRDefault="00114E3C" w:rsidP="00150CE4">
      <w:pPr>
        <w:pStyle w:val="ListParagraph"/>
        <w:jc w:val="both"/>
        <w:rPr>
          <w:rFonts w:ascii="Arial" w:hAnsi="Arial" w:cs="Arial"/>
          <w:i/>
          <w:iCs/>
          <w:sz w:val="21"/>
          <w:szCs w:val="21"/>
          <w:shd w:val="clear" w:color="auto" w:fill="FFFFFF"/>
        </w:rPr>
      </w:pPr>
    </w:p>
    <w:p w14:paraId="0C878AC4" w14:textId="77777777" w:rsidR="00114E3C" w:rsidRPr="00C01795" w:rsidRDefault="00114E3C" w:rsidP="0061191A">
      <w:pPr>
        <w:pStyle w:val="ListParagraph"/>
        <w:ind w:left="1440"/>
        <w:jc w:val="both"/>
        <w:rPr>
          <w:rFonts w:ascii="Arial" w:hAnsi="Arial" w:cs="Arial"/>
          <w:iCs/>
          <w:sz w:val="20"/>
          <w:szCs w:val="20"/>
          <w:shd w:val="clear" w:color="auto" w:fill="FFFFFF"/>
        </w:rPr>
      </w:pPr>
      <w:r w:rsidRPr="00C01795">
        <w:rPr>
          <w:rFonts w:ascii="Arial" w:hAnsi="Arial" w:cs="Arial"/>
          <w:iCs/>
          <w:sz w:val="20"/>
          <w:szCs w:val="20"/>
          <w:shd w:val="clear" w:color="auto" w:fill="FFFFFF"/>
        </w:rPr>
        <w:t>The term Step-Up used with an income security means that the dividend or interest distributions will start at a lower level of income and then increase or Step-Up on a specified schedule. For example, a step-up security could start out paying a 5% dividend initially and then Step-Up to a 7% dividend after 5 years (assuming it is not called). The Step-Up or increase in the payout can occur on whatever schedule is specified in the IPO prospectus such as after 3 years, 5 years, 10 years, 15 years, etc. Currently there are only a handful of Step-Up securities on the markets.</w:t>
      </w:r>
    </w:p>
    <w:p w14:paraId="46E33B59" w14:textId="77777777" w:rsidR="0041602A" w:rsidRDefault="0041602A" w:rsidP="0041602A">
      <w:pPr>
        <w:pStyle w:val="ListParagraph"/>
        <w:ind w:left="0"/>
        <w:jc w:val="both"/>
        <w:rPr>
          <w:rFonts w:cs="Arial"/>
          <w:b/>
        </w:rPr>
      </w:pPr>
      <w:r>
        <w:rPr>
          <w:rFonts w:cs="Arial"/>
          <w:b/>
        </w:rPr>
        <w:t xml:space="preserve">Restricted </w:t>
      </w:r>
      <w:r w:rsidRPr="00EC6698">
        <w:rPr>
          <w:rFonts w:cs="Arial"/>
          <w:b/>
        </w:rPr>
        <w:t xml:space="preserve">Preferred Stock: </w:t>
      </w:r>
    </w:p>
    <w:p w14:paraId="16689D60" w14:textId="77777777" w:rsidR="0041602A" w:rsidRDefault="0041602A" w:rsidP="0041602A">
      <w:pPr>
        <w:pStyle w:val="ListParagraph"/>
        <w:ind w:left="0"/>
        <w:jc w:val="both"/>
        <w:rPr>
          <w:rFonts w:cs="Arial"/>
          <w:b/>
        </w:rPr>
      </w:pPr>
    </w:p>
    <w:p w14:paraId="466A2FC3" w14:textId="77777777" w:rsidR="0041602A" w:rsidRPr="00C01795" w:rsidRDefault="0041602A" w:rsidP="0041602A">
      <w:pPr>
        <w:pStyle w:val="ListContinue"/>
        <w:numPr>
          <w:ilvl w:val="0"/>
          <w:numId w:val="0"/>
        </w:numPr>
        <w:ind w:left="720"/>
      </w:pPr>
      <w:r w:rsidRPr="00C01795">
        <w:rPr>
          <w:u w:val="single"/>
        </w:rPr>
        <w:t xml:space="preserve">SSAP No. 32, paragraph </w:t>
      </w:r>
      <w:r>
        <w:rPr>
          <w:u w:val="single"/>
        </w:rPr>
        <w:t>8</w:t>
      </w:r>
      <w:r w:rsidRPr="00C01795">
        <w:t xml:space="preserve">: </w:t>
      </w:r>
      <w:r>
        <w:rPr>
          <w:rFonts w:ascii="Arial" w:hAnsi="Arial" w:cs="Arial"/>
          <w:sz w:val="20"/>
        </w:rPr>
        <w:t xml:space="preserve">Restricted preferred stock is defined as a security for which sale is restricted by governmental or contractual requirement (other than in connection with being pledged as collateral) except where that requirement terminates within one year or if the holder has the power by contract or </w:t>
      </w:r>
      <w:r>
        <w:rPr>
          <w:rFonts w:ascii="Arial" w:hAnsi="Arial" w:cs="Arial"/>
          <w:sz w:val="20"/>
        </w:rPr>
        <w:lastRenderedPageBreak/>
        <w:t xml:space="preserve">otherwise to cause that requirement to be met within one year. Any portion of the security that can be reasonably expected to qualify for sale within one year is not considered restricted. </w:t>
      </w:r>
    </w:p>
    <w:p w14:paraId="72B7150B" w14:textId="77777777" w:rsidR="00CC4D05" w:rsidRDefault="00CC4D05" w:rsidP="00177322">
      <w:pPr>
        <w:pStyle w:val="ListParagraph"/>
        <w:jc w:val="both"/>
        <w:rPr>
          <w:rFonts w:ascii="Arial" w:hAnsi="Arial" w:cs="Arial"/>
          <w:iCs/>
          <w:sz w:val="20"/>
          <w:szCs w:val="20"/>
          <w:shd w:val="clear" w:color="auto" w:fill="FFFFFF"/>
        </w:rPr>
      </w:pPr>
      <w:r w:rsidRPr="00CC4D05">
        <w:rPr>
          <w:rFonts w:cs="Arial"/>
          <w:u w:val="single"/>
        </w:rPr>
        <w:t>NASDAQ Definition</w:t>
      </w:r>
      <w:r>
        <w:rPr>
          <w:rFonts w:cs="Arial"/>
          <w:u w:val="single"/>
        </w:rPr>
        <w:t xml:space="preserve"> – Restricted Stock</w:t>
      </w:r>
      <w:r>
        <w:rPr>
          <w:rFonts w:cs="Arial"/>
          <w:b/>
        </w:rPr>
        <w:t xml:space="preserve">: </w:t>
      </w:r>
      <w:r w:rsidRPr="00177322">
        <w:rPr>
          <w:rFonts w:ascii="Arial" w:hAnsi="Arial" w:cs="Arial"/>
          <w:iCs/>
          <w:sz w:val="20"/>
          <w:szCs w:val="20"/>
          <w:bdr w:val="none" w:sz="0" w:space="0" w:color="auto" w:frame="1"/>
          <w:shd w:val="clear" w:color="auto" w:fill="FFFFFF"/>
        </w:rPr>
        <w:t>Stock</w:t>
      </w:r>
      <w:r w:rsidRPr="00177322">
        <w:rPr>
          <w:rFonts w:ascii="Arial" w:hAnsi="Arial" w:cs="Arial"/>
          <w:iCs/>
          <w:sz w:val="20"/>
          <w:szCs w:val="20"/>
          <w:shd w:val="clear" w:color="auto" w:fill="FFFFFF"/>
        </w:rPr>
        <w:t> that must be </w:t>
      </w:r>
      <w:r w:rsidRPr="00177322">
        <w:rPr>
          <w:rFonts w:ascii="Arial" w:hAnsi="Arial" w:cs="Arial"/>
          <w:iCs/>
          <w:sz w:val="20"/>
          <w:szCs w:val="20"/>
          <w:bdr w:val="none" w:sz="0" w:space="0" w:color="auto" w:frame="1"/>
          <w:shd w:val="clear" w:color="auto" w:fill="FFFFFF"/>
        </w:rPr>
        <w:t>traded</w:t>
      </w:r>
      <w:r w:rsidRPr="00177322">
        <w:rPr>
          <w:rFonts w:ascii="Arial" w:hAnsi="Arial" w:cs="Arial"/>
          <w:iCs/>
          <w:sz w:val="20"/>
          <w:szCs w:val="20"/>
          <w:shd w:val="clear" w:color="auto" w:fill="FFFFFF"/>
        </w:rPr>
        <w:t xml:space="preserve"> in compliance with </w:t>
      </w:r>
      <w:r w:rsidR="00177322">
        <w:rPr>
          <w:rFonts w:ascii="Arial" w:hAnsi="Arial" w:cs="Arial"/>
          <w:iCs/>
          <w:sz w:val="20"/>
          <w:szCs w:val="20"/>
          <w:shd w:val="clear" w:color="auto" w:fill="FFFFFF"/>
        </w:rPr>
        <w:t xml:space="preserve">special SEC regulations </w:t>
      </w:r>
      <w:r w:rsidRPr="00177322">
        <w:rPr>
          <w:rFonts w:ascii="Arial" w:hAnsi="Arial" w:cs="Arial"/>
          <w:iCs/>
          <w:sz w:val="20"/>
          <w:szCs w:val="20"/>
          <w:shd w:val="clear" w:color="auto" w:fill="FFFFFF"/>
        </w:rPr>
        <w:t>concerning its </w:t>
      </w:r>
      <w:r w:rsidRPr="00177322">
        <w:rPr>
          <w:rFonts w:ascii="Arial" w:hAnsi="Arial" w:cs="Arial"/>
          <w:iCs/>
          <w:sz w:val="20"/>
          <w:szCs w:val="20"/>
          <w:bdr w:val="none" w:sz="0" w:space="0" w:color="auto" w:frame="1"/>
          <w:shd w:val="clear" w:color="auto" w:fill="FFFFFF"/>
        </w:rPr>
        <w:t>purchase</w:t>
      </w:r>
      <w:r w:rsidRPr="00177322">
        <w:rPr>
          <w:rFonts w:ascii="Arial" w:hAnsi="Arial" w:cs="Arial"/>
          <w:iCs/>
          <w:sz w:val="20"/>
          <w:szCs w:val="20"/>
          <w:shd w:val="clear" w:color="auto" w:fill="FFFFFF"/>
        </w:rPr>
        <w:t xml:space="preserve"> and resale. These restrictions generally result </w:t>
      </w:r>
      <w:r w:rsidR="00177322">
        <w:rPr>
          <w:rFonts w:ascii="Arial" w:hAnsi="Arial" w:cs="Arial"/>
          <w:iCs/>
          <w:sz w:val="20"/>
          <w:szCs w:val="20"/>
          <w:shd w:val="clear" w:color="auto" w:fill="FFFFFF"/>
        </w:rPr>
        <w:t xml:space="preserve">from affiliate ownership, M&amp;A activity, and </w:t>
      </w:r>
      <w:r w:rsidRPr="00177322">
        <w:rPr>
          <w:rFonts w:ascii="Arial" w:hAnsi="Arial" w:cs="Arial"/>
          <w:iCs/>
          <w:sz w:val="20"/>
          <w:szCs w:val="20"/>
          <w:bdr w:val="none" w:sz="0" w:space="0" w:color="auto" w:frame="1"/>
          <w:shd w:val="clear" w:color="auto" w:fill="FFFFFF"/>
        </w:rPr>
        <w:t xml:space="preserve">underwriting </w:t>
      </w:r>
      <w:r w:rsidRPr="00177322">
        <w:rPr>
          <w:rFonts w:ascii="Arial" w:hAnsi="Arial" w:cs="Arial"/>
          <w:iCs/>
          <w:sz w:val="20"/>
          <w:szCs w:val="20"/>
          <w:shd w:val="clear" w:color="auto" w:fill="FFFFFF"/>
        </w:rPr>
        <w:t>activity. Many firms are now using restricted stock as a reward for employees. The advantages to restricted stock are: employees get dividends, employees usually get voting rights, and employee gets something even if the stock price drops over the vesting period (whereas an option would be worthless).</w:t>
      </w:r>
    </w:p>
    <w:p w14:paraId="74AF3297" w14:textId="77777777" w:rsidR="00177322" w:rsidRDefault="00177322" w:rsidP="00212116">
      <w:pPr>
        <w:pStyle w:val="ListParagraph"/>
        <w:jc w:val="both"/>
        <w:rPr>
          <w:rFonts w:ascii="Arial" w:hAnsi="Arial" w:cs="Arial"/>
          <w:b/>
          <w:sz w:val="20"/>
          <w:szCs w:val="20"/>
        </w:rPr>
      </w:pPr>
    </w:p>
    <w:p w14:paraId="0034C4C5" w14:textId="77777777" w:rsidR="00177322" w:rsidRDefault="00177322" w:rsidP="00212116">
      <w:pPr>
        <w:pStyle w:val="NormalWeb"/>
        <w:shd w:val="clear" w:color="auto" w:fill="FFFFFF"/>
        <w:spacing w:after="0"/>
        <w:ind w:left="720"/>
        <w:jc w:val="both"/>
        <w:textAlignment w:val="baseline"/>
        <w:rPr>
          <w:rFonts w:ascii="Helvetica" w:hAnsi="Helvetica"/>
          <w:color w:val="000000"/>
        </w:rPr>
      </w:pPr>
      <w:r w:rsidRPr="00177322">
        <w:rPr>
          <w:rFonts w:ascii="Times New Roman" w:hAnsi="Times New Roman"/>
          <w:sz w:val="22"/>
          <w:szCs w:val="22"/>
          <w:u w:val="single"/>
        </w:rPr>
        <w:t>SEC Definition – Restricted Securities</w:t>
      </w:r>
      <w:r>
        <w:rPr>
          <w:rFonts w:ascii="Arial" w:hAnsi="Arial" w:cs="Arial"/>
          <w:b/>
        </w:rPr>
        <w:t xml:space="preserve">: </w:t>
      </w:r>
      <w:r w:rsidRPr="00177322">
        <w:rPr>
          <w:rFonts w:ascii="Arial" w:hAnsi="Arial" w:cs="Arial"/>
          <w:color w:val="000000"/>
        </w:rPr>
        <w:t>"Restricted" securities are securities acquired in an unregistered, private sale from the issuing company or from an </w:t>
      </w:r>
      <w:r w:rsidRPr="00177322">
        <w:rPr>
          <w:rFonts w:ascii="Arial" w:hAnsi="Arial" w:cs="Arial"/>
          <w:color w:val="000000"/>
          <w:bdr w:val="none" w:sz="0" w:space="0" w:color="auto" w:frame="1"/>
        </w:rPr>
        <w:t>affiliate</w:t>
      </w:r>
      <w:r w:rsidRPr="00177322">
        <w:rPr>
          <w:rFonts w:ascii="Arial" w:hAnsi="Arial" w:cs="Arial"/>
          <w:color w:val="000000"/>
        </w:rPr>
        <w:t> of the issuer. They typically bear a “restrictive” legend clearly stating that you may not resell them in the public marketplace unless the sale is exempt from the SEC’s registration requirements.</w:t>
      </w:r>
      <w:r>
        <w:rPr>
          <w:rFonts w:ascii="Arial" w:hAnsi="Arial" w:cs="Arial"/>
          <w:color w:val="000000"/>
        </w:rPr>
        <w:t xml:space="preserve"> </w:t>
      </w:r>
      <w:r w:rsidRPr="00177322">
        <w:rPr>
          <w:rFonts w:ascii="Arial" w:hAnsi="Arial" w:cs="Arial"/>
          <w:color w:val="000000"/>
        </w:rPr>
        <w:t>Rule 144 under the Securities Act of 1933 provides the most commonly used exemption for holders to sell restricted securities. To take advantage of this rule, you must meet several conditions, including a six-month or one-year holding period.</w:t>
      </w:r>
    </w:p>
    <w:p w14:paraId="036D5B10" w14:textId="77777777" w:rsidR="00177322" w:rsidRPr="00CC4D05" w:rsidRDefault="00177322" w:rsidP="00177322">
      <w:pPr>
        <w:pStyle w:val="ListParagraph"/>
        <w:jc w:val="both"/>
        <w:rPr>
          <w:rFonts w:ascii="Arial" w:hAnsi="Arial" w:cs="Arial"/>
          <w:b/>
          <w:sz w:val="20"/>
          <w:szCs w:val="20"/>
        </w:rPr>
      </w:pPr>
    </w:p>
    <w:p w14:paraId="154B2FB6" w14:textId="77777777" w:rsidR="00212116" w:rsidRDefault="00212116" w:rsidP="00212116">
      <w:pPr>
        <w:pStyle w:val="ListParagraph"/>
        <w:ind w:left="0"/>
        <w:jc w:val="both"/>
        <w:rPr>
          <w:iCs/>
          <w:szCs w:val="22"/>
          <w:shd w:val="clear" w:color="auto" w:fill="FFFFFF"/>
        </w:rPr>
      </w:pPr>
      <w:r w:rsidRPr="006C6A8A">
        <w:rPr>
          <w:i/>
          <w:iCs/>
          <w:szCs w:val="22"/>
          <w:shd w:val="clear" w:color="auto" w:fill="FFFFFF"/>
        </w:rPr>
        <w:t>NAIC Staff Notes</w:t>
      </w:r>
      <w:r w:rsidRPr="006C6A8A">
        <w:rPr>
          <w:iCs/>
          <w:szCs w:val="22"/>
          <w:shd w:val="clear" w:color="auto" w:fill="FFFFFF"/>
        </w:rPr>
        <w:t xml:space="preserve">: </w:t>
      </w:r>
    </w:p>
    <w:p w14:paraId="00721221" w14:textId="77777777" w:rsidR="00212116" w:rsidRDefault="00212116" w:rsidP="00212116">
      <w:pPr>
        <w:pStyle w:val="ListContinue"/>
        <w:numPr>
          <w:ilvl w:val="0"/>
          <w:numId w:val="0"/>
        </w:numPr>
        <w:rPr>
          <w:shd w:val="clear" w:color="auto" w:fill="FFFFFF"/>
        </w:rPr>
      </w:pPr>
      <w:r>
        <w:rPr>
          <w:shd w:val="clear" w:color="auto" w:fill="FFFFFF"/>
        </w:rPr>
        <w:t xml:space="preserve">The definition of restricted preferred stock in SSPA No. 32 is identical to the definition of common stock in SSAP No. 30. </w:t>
      </w:r>
      <w:r w:rsidRPr="00212116">
        <w:rPr>
          <w:highlight w:val="yellow"/>
          <w:shd w:val="clear" w:color="auto" w:fill="FFFFFF"/>
        </w:rPr>
        <w:t xml:space="preserve">NAIC staff is researching the origin of the SSAP No. 30 and SSAP No. 32 </w:t>
      </w:r>
      <w:r w:rsidR="00677AC3">
        <w:rPr>
          <w:highlight w:val="yellow"/>
          <w:shd w:val="clear" w:color="auto" w:fill="FFFFFF"/>
        </w:rPr>
        <w:t xml:space="preserve">restricted stock </w:t>
      </w:r>
      <w:r w:rsidRPr="00212116">
        <w:rPr>
          <w:highlight w:val="yellow"/>
          <w:shd w:val="clear" w:color="auto" w:fill="FFFFFF"/>
        </w:rPr>
        <w:t xml:space="preserve">definition and request information regarding the source of this </w:t>
      </w:r>
      <w:r w:rsidR="00677AC3">
        <w:rPr>
          <w:highlight w:val="yellow"/>
          <w:shd w:val="clear" w:color="auto" w:fill="FFFFFF"/>
        </w:rPr>
        <w:t>definition</w:t>
      </w:r>
      <w:r w:rsidRPr="00212116">
        <w:rPr>
          <w:highlight w:val="yellow"/>
          <w:shd w:val="clear" w:color="auto" w:fill="FFFFFF"/>
        </w:rPr>
        <w:t>. (There is limited information in the issue paper and the definition has been in place since adoption.)</w:t>
      </w:r>
      <w:r>
        <w:rPr>
          <w:shd w:val="clear" w:color="auto" w:fill="FFFFFF"/>
        </w:rPr>
        <w:t xml:space="preserve"> </w:t>
      </w:r>
    </w:p>
    <w:p w14:paraId="332E2157" w14:textId="77777777" w:rsidR="0080332C" w:rsidRPr="00150CE4" w:rsidRDefault="0080332C" w:rsidP="0080332C">
      <w:pPr>
        <w:pStyle w:val="ListParagraph"/>
        <w:ind w:left="0"/>
        <w:jc w:val="both"/>
        <w:rPr>
          <w:rFonts w:cs="Arial"/>
          <w:b/>
          <w:u w:val="single"/>
        </w:rPr>
      </w:pPr>
      <w:r>
        <w:rPr>
          <w:rFonts w:cs="Arial"/>
          <w:b/>
          <w:u w:val="single"/>
        </w:rPr>
        <w:t>Convertible  Preferred Stock</w:t>
      </w:r>
      <w:r w:rsidRPr="00150CE4">
        <w:rPr>
          <w:rFonts w:cs="Arial"/>
          <w:b/>
          <w:u w:val="single"/>
        </w:rPr>
        <w:t xml:space="preserve">: </w:t>
      </w:r>
    </w:p>
    <w:p w14:paraId="0BC1E249" w14:textId="77777777" w:rsidR="0080332C" w:rsidRDefault="0080332C" w:rsidP="0080332C">
      <w:pPr>
        <w:pStyle w:val="ListParagraph"/>
        <w:jc w:val="both"/>
        <w:rPr>
          <w:rFonts w:ascii="Arial" w:hAnsi="Arial" w:cs="Arial"/>
          <w:i/>
          <w:iCs/>
          <w:color w:val="424242"/>
          <w:sz w:val="21"/>
          <w:szCs w:val="21"/>
          <w:shd w:val="clear" w:color="auto" w:fill="FFFFFF"/>
        </w:rPr>
      </w:pPr>
    </w:p>
    <w:p w14:paraId="2812BF6C" w14:textId="77777777" w:rsidR="0080332C" w:rsidRPr="0080332C" w:rsidRDefault="0080332C" w:rsidP="0080332C">
      <w:pPr>
        <w:pStyle w:val="ListContinue"/>
        <w:numPr>
          <w:ilvl w:val="0"/>
          <w:numId w:val="0"/>
        </w:numPr>
        <w:ind w:left="720"/>
        <w:rPr>
          <w:szCs w:val="22"/>
        </w:rPr>
      </w:pPr>
      <w:r w:rsidRPr="0080332C">
        <w:rPr>
          <w:u w:val="single"/>
        </w:rPr>
        <w:t>SSAP No. 32</w:t>
      </w:r>
      <w:r w:rsidRPr="0080332C">
        <w:t xml:space="preserve">: </w:t>
      </w:r>
      <w:r w:rsidRPr="0080332C">
        <w:rPr>
          <w:szCs w:val="22"/>
        </w:rPr>
        <w:t xml:space="preserve">Convertible preferred stock is not currently defined in SSAP No. 32. </w:t>
      </w:r>
    </w:p>
    <w:p w14:paraId="72464ED9" w14:textId="77777777" w:rsidR="0080332C" w:rsidRDefault="0080332C" w:rsidP="0080332C">
      <w:pPr>
        <w:pStyle w:val="ListContinue"/>
        <w:numPr>
          <w:ilvl w:val="0"/>
          <w:numId w:val="0"/>
        </w:numPr>
        <w:ind w:left="720"/>
        <w:rPr>
          <w:rFonts w:ascii="Arial" w:hAnsi="Arial" w:cs="Arial"/>
          <w:i/>
          <w:iCs/>
          <w:sz w:val="20"/>
          <w:shd w:val="clear" w:color="auto" w:fill="FFFFFF"/>
        </w:rPr>
      </w:pPr>
      <w:r w:rsidRPr="0080332C">
        <w:rPr>
          <w:szCs w:val="22"/>
          <w:u w:val="single"/>
        </w:rPr>
        <w:t>NASDAQ</w:t>
      </w:r>
      <w:r w:rsidRPr="0080332C">
        <w:rPr>
          <w:szCs w:val="22"/>
        </w:rPr>
        <w:t xml:space="preserve">:  </w:t>
      </w:r>
      <w:r w:rsidRPr="0080332C">
        <w:rPr>
          <w:rFonts w:ascii="Arial" w:hAnsi="Arial" w:cs="Arial"/>
          <w:iCs/>
          <w:sz w:val="20"/>
          <w:bdr w:val="none" w:sz="0" w:space="0" w:color="auto" w:frame="1"/>
          <w:shd w:val="clear" w:color="auto" w:fill="FFFFFF"/>
        </w:rPr>
        <w:t>Preferred stock</w:t>
      </w:r>
      <w:r w:rsidRPr="0080332C">
        <w:rPr>
          <w:rFonts w:ascii="Arial" w:hAnsi="Arial" w:cs="Arial"/>
          <w:iCs/>
          <w:sz w:val="20"/>
          <w:shd w:val="clear" w:color="auto" w:fill="FFFFFF"/>
        </w:rPr>
        <w:t> that can be converted into </w:t>
      </w:r>
      <w:r w:rsidRPr="0080332C">
        <w:rPr>
          <w:rFonts w:ascii="Arial" w:hAnsi="Arial" w:cs="Arial"/>
          <w:iCs/>
          <w:sz w:val="20"/>
          <w:bdr w:val="none" w:sz="0" w:space="0" w:color="auto" w:frame="1"/>
          <w:shd w:val="clear" w:color="auto" w:fill="FFFFFF"/>
        </w:rPr>
        <w:t>common stock</w:t>
      </w:r>
      <w:r w:rsidRPr="0080332C">
        <w:rPr>
          <w:rFonts w:ascii="Arial" w:hAnsi="Arial" w:cs="Arial"/>
          <w:iCs/>
          <w:sz w:val="20"/>
          <w:shd w:val="clear" w:color="auto" w:fill="FFFFFF"/>
        </w:rPr>
        <w:t> at the option of the holder.</w:t>
      </w:r>
      <w:r w:rsidRPr="0080332C">
        <w:rPr>
          <w:rFonts w:ascii="Arial" w:hAnsi="Arial" w:cs="Arial"/>
          <w:i/>
          <w:iCs/>
          <w:sz w:val="20"/>
          <w:shd w:val="clear" w:color="auto" w:fill="FFFFFF"/>
        </w:rPr>
        <w:t xml:space="preserve"> </w:t>
      </w:r>
    </w:p>
    <w:p w14:paraId="0E4BD904" w14:textId="77777777" w:rsidR="0080332C" w:rsidRPr="0080332C" w:rsidRDefault="00700580" w:rsidP="00700580">
      <w:pPr>
        <w:pStyle w:val="ListContinue"/>
        <w:numPr>
          <w:ilvl w:val="0"/>
          <w:numId w:val="0"/>
        </w:numPr>
        <w:ind w:left="720"/>
        <w:rPr>
          <w:rFonts w:ascii="Arial" w:hAnsi="Arial" w:cs="Arial"/>
          <w:sz w:val="20"/>
        </w:rPr>
      </w:pPr>
      <w:r w:rsidRPr="00700580">
        <w:rPr>
          <w:color w:val="000000"/>
          <w:szCs w:val="22"/>
          <w:u w:val="single"/>
          <w:shd w:val="clear" w:color="auto" w:fill="FFFFFF"/>
        </w:rPr>
        <w:t>SEC – Convertible Security</w:t>
      </w:r>
      <w:r>
        <w:rPr>
          <w:rFonts w:ascii="Helvetica" w:hAnsi="Helvetica"/>
          <w:color w:val="000000"/>
          <w:sz w:val="20"/>
          <w:shd w:val="clear" w:color="auto" w:fill="FFFFFF"/>
        </w:rPr>
        <w:t xml:space="preserve">: </w:t>
      </w:r>
      <w:r w:rsidRPr="00700580">
        <w:rPr>
          <w:rFonts w:ascii="Arial" w:hAnsi="Arial" w:cs="Arial"/>
          <w:color w:val="000000"/>
          <w:sz w:val="20"/>
          <w:shd w:val="clear" w:color="auto" w:fill="FFFFFF"/>
        </w:rPr>
        <w:t>A "convertible security" is a security—usually a bond or a preferred stock—that can be converted into a different security—typically shares of the company's common stock. In most cases, the holder of the convertible determines whether and when to convert. In other cases, the company has the right to determine when the conversion occurs.</w:t>
      </w:r>
    </w:p>
    <w:p w14:paraId="0ED11D70" w14:textId="77777777" w:rsidR="0080332C" w:rsidRPr="0080332C" w:rsidRDefault="0080332C" w:rsidP="00150CE4">
      <w:pPr>
        <w:pStyle w:val="ListParagraph"/>
        <w:jc w:val="both"/>
        <w:rPr>
          <w:szCs w:val="22"/>
          <w:shd w:val="clear" w:color="auto" w:fill="FFFFFF"/>
        </w:rPr>
      </w:pPr>
      <w:r w:rsidRPr="0080332C">
        <w:rPr>
          <w:iCs/>
          <w:szCs w:val="22"/>
          <w:u w:val="single"/>
          <w:shd w:val="clear" w:color="auto" w:fill="FFFFFF"/>
        </w:rPr>
        <w:t>FASB Glossary – Convertible Security:</w:t>
      </w:r>
      <w:r w:rsidRPr="0080332C">
        <w:rPr>
          <w:i/>
          <w:iCs/>
          <w:szCs w:val="22"/>
          <w:shd w:val="clear" w:color="auto" w:fill="FFFFFF"/>
        </w:rPr>
        <w:t xml:space="preserve"> </w:t>
      </w:r>
      <w:r w:rsidRPr="0080332C">
        <w:rPr>
          <w:rFonts w:ascii="Arial" w:hAnsi="Arial" w:cs="Arial"/>
          <w:sz w:val="20"/>
          <w:szCs w:val="20"/>
          <w:shd w:val="clear" w:color="auto" w:fill="FFFFFF"/>
        </w:rPr>
        <w:t>A security that is convertible into another security based on a conversion rate. For example, convertible preferred stock that is convertible into common stock on a two-for-one basis (two shares of common for each share of preferred).</w:t>
      </w:r>
    </w:p>
    <w:p w14:paraId="076300E5" w14:textId="77777777" w:rsidR="0080332C" w:rsidRDefault="0080332C" w:rsidP="00150CE4">
      <w:pPr>
        <w:pStyle w:val="ListParagraph"/>
        <w:jc w:val="both"/>
        <w:rPr>
          <w:rFonts w:ascii="Arial" w:hAnsi="Arial" w:cs="Arial"/>
          <w:i/>
          <w:iCs/>
          <w:color w:val="424242"/>
          <w:sz w:val="21"/>
          <w:szCs w:val="21"/>
          <w:shd w:val="clear" w:color="auto" w:fill="FFFFFF"/>
        </w:rPr>
      </w:pPr>
    </w:p>
    <w:p w14:paraId="7C26154C" w14:textId="77777777" w:rsidR="0080332C" w:rsidRDefault="0080332C" w:rsidP="0080332C">
      <w:pPr>
        <w:pStyle w:val="ListParagraph"/>
        <w:ind w:left="0"/>
        <w:jc w:val="both"/>
        <w:rPr>
          <w:iCs/>
          <w:szCs w:val="22"/>
          <w:shd w:val="clear" w:color="auto" w:fill="FFFFFF"/>
        </w:rPr>
      </w:pPr>
      <w:r w:rsidRPr="006C6A8A">
        <w:rPr>
          <w:i/>
          <w:iCs/>
          <w:szCs w:val="22"/>
          <w:shd w:val="clear" w:color="auto" w:fill="FFFFFF"/>
        </w:rPr>
        <w:t>NAIC Staff Notes</w:t>
      </w:r>
      <w:r w:rsidRPr="006C6A8A">
        <w:rPr>
          <w:iCs/>
          <w:szCs w:val="22"/>
          <w:shd w:val="clear" w:color="auto" w:fill="FFFFFF"/>
        </w:rPr>
        <w:t xml:space="preserve">: </w:t>
      </w:r>
    </w:p>
    <w:p w14:paraId="5C0C0915" w14:textId="77777777" w:rsidR="0080332C" w:rsidRDefault="0080332C" w:rsidP="0080332C">
      <w:pPr>
        <w:pStyle w:val="ListContinue"/>
        <w:numPr>
          <w:ilvl w:val="0"/>
          <w:numId w:val="0"/>
        </w:numPr>
        <w:rPr>
          <w:shd w:val="clear" w:color="auto" w:fill="FFFFFF"/>
        </w:rPr>
      </w:pPr>
      <w:r>
        <w:rPr>
          <w:shd w:val="clear" w:color="auto" w:fill="FFFFFF"/>
        </w:rPr>
        <w:t xml:space="preserve">The terms for converting preferred stock may be optional or mandatory depending on the </w:t>
      </w:r>
      <w:r w:rsidR="00C01795">
        <w:rPr>
          <w:shd w:val="clear" w:color="auto" w:fill="FFFFFF"/>
        </w:rPr>
        <w:t>terms of the issuance</w:t>
      </w:r>
      <w:r>
        <w:rPr>
          <w:shd w:val="clear" w:color="auto" w:fill="FFFFFF"/>
        </w:rPr>
        <w:t xml:space="preserve">. </w:t>
      </w:r>
      <w:r w:rsidR="00700580">
        <w:rPr>
          <w:shd w:val="clear" w:color="auto" w:fill="FFFFFF"/>
        </w:rPr>
        <w:t xml:space="preserve">Also, both redeemable and perpetual preferred stock can be issued with convertible features. </w:t>
      </w:r>
      <w:r w:rsidR="005D1D22">
        <w:rPr>
          <w:shd w:val="clear" w:color="auto" w:fill="FFFFFF"/>
        </w:rPr>
        <w:t xml:space="preserve">Although there is no current guidance in SSAP No. 32, the guidance in </w:t>
      </w:r>
      <w:r w:rsidR="005D1D22" w:rsidRPr="005D1D22">
        <w:rPr>
          <w:i/>
          <w:shd w:val="clear" w:color="auto" w:fill="FFFFFF"/>
        </w:rPr>
        <w:t>SSAP No. 26R—Bonds</w:t>
      </w:r>
      <w:r w:rsidR="005D1D22">
        <w:rPr>
          <w:shd w:val="clear" w:color="auto" w:fill="FFFFFF"/>
        </w:rPr>
        <w:t xml:space="preserve"> requires specific accounting guidance for mandatory convertible bonds to prevent overstating the value of the investment prior to the mandatory conversion. </w:t>
      </w:r>
      <w:r w:rsidR="00C01795">
        <w:rPr>
          <w:shd w:val="clear" w:color="auto" w:fill="FFFFFF"/>
        </w:rPr>
        <w:t xml:space="preserve">NAIC staff often receives questions regarding the appropriate valuation for mandatory convertible preferred stock. </w:t>
      </w:r>
    </w:p>
    <w:p w14:paraId="54C549DD" w14:textId="77777777" w:rsidR="00700580" w:rsidRPr="00700580" w:rsidRDefault="005D1D22" w:rsidP="00700580">
      <w:pPr>
        <w:pStyle w:val="ListContinue"/>
        <w:numPr>
          <w:ilvl w:val="0"/>
          <w:numId w:val="0"/>
        </w:numPr>
        <w:ind w:left="720"/>
        <w:rPr>
          <w:rFonts w:ascii="Arial" w:hAnsi="Arial" w:cs="Arial"/>
          <w:shd w:val="clear" w:color="auto" w:fill="FFFFFF"/>
        </w:rPr>
      </w:pPr>
      <w:r w:rsidRPr="005D1D22">
        <w:rPr>
          <w:b/>
          <w:i/>
          <w:shd w:val="clear" w:color="auto" w:fill="FFFFFF"/>
        </w:rPr>
        <w:t xml:space="preserve">Example - </w:t>
      </w:r>
      <w:r w:rsidR="00700580" w:rsidRPr="005D1D22">
        <w:rPr>
          <w:b/>
          <w:i/>
          <w:shd w:val="clear" w:color="auto" w:fill="FFFFFF"/>
        </w:rPr>
        <w:t>Convertible Redeemable Preferred Stock</w:t>
      </w:r>
      <w:r w:rsidR="00C01795">
        <w:rPr>
          <w:b/>
          <w:i/>
          <w:shd w:val="clear" w:color="auto" w:fill="FFFFFF"/>
        </w:rPr>
        <w:t xml:space="preserve"> :  </w:t>
      </w:r>
      <w:r w:rsidR="00700580" w:rsidRPr="00700580">
        <w:rPr>
          <w:rFonts w:ascii="Arial" w:hAnsi="Arial" w:cs="Arial"/>
          <w:color w:val="000000"/>
          <w:sz w:val="20"/>
          <w:shd w:val="clear" w:color="auto" w:fill="FFFFFF"/>
        </w:rPr>
        <w:t xml:space="preserve">WHEREAS, subject to the terms and conditions set forth in this Agreement, the Company desires to issue and sell to the Purchaser and the Purchaser desires to acquire from the Company [ ] shares of the </w:t>
      </w:r>
      <w:r w:rsidR="00700580" w:rsidRPr="00700580">
        <w:rPr>
          <w:rFonts w:ascii="Arial" w:hAnsi="Arial" w:cs="Arial"/>
          <w:b/>
          <w:color w:val="000000"/>
          <w:sz w:val="20"/>
          <w:u w:val="single"/>
          <w:shd w:val="clear" w:color="auto" w:fill="FFFFFF"/>
        </w:rPr>
        <w:t>Company’s Series A Convertible Redeemable Preferred Stock</w:t>
      </w:r>
      <w:r w:rsidR="00700580" w:rsidRPr="00700580">
        <w:rPr>
          <w:rFonts w:ascii="Arial" w:hAnsi="Arial" w:cs="Arial"/>
          <w:color w:val="000000"/>
          <w:sz w:val="20"/>
          <w:shd w:val="clear" w:color="auto" w:fill="FFFFFF"/>
        </w:rPr>
        <w:t>, (the “Series A Preferred Stock”), with a Stated Value of one dollar ($1) per share, which is part of a sale of Series A Preferred Stock with an aggregate Stated Value of $750,000.</w:t>
      </w:r>
    </w:p>
    <w:p w14:paraId="2FAF77F5" w14:textId="77777777" w:rsidR="00700580" w:rsidRPr="00700580" w:rsidRDefault="005D1D22" w:rsidP="00700580">
      <w:pPr>
        <w:pStyle w:val="ListContinue"/>
        <w:numPr>
          <w:ilvl w:val="0"/>
          <w:numId w:val="0"/>
        </w:numPr>
        <w:ind w:left="720"/>
        <w:rPr>
          <w:rFonts w:ascii="Arial" w:hAnsi="Arial" w:cs="Arial"/>
          <w:shd w:val="clear" w:color="auto" w:fill="FFFFFF"/>
        </w:rPr>
      </w:pPr>
      <w:r w:rsidRPr="005D1D22">
        <w:rPr>
          <w:b/>
          <w:i/>
          <w:shd w:val="clear" w:color="auto" w:fill="FFFFFF"/>
        </w:rPr>
        <w:t xml:space="preserve">Example - </w:t>
      </w:r>
      <w:r w:rsidR="00700580" w:rsidRPr="005D1D22">
        <w:rPr>
          <w:b/>
          <w:i/>
          <w:shd w:val="clear" w:color="auto" w:fill="FFFFFF"/>
        </w:rPr>
        <w:t>Convertible Perpetual Preferred Stock</w:t>
      </w:r>
      <w:r w:rsidR="00C01795">
        <w:rPr>
          <w:b/>
          <w:i/>
          <w:shd w:val="clear" w:color="auto" w:fill="FFFFFF"/>
        </w:rPr>
        <w:t xml:space="preserve">:  </w:t>
      </w:r>
      <w:r w:rsidR="00700580" w:rsidRPr="00700580">
        <w:rPr>
          <w:rFonts w:ascii="Arial" w:hAnsi="Arial" w:cs="Arial"/>
          <w:color w:val="000000"/>
          <w:sz w:val="20"/>
          <w:shd w:val="clear" w:color="auto" w:fill="FFFFFF"/>
        </w:rPr>
        <w:t xml:space="preserve">RESOLVED, that the Corporation is authorized to issue 14,375,000 shares of 6.50% </w:t>
      </w:r>
      <w:r w:rsidR="00700580" w:rsidRPr="005D1D22">
        <w:rPr>
          <w:rFonts w:ascii="Arial" w:hAnsi="Arial" w:cs="Arial"/>
          <w:b/>
          <w:color w:val="000000"/>
          <w:sz w:val="20"/>
          <w:u w:val="single"/>
          <w:shd w:val="clear" w:color="auto" w:fill="FFFFFF"/>
        </w:rPr>
        <w:t>Series I Cumulative Convertible Perpetual Preferred Stock</w:t>
      </w:r>
      <w:r w:rsidR="00700580" w:rsidRPr="00700580">
        <w:rPr>
          <w:rFonts w:ascii="Arial" w:hAnsi="Arial" w:cs="Arial"/>
          <w:color w:val="000000"/>
          <w:sz w:val="20"/>
          <w:shd w:val="clear" w:color="auto" w:fill="FFFFFF"/>
        </w:rPr>
        <w:t>, $1.00 par value per share, which shall have the following powers, designations, preferences and other special rights:</w:t>
      </w:r>
    </w:p>
    <w:p w14:paraId="7999AF38" w14:textId="77777777" w:rsidR="0080332C" w:rsidRPr="002E6FE0" w:rsidRDefault="002B4249" w:rsidP="0080332C">
      <w:pPr>
        <w:jc w:val="both"/>
        <w:rPr>
          <w:rFonts w:cs="Arial"/>
          <w:b/>
          <w:sz w:val="22"/>
          <w:szCs w:val="22"/>
          <w:u w:val="single"/>
        </w:rPr>
      </w:pPr>
      <w:r>
        <w:rPr>
          <w:rFonts w:cs="Arial"/>
          <w:b/>
          <w:sz w:val="22"/>
          <w:szCs w:val="22"/>
          <w:u w:val="single"/>
        </w:rPr>
        <w:t xml:space="preserve">Statutory Accounting </w:t>
      </w:r>
      <w:r w:rsidR="0080332C" w:rsidRPr="002E6FE0">
        <w:rPr>
          <w:rFonts w:cs="Arial"/>
          <w:b/>
          <w:sz w:val="22"/>
          <w:szCs w:val="22"/>
          <w:u w:val="single"/>
        </w:rPr>
        <w:t>Definition</w:t>
      </w:r>
      <w:r w:rsidR="0080332C">
        <w:rPr>
          <w:rFonts w:cs="Arial"/>
          <w:b/>
          <w:sz w:val="22"/>
          <w:szCs w:val="22"/>
          <w:u w:val="single"/>
        </w:rPr>
        <w:t xml:space="preserve"> Overview and Assessment</w:t>
      </w:r>
    </w:p>
    <w:p w14:paraId="17E3E08C" w14:textId="77777777" w:rsidR="0080332C" w:rsidRDefault="00677AC3" w:rsidP="0080332C">
      <w:pPr>
        <w:pStyle w:val="ListParagraph"/>
        <w:ind w:left="0"/>
        <w:jc w:val="both"/>
        <w:rPr>
          <w:rFonts w:cs="Arial"/>
          <w:szCs w:val="22"/>
        </w:rPr>
      </w:pPr>
      <w:r>
        <w:rPr>
          <w:rFonts w:cs="Arial"/>
          <w:szCs w:val="22"/>
        </w:rPr>
        <w:lastRenderedPageBreak/>
        <w:t xml:space="preserve">After reviewing the existing SSAP No. 32 definitions to market terms, NAIC staff recommends that the Working Group consider revisions to update SSAP No. 32 accordingly. </w:t>
      </w:r>
      <w:r w:rsidR="0080332C">
        <w:rPr>
          <w:rFonts w:cs="Arial"/>
          <w:szCs w:val="22"/>
        </w:rPr>
        <w:t xml:space="preserve">Consideration should be given as to </w:t>
      </w:r>
      <w:r>
        <w:rPr>
          <w:rFonts w:cs="Arial"/>
          <w:szCs w:val="22"/>
        </w:rPr>
        <w:t xml:space="preserve">the </w:t>
      </w:r>
      <w:r w:rsidR="0080332C">
        <w:rPr>
          <w:rFonts w:cs="Arial"/>
          <w:szCs w:val="22"/>
        </w:rPr>
        <w:t xml:space="preserve">extent detailed definitions of various </w:t>
      </w:r>
      <w:r>
        <w:rPr>
          <w:rFonts w:cs="Arial"/>
          <w:szCs w:val="22"/>
        </w:rPr>
        <w:t xml:space="preserve">components of </w:t>
      </w:r>
      <w:r w:rsidR="0080332C">
        <w:rPr>
          <w:rFonts w:cs="Arial"/>
          <w:szCs w:val="22"/>
        </w:rPr>
        <w:t xml:space="preserve">preferred stock </w:t>
      </w:r>
      <w:r>
        <w:rPr>
          <w:rFonts w:cs="Arial"/>
          <w:szCs w:val="22"/>
        </w:rPr>
        <w:t>should be included</w:t>
      </w:r>
      <w:r w:rsidR="0080332C">
        <w:rPr>
          <w:rFonts w:cs="Arial"/>
          <w:szCs w:val="22"/>
        </w:rPr>
        <w:t xml:space="preserve">, particularly if </w:t>
      </w:r>
      <w:r>
        <w:rPr>
          <w:rFonts w:cs="Arial"/>
          <w:szCs w:val="22"/>
        </w:rPr>
        <w:t xml:space="preserve">an element would not alter the accounting or reporting of a preferred stock investment. </w:t>
      </w:r>
      <w:r w:rsidR="00C01795">
        <w:rPr>
          <w:rFonts w:cs="Arial"/>
          <w:szCs w:val="22"/>
        </w:rPr>
        <w:t xml:space="preserve">(NAIC staff highlights that other key terms of preferred stock are not currently defined in SSAP No. 32 and only the terms currently defined and/or identified as potential impacting valuation are included in the discussion.) </w:t>
      </w:r>
    </w:p>
    <w:p w14:paraId="1C2A0F3D" w14:textId="77777777" w:rsidR="0080332C" w:rsidRPr="002E6FE0" w:rsidRDefault="0080332C" w:rsidP="00304EDB">
      <w:pPr>
        <w:pStyle w:val="ListParagraph"/>
        <w:ind w:left="0"/>
        <w:jc w:val="both"/>
        <w:rPr>
          <w:rFonts w:cs="Arial"/>
          <w:szCs w:val="22"/>
        </w:rPr>
      </w:pPr>
    </w:p>
    <w:p w14:paraId="1497495D" w14:textId="77777777" w:rsidR="007D6D32" w:rsidRPr="00C01795" w:rsidRDefault="007D6D32" w:rsidP="007D6D32">
      <w:pPr>
        <w:jc w:val="both"/>
        <w:rPr>
          <w:rFonts w:cs="Arial"/>
          <w:b/>
          <w:sz w:val="22"/>
          <w:szCs w:val="22"/>
          <w:u w:val="single"/>
        </w:rPr>
      </w:pPr>
      <w:r w:rsidRPr="00C01795">
        <w:rPr>
          <w:rFonts w:cs="Arial"/>
          <w:b/>
          <w:sz w:val="22"/>
          <w:szCs w:val="22"/>
          <w:u w:val="single"/>
        </w:rPr>
        <w:t xml:space="preserve">2 – </w:t>
      </w:r>
      <w:r w:rsidR="00C01795">
        <w:rPr>
          <w:rFonts w:cs="Arial"/>
          <w:b/>
          <w:sz w:val="22"/>
          <w:szCs w:val="22"/>
          <w:u w:val="single"/>
        </w:rPr>
        <w:t xml:space="preserve">Clarifications to Existing Accounting and Valuation Guidance </w:t>
      </w:r>
    </w:p>
    <w:p w14:paraId="0AE64317" w14:textId="77777777" w:rsidR="00A33EA5" w:rsidRPr="00677AC3" w:rsidRDefault="00C01795" w:rsidP="007D6D32">
      <w:pPr>
        <w:pStyle w:val="ListParagraph"/>
        <w:ind w:left="0"/>
        <w:jc w:val="both"/>
        <w:rPr>
          <w:rFonts w:cs="Arial"/>
          <w:szCs w:val="22"/>
        </w:rPr>
      </w:pPr>
      <w:r>
        <w:rPr>
          <w:rFonts w:cs="Arial"/>
          <w:szCs w:val="22"/>
        </w:rPr>
        <w:t>The valuation methods utilized for preferred stock in SSAP No. 32 depends on the</w:t>
      </w:r>
      <w:r w:rsidR="00033A31">
        <w:rPr>
          <w:rFonts w:cs="Arial"/>
          <w:szCs w:val="22"/>
        </w:rPr>
        <w:t xml:space="preserve"> type of preferred stock (redeemable or </w:t>
      </w:r>
      <w:r w:rsidR="0078446E">
        <w:rPr>
          <w:rFonts w:cs="Arial"/>
          <w:szCs w:val="22"/>
        </w:rPr>
        <w:t>perpetual</w:t>
      </w:r>
      <w:r w:rsidR="00033A31">
        <w:rPr>
          <w:rFonts w:cs="Arial"/>
          <w:szCs w:val="22"/>
        </w:rPr>
        <w:t>),</w:t>
      </w:r>
      <w:r>
        <w:rPr>
          <w:rFonts w:cs="Arial"/>
          <w:szCs w:val="22"/>
        </w:rPr>
        <w:t xml:space="preserve"> type of insurance entity</w:t>
      </w:r>
      <w:r w:rsidR="00033A31">
        <w:rPr>
          <w:rFonts w:cs="Arial"/>
          <w:szCs w:val="22"/>
        </w:rPr>
        <w:t xml:space="preserve"> and the </w:t>
      </w:r>
      <w:r>
        <w:rPr>
          <w:rFonts w:cs="Arial"/>
          <w:szCs w:val="22"/>
        </w:rPr>
        <w:t xml:space="preserve">NAIC designation. </w:t>
      </w:r>
      <w:r w:rsidRPr="00677AC3">
        <w:rPr>
          <w:rFonts w:cs="Arial"/>
          <w:szCs w:val="22"/>
        </w:rPr>
        <w:t xml:space="preserve">(Although perpetual stock is more akin to equity, the NAIC designation provides a credit assessment on the dividends. For example, guidance in the P&amp;P Manual prohibits assigning an NAIC designation of 1, 2 or 3 </w:t>
      </w:r>
      <w:r w:rsidR="000C2D71" w:rsidRPr="00677AC3">
        <w:rPr>
          <w:rFonts w:cs="Arial"/>
          <w:szCs w:val="22"/>
        </w:rPr>
        <w:t xml:space="preserve">to any preferred stock in which dividends have not been paid or sinking fund requirements have not been met.) </w:t>
      </w:r>
      <w:r w:rsidR="00677AC3" w:rsidRPr="00677AC3">
        <w:rPr>
          <w:rFonts w:cs="Arial"/>
          <w:szCs w:val="22"/>
        </w:rPr>
        <w:t>Pursuant to SSAP No. 32, paragraphs 19-22:</w:t>
      </w:r>
    </w:p>
    <w:p w14:paraId="3EA875B7" w14:textId="77777777" w:rsidR="000C2D71" w:rsidRDefault="000C2D71" w:rsidP="007D6D32">
      <w:pPr>
        <w:pStyle w:val="ListParagraph"/>
        <w:ind w:left="0"/>
        <w:jc w:val="both"/>
        <w:rPr>
          <w:rFonts w:cs="Arial"/>
          <w:szCs w:val="22"/>
        </w:rPr>
      </w:pPr>
    </w:p>
    <w:p w14:paraId="5FB8B556" w14:textId="77777777" w:rsidR="000C2D71" w:rsidRPr="0078446E" w:rsidRDefault="000C2D71" w:rsidP="000C2D71">
      <w:pPr>
        <w:pStyle w:val="ListParagraph"/>
        <w:jc w:val="both"/>
        <w:rPr>
          <w:rFonts w:cs="Arial"/>
          <w:szCs w:val="22"/>
          <w:u w:val="single"/>
        </w:rPr>
      </w:pPr>
      <w:r w:rsidRPr="0078446E">
        <w:rPr>
          <w:rFonts w:cs="Arial"/>
          <w:szCs w:val="22"/>
          <w:u w:val="single"/>
        </w:rPr>
        <w:t>Reporting Entities that Do Not Maintain an AVR</w:t>
      </w:r>
    </w:p>
    <w:p w14:paraId="4C118580" w14:textId="77777777" w:rsidR="0078446E" w:rsidRDefault="0078446E" w:rsidP="000C2D71">
      <w:pPr>
        <w:pStyle w:val="ListParagraph"/>
        <w:jc w:val="both"/>
        <w:rPr>
          <w:rFonts w:cs="Arial"/>
          <w:szCs w:val="22"/>
        </w:rPr>
      </w:pPr>
    </w:p>
    <w:p w14:paraId="573B507F" w14:textId="77777777" w:rsidR="000C2D71" w:rsidRDefault="0078446E" w:rsidP="0078446E">
      <w:pPr>
        <w:pStyle w:val="ListParagraph"/>
        <w:numPr>
          <w:ilvl w:val="0"/>
          <w:numId w:val="25"/>
        </w:numPr>
        <w:jc w:val="both"/>
        <w:rPr>
          <w:rFonts w:cs="Arial"/>
          <w:szCs w:val="22"/>
        </w:rPr>
      </w:pPr>
      <w:r>
        <w:rPr>
          <w:rFonts w:cs="Arial"/>
          <w:szCs w:val="22"/>
        </w:rPr>
        <w:t>Redeemable with NAIC Designation 1-2: Cost or Amortized Cost</w:t>
      </w:r>
    </w:p>
    <w:p w14:paraId="198BFF8A" w14:textId="77777777" w:rsidR="0078446E" w:rsidRDefault="0078446E" w:rsidP="0078446E">
      <w:pPr>
        <w:pStyle w:val="ListParagraph"/>
        <w:numPr>
          <w:ilvl w:val="0"/>
          <w:numId w:val="25"/>
        </w:numPr>
        <w:jc w:val="both"/>
        <w:rPr>
          <w:rFonts w:cs="Arial"/>
          <w:szCs w:val="22"/>
        </w:rPr>
      </w:pPr>
      <w:r>
        <w:rPr>
          <w:rFonts w:cs="Arial"/>
          <w:szCs w:val="22"/>
        </w:rPr>
        <w:t>Redeemable with NAIC Designations 3-6: Lower of Cost, Amortized Cost or Fair Value</w:t>
      </w:r>
    </w:p>
    <w:p w14:paraId="2AD71E16" w14:textId="77777777" w:rsidR="0078446E" w:rsidRDefault="0078446E" w:rsidP="0078446E">
      <w:pPr>
        <w:pStyle w:val="ListParagraph"/>
        <w:ind w:left="1440"/>
        <w:jc w:val="both"/>
        <w:rPr>
          <w:rFonts w:cs="Arial"/>
          <w:szCs w:val="22"/>
        </w:rPr>
      </w:pPr>
    </w:p>
    <w:p w14:paraId="19A9FA60" w14:textId="77777777" w:rsidR="0078446E" w:rsidRDefault="0078446E" w:rsidP="0078446E">
      <w:pPr>
        <w:pStyle w:val="ListParagraph"/>
        <w:numPr>
          <w:ilvl w:val="0"/>
          <w:numId w:val="25"/>
        </w:numPr>
        <w:jc w:val="both"/>
        <w:rPr>
          <w:rFonts w:cs="Arial"/>
          <w:szCs w:val="22"/>
        </w:rPr>
      </w:pPr>
      <w:r>
        <w:rPr>
          <w:rFonts w:cs="Arial"/>
          <w:szCs w:val="22"/>
        </w:rPr>
        <w:t>Perpetual with NAIC designations 1-2: Fair Value</w:t>
      </w:r>
    </w:p>
    <w:p w14:paraId="28F6FA2F" w14:textId="77777777" w:rsidR="0078446E" w:rsidRDefault="0078446E" w:rsidP="0078446E">
      <w:pPr>
        <w:pStyle w:val="ListParagraph"/>
        <w:numPr>
          <w:ilvl w:val="0"/>
          <w:numId w:val="25"/>
        </w:numPr>
        <w:jc w:val="both"/>
        <w:rPr>
          <w:rFonts w:cs="Arial"/>
          <w:szCs w:val="22"/>
        </w:rPr>
      </w:pPr>
      <w:r>
        <w:rPr>
          <w:rFonts w:cs="Arial"/>
          <w:szCs w:val="22"/>
        </w:rPr>
        <w:t>Perpetual with NAIC designations 3-6: Lower of Cost or Fair Value</w:t>
      </w:r>
    </w:p>
    <w:p w14:paraId="25E8B797" w14:textId="77777777" w:rsidR="000C2D71" w:rsidRDefault="000C2D71" w:rsidP="000C2D71">
      <w:pPr>
        <w:pStyle w:val="ListParagraph"/>
        <w:jc w:val="both"/>
        <w:rPr>
          <w:rFonts w:cs="Arial"/>
          <w:szCs w:val="22"/>
        </w:rPr>
      </w:pPr>
    </w:p>
    <w:p w14:paraId="6BD7DF83" w14:textId="77777777" w:rsidR="000C2D71" w:rsidRPr="0078446E" w:rsidRDefault="000C2D71" w:rsidP="000C2D71">
      <w:pPr>
        <w:pStyle w:val="ListParagraph"/>
        <w:jc w:val="both"/>
        <w:rPr>
          <w:rFonts w:cs="Arial"/>
          <w:u w:val="single"/>
        </w:rPr>
      </w:pPr>
      <w:r w:rsidRPr="0078446E">
        <w:rPr>
          <w:rFonts w:cs="Arial"/>
          <w:szCs w:val="22"/>
          <w:u w:val="single"/>
        </w:rPr>
        <w:t>Reporting Entities that Do Maintain and AVR</w:t>
      </w:r>
    </w:p>
    <w:p w14:paraId="53A6A59E" w14:textId="77777777" w:rsidR="00A33EA5" w:rsidRPr="00C01795" w:rsidRDefault="00A33EA5" w:rsidP="007D6D32">
      <w:pPr>
        <w:pStyle w:val="ListParagraph"/>
        <w:ind w:left="0"/>
        <w:jc w:val="both"/>
        <w:rPr>
          <w:rFonts w:cs="Arial"/>
        </w:rPr>
      </w:pPr>
    </w:p>
    <w:p w14:paraId="3B2C7025" w14:textId="77777777" w:rsidR="006838FC" w:rsidRDefault="006838FC" w:rsidP="006838FC">
      <w:pPr>
        <w:pStyle w:val="ListParagraph"/>
        <w:numPr>
          <w:ilvl w:val="0"/>
          <w:numId w:val="25"/>
        </w:numPr>
        <w:jc w:val="both"/>
        <w:rPr>
          <w:rFonts w:cs="Arial"/>
          <w:szCs w:val="22"/>
        </w:rPr>
      </w:pPr>
      <w:r>
        <w:rPr>
          <w:rFonts w:cs="Arial"/>
          <w:szCs w:val="22"/>
        </w:rPr>
        <w:t>Redeemable with NAIC Designation 1-3: Cost or Amortized Cost</w:t>
      </w:r>
    </w:p>
    <w:p w14:paraId="32D71BCD" w14:textId="77777777" w:rsidR="006838FC" w:rsidRDefault="006838FC" w:rsidP="006838FC">
      <w:pPr>
        <w:pStyle w:val="ListParagraph"/>
        <w:numPr>
          <w:ilvl w:val="0"/>
          <w:numId w:val="25"/>
        </w:numPr>
        <w:jc w:val="both"/>
        <w:rPr>
          <w:rFonts w:cs="Arial"/>
          <w:szCs w:val="22"/>
        </w:rPr>
      </w:pPr>
      <w:r>
        <w:rPr>
          <w:rFonts w:cs="Arial"/>
          <w:szCs w:val="22"/>
        </w:rPr>
        <w:t>Redeemable with NAIC Designations 4-6: Lower of Cost, Amortized Cost or Fair Value</w:t>
      </w:r>
    </w:p>
    <w:p w14:paraId="01525195" w14:textId="77777777" w:rsidR="006838FC" w:rsidRDefault="006838FC" w:rsidP="006838FC">
      <w:pPr>
        <w:pStyle w:val="ListParagraph"/>
        <w:ind w:left="1440"/>
        <w:jc w:val="both"/>
        <w:rPr>
          <w:rFonts w:cs="Arial"/>
          <w:szCs w:val="22"/>
        </w:rPr>
      </w:pPr>
    </w:p>
    <w:p w14:paraId="4E1066E4" w14:textId="77777777" w:rsidR="006838FC" w:rsidRDefault="006838FC" w:rsidP="006838FC">
      <w:pPr>
        <w:pStyle w:val="ListParagraph"/>
        <w:numPr>
          <w:ilvl w:val="0"/>
          <w:numId w:val="25"/>
        </w:numPr>
        <w:jc w:val="both"/>
        <w:rPr>
          <w:rFonts w:cs="Arial"/>
          <w:szCs w:val="22"/>
        </w:rPr>
      </w:pPr>
      <w:r>
        <w:rPr>
          <w:rFonts w:cs="Arial"/>
          <w:szCs w:val="22"/>
        </w:rPr>
        <w:t>Perpetual with NAIC designations 1-3: Cost</w:t>
      </w:r>
    </w:p>
    <w:p w14:paraId="664827A5" w14:textId="77777777" w:rsidR="006838FC" w:rsidRDefault="006838FC" w:rsidP="006838FC">
      <w:pPr>
        <w:pStyle w:val="ListParagraph"/>
        <w:numPr>
          <w:ilvl w:val="0"/>
          <w:numId w:val="25"/>
        </w:numPr>
        <w:jc w:val="both"/>
        <w:rPr>
          <w:rFonts w:cs="Arial"/>
          <w:szCs w:val="22"/>
        </w:rPr>
      </w:pPr>
      <w:r>
        <w:rPr>
          <w:rFonts w:cs="Arial"/>
          <w:szCs w:val="22"/>
        </w:rPr>
        <w:t>Perpetual with NAIC designations 4-6: Lower of Cost or Fair Value</w:t>
      </w:r>
    </w:p>
    <w:p w14:paraId="7925E30B" w14:textId="77777777" w:rsidR="00CD5C6D" w:rsidRPr="00303012" w:rsidRDefault="00CD5C6D" w:rsidP="00CD5C6D">
      <w:pPr>
        <w:pStyle w:val="NormalWeb"/>
        <w:spacing w:after="0"/>
        <w:jc w:val="both"/>
        <w:rPr>
          <w:rFonts w:ascii="Times New Roman" w:hAnsi="Times New Roman"/>
          <w:sz w:val="22"/>
          <w:szCs w:val="22"/>
          <w:highlight w:val="lightGray"/>
        </w:rPr>
      </w:pPr>
    </w:p>
    <w:p w14:paraId="3D8411BC" w14:textId="77777777" w:rsidR="006838FC" w:rsidRDefault="006838FC" w:rsidP="006838FC">
      <w:pPr>
        <w:pStyle w:val="ListContinue"/>
        <w:numPr>
          <w:ilvl w:val="0"/>
          <w:numId w:val="0"/>
        </w:numPr>
        <w:rPr>
          <w:shd w:val="clear" w:color="auto" w:fill="FFFFFF"/>
        </w:rPr>
      </w:pPr>
      <w:r>
        <w:rPr>
          <w:shd w:val="clear" w:color="auto" w:fill="FFFFFF"/>
        </w:rPr>
        <w:t xml:space="preserve">NAIC staff identifies that the existing guidance in SSAP No. 32 does not differentiate when a reporting entity should utilize </w:t>
      </w:r>
      <w:r w:rsidR="00984799">
        <w:rPr>
          <w:shd w:val="clear" w:color="auto" w:fill="FFFFFF"/>
        </w:rPr>
        <w:t>“</w:t>
      </w:r>
      <w:r>
        <w:rPr>
          <w:shd w:val="clear" w:color="auto" w:fill="FFFFFF"/>
        </w:rPr>
        <w:t>cost</w:t>
      </w:r>
      <w:r w:rsidR="00984799">
        <w:rPr>
          <w:shd w:val="clear" w:color="auto" w:fill="FFFFFF"/>
        </w:rPr>
        <w:t>”</w:t>
      </w:r>
      <w:r>
        <w:rPr>
          <w:shd w:val="clear" w:color="auto" w:fill="FFFFFF"/>
        </w:rPr>
        <w:t xml:space="preserve"> or </w:t>
      </w:r>
      <w:r w:rsidR="00984799">
        <w:rPr>
          <w:shd w:val="clear" w:color="auto" w:fill="FFFFFF"/>
        </w:rPr>
        <w:t>“</w:t>
      </w:r>
      <w:r>
        <w:rPr>
          <w:shd w:val="clear" w:color="auto" w:fill="FFFFFF"/>
        </w:rPr>
        <w:t>amortized cost</w:t>
      </w:r>
      <w:r w:rsidR="00984799">
        <w:rPr>
          <w:shd w:val="clear" w:color="auto" w:fill="FFFFFF"/>
        </w:rPr>
        <w:t>”</w:t>
      </w:r>
      <w:r>
        <w:rPr>
          <w:shd w:val="clear" w:color="auto" w:fill="FFFFFF"/>
        </w:rPr>
        <w:t xml:space="preserve"> in determining the measurement method</w:t>
      </w:r>
      <w:r w:rsidR="00847CD7">
        <w:rPr>
          <w:shd w:val="clear" w:color="auto" w:fill="FFFFFF"/>
        </w:rPr>
        <w:t xml:space="preserve">. </w:t>
      </w:r>
      <w:r>
        <w:rPr>
          <w:shd w:val="clear" w:color="auto" w:fill="FFFFFF"/>
        </w:rPr>
        <w:t xml:space="preserve"> </w:t>
      </w:r>
    </w:p>
    <w:p w14:paraId="0EA93324" w14:textId="77777777" w:rsidR="00677AC3" w:rsidRDefault="00677AC3" w:rsidP="006838FC">
      <w:pPr>
        <w:pStyle w:val="ListContinue"/>
        <w:numPr>
          <w:ilvl w:val="0"/>
          <w:numId w:val="0"/>
        </w:numPr>
        <w:rPr>
          <w:shd w:val="clear" w:color="auto" w:fill="FFFFFF"/>
        </w:rPr>
      </w:pPr>
      <w:r>
        <w:rPr>
          <w:shd w:val="clear" w:color="auto" w:fill="FFFFFF"/>
        </w:rPr>
        <w:t xml:space="preserve">The accounting under U.S. GAAP depends on whether the preferred stock is considered a debt or equity security: </w:t>
      </w:r>
    </w:p>
    <w:p w14:paraId="0C1B9764" w14:textId="77777777" w:rsidR="006838FC" w:rsidRDefault="006838FC" w:rsidP="00984799">
      <w:pPr>
        <w:ind w:left="360"/>
        <w:rPr>
          <w:rFonts w:ascii="Arial" w:hAnsi="Arial" w:cs="Arial"/>
          <w:color w:val="000000"/>
          <w:bdr w:val="none" w:sz="0" w:space="0" w:color="auto" w:frame="1"/>
          <w:shd w:val="clear" w:color="auto" w:fill="FFFFFF"/>
        </w:rPr>
      </w:pPr>
      <w:r w:rsidRPr="00984799">
        <w:rPr>
          <w:rStyle w:val="term"/>
          <w:rFonts w:ascii="Arial" w:hAnsi="Arial" w:cs="Arial"/>
          <w:b/>
          <w:bCs/>
          <w:color w:val="000000"/>
          <w:u w:val="single"/>
          <w:bdr w:val="none" w:sz="0" w:space="0" w:color="auto" w:frame="1"/>
          <w:shd w:val="clear" w:color="auto" w:fill="FFFFFF"/>
        </w:rPr>
        <w:t>FASB Glossary - Equity Security</w:t>
      </w:r>
      <w:r w:rsidRPr="00984799">
        <w:rPr>
          <w:rFonts w:ascii="Verdana" w:hAnsi="Verdana"/>
          <w:color w:val="000000"/>
          <w:sz w:val="18"/>
          <w:szCs w:val="18"/>
          <w:u w:val="single"/>
          <w:shd w:val="clear" w:color="auto" w:fill="FFFFFF"/>
        </w:rPr>
        <w:t> </w:t>
      </w:r>
      <w:r w:rsidR="00984799">
        <w:rPr>
          <w:rFonts w:ascii="Verdana" w:hAnsi="Verdana"/>
          <w:color w:val="000000"/>
          <w:sz w:val="18"/>
          <w:szCs w:val="18"/>
          <w:u w:val="single"/>
          <w:shd w:val="clear" w:color="auto" w:fill="FFFFFF"/>
        </w:rPr>
        <w:t>(First Definition)</w:t>
      </w:r>
      <w:r w:rsidRPr="00984799">
        <w:rPr>
          <w:rFonts w:ascii="Verdana" w:hAnsi="Verdana"/>
          <w:color w:val="000000"/>
          <w:sz w:val="18"/>
          <w:szCs w:val="18"/>
          <w:u w:val="single"/>
        </w:rPr>
        <w:br/>
      </w:r>
      <w:r w:rsidRPr="006838FC">
        <w:rPr>
          <w:rFonts w:ascii="Arial" w:hAnsi="Arial" w:cs="Arial"/>
          <w:color w:val="000000"/>
          <w:bdr w:val="none" w:sz="0" w:space="0" w:color="auto" w:frame="1"/>
          <w:shd w:val="clear" w:color="auto" w:fill="FFFFFF"/>
        </w:rPr>
        <w:t>Any security representing an ownership interest in an entity (for example, common, preferred, or other capital stock) or the right to acquire (for example, warrants, rights, and call options) or dispose of (for example, put options) an ownership interest in an entity at fixed or determinable prices. The term equity security does not include any of the following:</w:t>
      </w:r>
    </w:p>
    <w:p w14:paraId="198B8A5B" w14:textId="77777777" w:rsidR="006838FC" w:rsidRPr="006838FC" w:rsidRDefault="006838FC" w:rsidP="00984799">
      <w:pPr>
        <w:ind w:left="360"/>
        <w:rPr>
          <w:rFonts w:ascii="Arial" w:hAnsi="Arial" w:cs="Arial"/>
        </w:rPr>
      </w:pPr>
    </w:p>
    <w:p w14:paraId="19479349" w14:textId="77777777" w:rsidR="006838FC" w:rsidRPr="006838FC" w:rsidRDefault="006838FC" w:rsidP="00212116">
      <w:pPr>
        <w:spacing w:after="290"/>
        <w:ind w:left="990" w:hanging="270"/>
        <w:rPr>
          <w:rFonts w:ascii="Arial" w:hAnsi="Arial" w:cs="Arial"/>
          <w:color w:val="000000"/>
          <w:bdr w:val="none" w:sz="0" w:space="0" w:color="auto" w:frame="1"/>
          <w:shd w:val="clear" w:color="auto" w:fill="FFFFFF"/>
        </w:rPr>
      </w:pPr>
      <w:r w:rsidRPr="006838FC">
        <w:rPr>
          <w:rFonts w:ascii="Arial" w:hAnsi="Arial" w:cs="Arial"/>
          <w:color w:val="000000"/>
          <w:bdr w:val="none" w:sz="0" w:space="0" w:color="auto" w:frame="1"/>
          <w:shd w:val="clear" w:color="auto" w:fill="FFFFFF"/>
        </w:rPr>
        <w:t>a.  Written equity options (because they represent obligations of the writer, not investments) </w:t>
      </w:r>
    </w:p>
    <w:p w14:paraId="69EA2345" w14:textId="77777777" w:rsidR="006838FC" w:rsidRPr="006838FC" w:rsidRDefault="006838FC" w:rsidP="00212116">
      <w:pPr>
        <w:spacing w:after="290"/>
        <w:ind w:left="990" w:hanging="270"/>
        <w:rPr>
          <w:rFonts w:ascii="Arial" w:hAnsi="Arial" w:cs="Arial"/>
          <w:color w:val="000000"/>
          <w:bdr w:val="none" w:sz="0" w:space="0" w:color="auto" w:frame="1"/>
          <w:shd w:val="clear" w:color="auto" w:fill="FFFFFF"/>
        </w:rPr>
      </w:pPr>
      <w:r w:rsidRPr="006838FC">
        <w:rPr>
          <w:rFonts w:ascii="Arial" w:hAnsi="Arial" w:cs="Arial"/>
          <w:color w:val="000000"/>
          <w:bdr w:val="none" w:sz="0" w:space="0" w:color="auto" w:frame="1"/>
          <w:shd w:val="clear" w:color="auto" w:fill="FFFFFF"/>
        </w:rPr>
        <w:t>b.  Cash-settled options on equity securities or options on equity-based indexes (because those instruments do not represent ownership interests in an entity) </w:t>
      </w:r>
    </w:p>
    <w:p w14:paraId="56580068" w14:textId="77777777" w:rsidR="006838FC" w:rsidRPr="006838FC" w:rsidRDefault="006838FC" w:rsidP="00212116">
      <w:pPr>
        <w:ind w:left="990" w:hanging="270"/>
        <w:rPr>
          <w:rFonts w:ascii="Arial" w:hAnsi="Arial" w:cs="Arial"/>
          <w:color w:val="000000"/>
          <w:bdr w:val="none" w:sz="0" w:space="0" w:color="auto" w:frame="1"/>
          <w:shd w:val="clear" w:color="auto" w:fill="FFFFFF"/>
        </w:rPr>
      </w:pPr>
      <w:r w:rsidRPr="006838FC">
        <w:rPr>
          <w:rFonts w:ascii="Arial" w:hAnsi="Arial" w:cs="Arial"/>
          <w:color w:val="000000"/>
          <w:bdr w:val="none" w:sz="0" w:space="0" w:color="auto" w:frame="1"/>
          <w:shd w:val="clear" w:color="auto" w:fill="FFFFFF"/>
        </w:rPr>
        <w:t>c.  </w:t>
      </w:r>
      <w:r w:rsidRPr="006838FC">
        <w:rPr>
          <w:rFonts w:ascii="Arial" w:hAnsi="Arial" w:cs="Arial"/>
          <w:color w:val="000000"/>
          <w:u w:val="single"/>
          <w:bdr w:val="none" w:sz="0" w:space="0" w:color="auto" w:frame="1"/>
          <w:shd w:val="clear" w:color="auto" w:fill="FFFFFF"/>
        </w:rPr>
        <w:t>Convertible debt or preferred stock that by its terms either must be redeemed by the issuing entity or is redeemable at the option of the investor</w:t>
      </w:r>
      <w:r w:rsidRPr="006838FC">
        <w:rPr>
          <w:rFonts w:ascii="Arial" w:hAnsi="Arial" w:cs="Arial"/>
          <w:color w:val="000000"/>
          <w:bdr w:val="none" w:sz="0" w:space="0" w:color="auto" w:frame="1"/>
          <w:shd w:val="clear" w:color="auto" w:fill="FFFFFF"/>
        </w:rPr>
        <w:t>. </w:t>
      </w:r>
    </w:p>
    <w:p w14:paraId="091476AB" w14:textId="77777777" w:rsidR="006838FC" w:rsidRPr="00984799" w:rsidRDefault="006838FC" w:rsidP="000C0A4A">
      <w:pPr>
        <w:pStyle w:val="ListParagraph"/>
        <w:ind w:left="1080"/>
        <w:jc w:val="both"/>
        <w:rPr>
          <w:rFonts w:ascii="Arial" w:hAnsi="Arial" w:cs="Arial"/>
          <w:sz w:val="20"/>
          <w:szCs w:val="20"/>
          <w:highlight w:val="lightGray"/>
        </w:rPr>
      </w:pPr>
    </w:p>
    <w:p w14:paraId="71192C46" w14:textId="77777777" w:rsidR="00984799" w:rsidRPr="00984799" w:rsidRDefault="00984799" w:rsidP="00984799">
      <w:pPr>
        <w:pStyle w:val="ListParagraph"/>
        <w:tabs>
          <w:tab w:val="left" w:pos="360"/>
        </w:tabs>
        <w:ind w:left="360"/>
        <w:jc w:val="both"/>
        <w:rPr>
          <w:rFonts w:ascii="Arial" w:hAnsi="Arial" w:cs="Arial"/>
          <w:color w:val="000000"/>
          <w:sz w:val="20"/>
          <w:szCs w:val="20"/>
          <w:u w:val="single"/>
          <w:shd w:val="clear" w:color="auto" w:fill="FFFFFF"/>
        </w:rPr>
      </w:pPr>
      <w:r w:rsidRPr="00984799">
        <w:rPr>
          <w:rStyle w:val="term"/>
          <w:rFonts w:ascii="Arial" w:hAnsi="Arial" w:cs="Arial"/>
          <w:b/>
          <w:bCs/>
          <w:color w:val="000000"/>
          <w:sz w:val="20"/>
          <w:szCs w:val="20"/>
          <w:u w:val="single"/>
          <w:bdr w:val="none" w:sz="0" w:space="0" w:color="auto" w:frame="1"/>
          <w:shd w:val="clear" w:color="auto" w:fill="FFFFFF"/>
        </w:rPr>
        <w:t>FASB Glossary - Equity Security</w:t>
      </w:r>
      <w:r w:rsidRPr="00984799">
        <w:rPr>
          <w:rFonts w:ascii="Arial" w:hAnsi="Arial" w:cs="Arial"/>
          <w:color w:val="000000"/>
          <w:sz w:val="20"/>
          <w:szCs w:val="20"/>
          <w:u w:val="single"/>
          <w:shd w:val="clear" w:color="auto" w:fill="FFFFFF"/>
        </w:rPr>
        <w:t> (Second Definition)</w:t>
      </w:r>
    </w:p>
    <w:p w14:paraId="6DC4756F" w14:textId="77777777" w:rsidR="00984799" w:rsidRPr="00984799" w:rsidRDefault="00984799" w:rsidP="00984799">
      <w:pPr>
        <w:pStyle w:val="ListParagraph"/>
        <w:tabs>
          <w:tab w:val="left" w:pos="360"/>
        </w:tabs>
        <w:ind w:left="360"/>
        <w:jc w:val="both"/>
        <w:rPr>
          <w:rFonts w:ascii="Arial" w:hAnsi="Arial" w:cs="Arial"/>
          <w:color w:val="000000"/>
          <w:sz w:val="20"/>
          <w:szCs w:val="20"/>
          <w:shd w:val="clear" w:color="auto" w:fill="FFFFFF"/>
        </w:rPr>
      </w:pPr>
      <w:r w:rsidRPr="002B4249">
        <w:rPr>
          <w:rFonts w:ascii="Arial" w:hAnsi="Arial" w:cs="Arial"/>
          <w:color w:val="000000"/>
          <w:sz w:val="20"/>
          <w:szCs w:val="20"/>
          <w:u w:val="single"/>
          <w:shd w:val="clear" w:color="auto" w:fill="FFFFFF"/>
        </w:rPr>
        <w:t>Any security representing an ownership interest in an entity (for example common, preferred or other capital stock)</w:t>
      </w:r>
      <w:r w:rsidRPr="00984799">
        <w:rPr>
          <w:rFonts w:ascii="Arial" w:hAnsi="Arial" w:cs="Arial"/>
          <w:color w:val="000000"/>
          <w:sz w:val="20"/>
          <w:szCs w:val="20"/>
          <w:shd w:val="clear" w:color="auto" w:fill="FFFFFF"/>
        </w:rPr>
        <w:t xml:space="preserve"> or the right to acquire (for example, warrants, rights, forward purchase contracts, and call options) or dispose of (for example, put options and forward sale contracts) an ownership interest in an entity at fixed or </w:t>
      </w:r>
      <w:r w:rsidRPr="00984799">
        <w:rPr>
          <w:rFonts w:ascii="Arial" w:hAnsi="Arial" w:cs="Arial"/>
          <w:color w:val="000000"/>
          <w:sz w:val="20"/>
          <w:szCs w:val="20"/>
          <w:shd w:val="clear" w:color="auto" w:fill="FFFFFF"/>
        </w:rPr>
        <w:lastRenderedPageBreak/>
        <w:t>determinable prices</w:t>
      </w:r>
      <w:r w:rsidRPr="002B4249">
        <w:rPr>
          <w:rFonts w:ascii="Arial" w:hAnsi="Arial" w:cs="Arial"/>
          <w:color w:val="000000"/>
          <w:sz w:val="20"/>
          <w:szCs w:val="20"/>
          <w:u w:val="single"/>
          <w:shd w:val="clear" w:color="auto" w:fill="FFFFFF"/>
        </w:rPr>
        <w:t>. However, the term does not include convertible debt or preferred stock that by its terms either must be redeemed by the issuing entity or is redeemable at the option of the investor</w:t>
      </w:r>
      <w:r w:rsidRPr="00984799">
        <w:rPr>
          <w:rFonts w:ascii="Arial" w:hAnsi="Arial" w:cs="Arial"/>
          <w:color w:val="000000"/>
          <w:sz w:val="20"/>
          <w:szCs w:val="20"/>
          <w:shd w:val="clear" w:color="auto" w:fill="FFFFFF"/>
        </w:rPr>
        <w:t>.</w:t>
      </w:r>
    </w:p>
    <w:p w14:paraId="24DA14D8" w14:textId="77777777" w:rsidR="006838FC" w:rsidRPr="00984799" w:rsidRDefault="00984799" w:rsidP="00984799">
      <w:pPr>
        <w:pStyle w:val="ListParagraph"/>
        <w:tabs>
          <w:tab w:val="left" w:pos="360"/>
        </w:tabs>
        <w:ind w:left="360"/>
        <w:jc w:val="both"/>
        <w:rPr>
          <w:rFonts w:ascii="Arial" w:hAnsi="Arial" w:cs="Arial"/>
          <w:sz w:val="20"/>
          <w:szCs w:val="20"/>
          <w:highlight w:val="lightGray"/>
        </w:rPr>
      </w:pPr>
      <w:r w:rsidRPr="00984799">
        <w:rPr>
          <w:rFonts w:ascii="Verdana" w:hAnsi="Verdana"/>
          <w:color w:val="000000"/>
          <w:sz w:val="18"/>
          <w:szCs w:val="18"/>
          <w:u w:val="single"/>
        </w:rPr>
        <w:br/>
      </w:r>
      <w:r w:rsidRPr="00984799">
        <w:rPr>
          <w:rFonts w:ascii="Arial" w:hAnsi="Arial" w:cs="Arial"/>
          <w:b/>
          <w:color w:val="000000"/>
          <w:sz w:val="20"/>
          <w:szCs w:val="20"/>
          <w:u w:val="single"/>
          <w:shd w:val="clear" w:color="auto" w:fill="FFFFFF"/>
        </w:rPr>
        <w:t xml:space="preserve">ASC </w:t>
      </w:r>
      <w:r w:rsidR="006838FC" w:rsidRPr="00984799">
        <w:rPr>
          <w:rFonts w:ascii="Arial" w:hAnsi="Arial" w:cs="Arial"/>
          <w:b/>
          <w:color w:val="000000"/>
          <w:sz w:val="20"/>
          <w:szCs w:val="20"/>
          <w:u w:val="single"/>
          <w:shd w:val="clear" w:color="auto" w:fill="FFFFFF"/>
        </w:rPr>
        <w:t>321-10-55-2</w:t>
      </w:r>
      <w:r w:rsidR="006838FC" w:rsidRPr="00984799">
        <w:rPr>
          <w:rFonts w:ascii="Arial" w:hAnsi="Arial" w:cs="Arial"/>
          <w:color w:val="000000"/>
          <w:sz w:val="20"/>
          <w:szCs w:val="20"/>
          <w:shd w:val="clear" w:color="auto" w:fill="FFFFFF"/>
        </w:rPr>
        <w:t xml:space="preserve"> - If </w:t>
      </w:r>
      <w:r w:rsidR="006838FC" w:rsidRPr="00984799">
        <w:rPr>
          <w:rFonts w:ascii="Arial" w:hAnsi="Arial" w:cs="Arial"/>
          <w:sz w:val="20"/>
          <w:szCs w:val="20"/>
          <w:shd w:val="clear" w:color="auto" w:fill="FFFFFF"/>
        </w:rPr>
        <w:t>convertible </w:t>
      </w:r>
      <w:r w:rsidR="006838FC" w:rsidRPr="00984799">
        <w:rPr>
          <w:color w:val="000000"/>
          <w:shd w:val="clear" w:color="auto" w:fill="FFFFFF"/>
        </w:rPr>
        <w:t>preferred stock</w:t>
      </w:r>
      <w:r w:rsidR="006838FC" w:rsidRPr="00984799">
        <w:rPr>
          <w:rFonts w:ascii="Arial" w:hAnsi="Arial" w:cs="Arial"/>
          <w:color w:val="000000"/>
          <w:sz w:val="20"/>
          <w:szCs w:val="20"/>
          <w:shd w:val="clear" w:color="auto" w:fill="FFFFFF"/>
        </w:rPr>
        <w:t> is</w:t>
      </w:r>
      <w:r w:rsidR="006838FC" w:rsidRPr="00984799">
        <w:rPr>
          <w:rFonts w:ascii="Arial" w:hAnsi="Arial" w:cs="Arial"/>
          <w:sz w:val="20"/>
          <w:szCs w:val="20"/>
          <w:shd w:val="clear" w:color="auto" w:fill="FFFFFF"/>
        </w:rPr>
        <w:t xml:space="preserve"> not </w:t>
      </w:r>
      <w:r w:rsidR="006838FC" w:rsidRPr="00984799">
        <w:rPr>
          <w:rFonts w:ascii="Arial" w:hAnsi="Arial" w:cs="Arial"/>
          <w:color w:val="000000"/>
          <w:sz w:val="20"/>
          <w:szCs w:val="20"/>
          <w:shd w:val="clear" w:color="auto" w:fill="FFFFFF"/>
        </w:rPr>
        <w:t xml:space="preserve">redeemable, it is </w:t>
      </w:r>
      <w:r w:rsidR="006838FC" w:rsidRPr="00984799">
        <w:rPr>
          <w:rFonts w:ascii="Arial" w:hAnsi="Arial" w:cs="Arial"/>
          <w:sz w:val="20"/>
          <w:szCs w:val="20"/>
          <w:shd w:val="clear" w:color="auto" w:fill="FFFFFF"/>
        </w:rPr>
        <w:t>considered an </w:t>
      </w:r>
      <w:r w:rsidR="006838FC" w:rsidRPr="00984799">
        <w:rPr>
          <w:rStyle w:val="Hyperlink"/>
          <w:rFonts w:ascii="Arial" w:hAnsi="Arial" w:cs="Arial"/>
          <w:bCs/>
          <w:color w:val="auto"/>
          <w:sz w:val="20"/>
          <w:szCs w:val="20"/>
          <w:u w:val="none"/>
          <w:shd w:val="clear" w:color="auto" w:fill="FFFFFF"/>
        </w:rPr>
        <w:t>equity security</w:t>
      </w:r>
      <w:r w:rsidR="006838FC" w:rsidRPr="00984799">
        <w:rPr>
          <w:rFonts w:ascii="Arial" w:hAnsi="Arial" w:cs="Arial"/>
          <w:sz w:val="20"/>
          <w:szCs w:val="20"/>
          <w:shd w:val="clear" w:color="auto" w:fill="FFFFFF"/>
        </w:rPr>
        <w:t> a</w:t>
      </w:r>
      <w:r w:rsidR="006838FC" w:rsidRPr="00984799">
        <w:rPr>
          <w:rFonts w:ascii="Arial" w:hAnsi="Arial" w:cs="Arial"/>
          <w:color w:val="000000"/>
          <w:sz w:val="20"/>
          <w:szCs w:val="20"/>
          <w:shd w:val="clear" w:color="auto" w:fill="FFFFFF"/>
        </w:rPr>
        <w:t>nd, therefore, this Topic would apply.</w:t>
      </w:r>
    </w:p>
    <w:p w14:paraId="5D5E5D23" w14:textId="77777777" w:rsidR="006838FC" w:rsidRDefault="006838FC" w:rsidP="00984799">
      <w:pPr>
        <w:pStyle w:val="ListParagraph"/>
        <w:tabs>
          <w:tab w:val="left" w:pos="360"/>
        </w:tabs>
        <w:ind w:left="360"/>
        <w:jc w:val="both"/>
        <w:rPr>
          <w:rFonts w:cs="Arial"/>
          <w:szCs w:val="22"/>
          <w:highlight w:val="lightGray"/>
        </w:rPr>
      </w:pPr>
    </w:p>
    <w:p w14:paraId="0827EA2D" w14:textId="77777777" w:rsidR="006838FC" w:rsidRPr="00984799" w:rsidRDefault="006838FC" w:rsidP="00984799">
      <w:pPr>
        <w:pStyle w:val="ListParagraph"/>
        <w:tabs>
          <w:tab w:val="left" w:pos="360"/>
        </w:tabs>
        <w:ind w:left="360"/>
        <w:jc w:val="both"/>
        <w:rPr>
          <w:rFonts w:ascii="Verdana" w:hAnsi="Verdana"/>
          <w:color w:val="000000"/>
          <w:sz w:val="20"/>
          <w:szCs w:val="20"/>
          <w:u w:val="single"/>
          <w:shd w:val="clear" w:color="auto" w:fill="FFFFFF"/>
        </w:rPr>
      </w:pPr>
      <w:r w:rsidRPr="00984799">
        <w:rPr>
          <w:rStyle w:val="term"/>
          <w:rFonts w:ascii="Arial" w:hAnsi="Arial" w:cs="Arial"/>
          <w:b/>
          <w:bCs/>
          <w:color w:val="000000"/>
          <w:sz w:val="20"/>
          <w:szCs w:val="20"/>
          <w:u w:val="single"/>
          <w:bdr w:val="none" w:sz="0" w:space="0" w:color="auto" w:frame="1"/>
          <w:shd w:val="clear" w:color="auto" w:fill="FFFFFF"/>
        </w:rPr>
        <w:t>FASB Glossary - Debt Security</w:t>
      </w:r>
      <w:r w:rsidRPr="00984799">
        <w:rPr>
          <w:rFonts w:ascii="Verdana" w:hAnsi="Verdana"/>
          <w:color w:val="000000"/>
          <w:sz w:val="20"/>
          <w:szCs w:val="20"/>
          <w:u w:val="single"/>
          <w:shd w:val="clear" w:color="auto" w:fill="FFFFFF"/>
        </w:rPr>
        <w:t> </w:t>
      </w:r>
    </w:p>
    <w:p w14:paraId="7E4F6762" w14:textId="77777777" w:rsidR="00984799" w:rsidRDefault="006838FC" w:rsidP="00984799">
      <w:pPr>
        <w:pStyle w:val="ListParagraph"/>
        <w:tabs>
          <w:tab w:val="left" w:pos="360"/>
        </w:tabs>
        <w:ind w:left="360"/>
        <w:jc w:val="both"/>
        <w:rPr>
          <w:rFonts w:ascii="Arial" w:hAnsi="Arial" w:cs="Arial"/>
          <w:color w:val="000000"/>
          <w:sz w:val="20"/>
          <w:szCs w:val="20"/>
        </w:rPr>
      </w:pPr>
      <w:r w:rsidRPr="00984799">
        <w:rPr>
          <w:rFonts w:ascii="Arial" w:hAnsi="Arial" w:cs="Arial"/>
          <w:color w:val="000000"/>
          <w:sz w:val="20"/>
          <w:szCs w:val="20"/>
        </w:rPr>
        <w:t xml:space="preserve">Any security representing a creditor relationship with an entity. The term debt security also includes all of the following: </w:t>
      </w:r>
      <w:r w:rsidR="00984799">
        <w:rPr>
          <w:rFonts w:ascii="Arial" w:hAnsi="Arial" w:cs="Arial"/>
          <w:color w:val="000000"/>
          <w:sz w:val="20"/>
          <w:szCs w:val="20"/>
        </w:rPr>
        <w:t xml:space="preserve"> </w:t>
      </w:r>
    </w:p>
    <w:p w14:paraId="473E0CCB" w14:textId="77777777" w:rsidR="00984799" w:rsidRDefault="00984799" w:rsidP="006838FC">
      <w:pPr>
        <w:pStyle w:val="ListParagraph"/>
        <w:ind w:left="0"/>
        <w:jc w:val="both"/>
        <w:rPr>
          <w:rFonts w:ascii="Arial" w:hAnsi="Arial" w:cs="Arial"/>
          <w:color w:val="000000"/>
          <w:sz w:val="20"/>
          <w:szCs w:val="20"/>
        </w:rPr>
      </w:pPr>
    </w:p>
    <w:p w14:paraId="327D9AB1" w14:textId="77777777" w:rsidR="006838FC" w:rsidRPr="00984799" w:rsidRDefault="006838FC" w:rsidP="00984799">
      <w:pPr>
        <w:pStyle w:val="ListParagraph"/>
        <w:jc w:val="both"/>
        <w:rPr>
          <w:rFonts w:ascii="Arial" w:hAnsi="Arial" w:cs="Arial"/>
          <w:color w:val="000000"/>
          <w:sz w:val="20"/>
          <w:szCs w:val="20"/>
        </w:rPr>
      </w:pPr>
      <w:r w:rsidRPr="00984799">
        <w:rPr>
          <w:rFonts w:ascii="Arial" w:hAnsi="Arial" w:cs="Arial"/>
          <w:color w:val="000000"/>
          <w:sz w:val="20"/>
          <w:szCs w:val="20"/>
        </w:rPr>
        <w:t>(a)  Preferred stock that by its terms either must be redeemed by the issuing entity or is redeemable at the option of the investor </w:t>
      </w:r>
    </w:p>
    <w:p w14:paraId="17A45511" w14:textId="77777777" w:rsidR="006838FC" w:rsidRDefault="006838FC" w:rsidP="000C0A4A">
      <w:pPr>
        <w:pStyle w:val="ListParagraph"/>
        <w:ind w:left="1080"/>
        <w:jc w:val="both"/>
        <w:rPr>
          <w:rFonts w:cs="Arial"/>
          <w:szCs w:val="22"/>
          <w:highlight w:val="lightGray"/>
        </w:rPr>
      </w:pPr>
    </w:p>
    <w:p w14:paraId="16601BB6" w14:textId="77777777" w:rsidR="00984799" w:rsidRPr="00984799" w:rsidRDefault="00984799" w:rsidP="00984799">
      <w:pPr>
        <w:pStyle w:val="ListParagraph"/>
        <w:ind w:left="0"/>
        <w:jc w:val="both"/>
        <w:rPr>
          <w:rFonts w:cs="Arial"/>
          <w:b/>
          <w:szCs w:val="22"/>
          <w:u w:val="single"/>
        </w:rPr>
      </w:pPr>
      <w:r w:rsidRPr="00984799">
        <w:rPr>
          <w:rFonts w:cs="Arial"/>
          <w:b/>
          <w:szCs w:val="22"/>
          <w:u w:val="single"/>
        </w:rPr>
        <w:t xml:space="preserve">Overview of U.S. GAAP Accounting: </w:t>
      </w:r>
    </w:p>
    <w:p w14:paraId="0013C0E1" w14:textId="77777777" w:rsidR="00984799" w:rsidRDefault="00984799" w:rsidP="00984799">
      <w:pPr>
        <w:pStyle w:val="ListContinue"/>
        <w:numPr>
          <w:ilvl w:val="0"/>
          <w:numId w:val="0"/>
        </w:numPr>
        <w:rPr>
          <w:shd w:val="clear" w:color="auto" w:fill="FFFFFF"/>
        </w:rPr>
      </w:pPr>
      <w:r w:rsidRPr="00984799">
        <w:rPr>
          <w:shd w:val="clear" w:color="auto" w:fill="FFFFFF"/>
        </w:rPr>
        <w:t>Under U.S. GAAP (ASC 320-10-35-1), investments in “debt securities” are reported at either fair value or amortized cost. (</w:t>
      </w:r>
      <w:r w:rsidR="00677AC3">
        <w:rPr>
          <w:shd w:val="clear" w:color="auto" w:fill="FFFFFF"/>
        </w:rPr>
        <w:t xml:space="preserve">Debt instruments </w:t>
      </w:r>
      <w:r w:rsidRPr="00984799">
        <w:rPr>
          <w:shd w:val="clear" w:color="auto" w:fill="FFFFFF"/>
        </w:rPr>
        <w:t>identified as “held-to-maturity” are reported at amortized cost, and</w:t>
      </w:r>
      <w:r w:rsidR="00677AC3">
        <w:rPr>
          <w:shd w:val="clear" w:color="auto" w:fill="FFFFFF"/>
        </w:rPr>
        <w:t xml:space="preserve"> debt instruments </w:t>
      </w:r>
      <w:r w:rsidRPr="00984799">
        <w:rPr>
          <w:shd w:val="clear" w:color="auto" w:fill="FFFFFF"/>
        </w:rPr>
        <w:t xml:space="preserve">classified as “trading” or “available-for-sale” are reported at fair value.) </w:t>
      </w:r>
      <w:r>
        <w:rPr>
          <w:shd w:val="clear" w:color="auto" w:fill="FFFFFF"/>
        </w:rPr>
        <w:t xml:space="preserve">Under U.S. GAAP, use of historical cost for investments is not generally considered an acceptable measurement method. </w:t>
      </w:r>
    </w:p>
    <w:p w14:paraId="10DB2E37" w14:textId="77777777" w:rsidR="0046378D" w:rsidRDefault="00984799" w:rsidP="00984799">
      <w:pPr>
        <w:pStyle w:val="ListContinue"/>
        <w:numPr>
          <w:ilvl w:val="0"/>
          <w:numId w:val="0"/>
        </w:numPr>
        <w:rPr>
          <w:shd w:val="clear" w:color="auto" w:fill="FFFFFF"/>
        </w:rPr>
      </w:pPr>
      <w:r>
        <w:rPr>
          <w:shd w:val="clear" w:color="auto" w:fill="FFFFFF"/>
        </w:rPr>
        <w:t xml:space="preserve">Under U.S. GAAP </w:t>
      </w:r>
      <w:r w:rsidR="0046378D">
        <w:rPr>
          <w:shd w:val="clear" w:color="auto" w:fill="FFFFFF"/>
        </w:rPr>
        <w:t xml:space="preserve">(321-10-35-1) </w:t>
      </w:r>
      <w:r>
        <w:rPr>
          <w:shd w:val="clear" w:color="auto" w:fill="FFFFFF"/>
        </w:rPr>
        <w:t xml:space="preserve">investments in “equity securities” </w:t>
      </w:r>
      <w:r w:rsidR="0046378D">
        <w:rPr>
          <w:shd w:val="clear" w:color="auto" w:fill="FFFFFF"/>
        </w:rPr>
        <w:t xml:space="preserve">are reported at fair value. If an </w:t>
      </w:r>
      <w:r w:rsidR="00677AC3">
        <w:rPr>
          <w:shd w:val="clear" w:color="auto" w:fill="FFFFFF"/>
        </w:rPr>
        <w:t>investment</w:t>
      </w:r>
      <w:r w:rsidR="0046378D">
        <w:rPr>
          <w:shd w:val="clear" w:color="auto" w:fill="FFFFFF"/>
        </w:rPr>
        <w:t xml:space="preserve"> does not have a readily determinable fair value, the security may qualify to use net asset value as a practical expedient to fair value (820-10-35-59). </w:t>
      </w:r>
      <w:r w:rsidR="002B4249">
        <w:rPr>
          <w:shd w:val="clear" w:color="auto" w:fill="FFFFFF"/>
        </w:rPr>
        <w:t>I</w:t>
      </w:r>
      <w:r w:rsidR="0046378D">
        <w:rPr>
          <w:shd w:val="clear" w:color="auto" w:fill="FFFFFF"/>
        </w:rPr>
        <w:t xml:space="preserve">f an investment does not have a “readily determinable” fair value, and does not qualify for the net asset value practical expedient, </w:t>
      </w:r>
      <w:r w:rsidR="00677AC3">
        <w:rPr>
          <w:shd w:val="clear" w:color="auto" w:fill="FFFFFF"/>
        </w:rPr>
        <w:t>U.S. GAAP (</w:t>
      </w:r>
      <w:r w:rsidR="0046378D">
        <w:rPr>
          <w:shd w:val="clear" w:color="auto" w:fill="FFFFFF"/>
        </w:rPr>
        <w:t>ASC 321-10-35-2</w:t>
      </w:r>
      <w:r w:rsidR="00677AC3">
        <w:rPr>
          <w:shd w:val="clear" w:color="auto" w:fill="FFFFFF"/>
        </w:rPr>
        <w:t>)</w:t>
      </w:r>
      <w:r w:rsidR="0046378D">
        <w:rPr>
          <w:shd w:val="clear" w:color="auto" w:fill="FFFFFF"/>
        </w:rPr>
        <w:t xml:space="preserve"> provides guidance for determining the measurement value</w:t>
      </w:r>
      <w:r w:rsidR="002B4249">
        <w:rPr>
          <w:shd w:val="clear" w:color="auto" w:fill="FFFFFF"/>
        </w:rPr>
        <w:t xml:space="preserve"> as follows</w:t>
      </w:r>
      <w:r w:rsidR="0046378D">
        <w:rPr>
          <w:shd w:val="clear" w:color="auto" w:fill="FFFFFF"/>
        </w:rPr>
        <w:t xml:space="preserve">: </w:t>
      </w:r>
    </w:p>
    <w:p w14:paraId="4388A97B" w14:textId="77777777" w:rsidR="00984799" w:rsidRDefault="0046378D" w:rsidP="0046378D">
      <w:pPr>
        <w:pStyle w:val="ListContinue"/>
        <w:numPr>
          <w:ilvl w:val="0"/>
          <w:numId w:val="29"/>
        </w:numPr>
        <w:rPr>
          <w:shd w:val="clear" w:color="auto" w:fill="FFFFFF"/>
        </w:rPr>
      </w:pPr>
      <w:r>
        <w:rPr>
          <w:shd w:val="clear" w:color="auto" w:fill="FFFFFF"/>
        </w:rPr>
        <w:t xml:space="preserve">An entity may elect to measure an equity security at cost minus impairment, plus or minus changes resulting from observable price changes in orderly transactions for the identical or similar instrument of the same issuer. An election to measure an equity security in accordance with these provisions shall be made for each investment separately. Once an entity elects to measure an equity security in accordance with this guidance, the entity shall continue to apply the measurement guidance until the investment does not qualify to be measured in accordance with this guidance (for example, if the investment has a readily determinable fair value or becomes eligible for the practical expedient to estimate fair value with 820-10-35-59). The entity shall reassess at each reporting period whether the equity investment without a readily determinable fair value qualifies to be measure with this guidance. </w:t>
      </w:r>
    </w:p>
    <w:p w14:paraId="6CDAAF56" w14:textId="77777777" w:rsidR="0046378D" w:rsidRPr="00984799" w:rsidRDefault="0046378D" w:rsidP="0046378D">
      <w:pPr>
        <w:pStyle w:val="ListContinue"/>
        <w:numPr>
          <w:ilvl w:val="0"/>
          <w:numId w:val="0"/>
        </w:numPr>
        <w:rPr>
          <w:shd w:val="clear" w:color="auto" w:fill="FFFFFF"/>
        </w:rPr>
      </w:pPr>
      <w:r>
        <w:rPr>
          <w:shd w:val="clear" w:color="auto" w:fill="FFFFFF"/>
        </w:rPr>
        <w:t xml:space="preserve">The U.S. </w:t>
      </w:r>
      <w:r w:rsidR="00677AC3">
        <w:rPr>
          <w:shd w:val="clear" w:color="auto" w:fill="FFFFFF"/>
        </w:rPr>
        <w:t xml:space="preserve">GAAP </w:t>
      </w:r>
      <w:r>
        <w:rPr>
          <w:shd w:val="clear" w:color="auto" w:fill="FFFFFF"/>
        </w:rPr>
        <w:t>fair value definition, as well as the definition for readily determinable fair value and the ability to use net asset value has been adopted for statutory accounting</w:t>
      </w:r>
      <w:r w:rsidR="002B4249">
        <w:rPr>
          <w:shd w:val="clear" w:color="auto" w:fill="FFFFFF"/>
        </w:rPr>
        <w:t xml:space="preserve">: </w:t>
      </w:r>
    </w:p>
    <w:p w14:paraId="1C857433" w14:textId="77777777" w:rsidR="0046378D" w:rsidRPr="0046378D" w:rsidRDefault="0046378D" w:rsidP="0046378D">
      <w:pPr>
        <w:shd w:val="clear" w:color="auto" w:fill="FFFFFF"/>
        <w:ind w:left="720"/>
        <w:jc w:val="both"/>
        <w:rPr>
          <w:rFonts w:ascii="Arial" w:hAnsi="Arial" w:cs="Arial"/>
          <w:color w:val="000000"/>
          <w:bdr w:val="none" w:sz="0" w:space="0" w:color="auto" w:frame="1"/>
          <w:shd w:val="clear" w:color="auto" w:fill="FFFFFF"/>
        </w:rPr>
      </w:pPr>
      <w:r w:rsidRPr="0046378D">
        <w:rPr>
          <w:rFonts w:ascii="Arial" w:hAnsi="Arial" w:cs="Arial"/>
          <w:b/>
          <w:u w:val="single"/>
        </w:rPr>
        <w:t>U.S. GAAP Definition - Fair Value</w:t>
      </w:r>
      <w:r>
        <w:rPr>
          <w:rFonts w:ascii="Arial" w:hAnsi="Arial" w:cs="Arial"/>
          <w:b/>
          <w:u w:val="single"/>
        </w:rPr>
        <w:t xml:space="preserve"> </w:t>
      </w:r>
      <w:r w:rsidRPr="0046378D">
        <w:rPr>
          <w:rFonts w:ascii="Arial" w:hAnsi="Arial" w:cs="Arial"/>
          <w:i/>
          <w:color w:val="000000"/>
          <w:bdr w:val="none" w:sz="0" w:space="0" w:color="auto" w:frame="1"/>
          <w:shd w:val="clear" w:color="auto" w:fill="FFFFFF"/>
        </w:rPr>
        <w:t>(</w:t>
      </w:r>
      <w:r w:rsidR="002B4249">
        <w:rPr>
          <w:rFonts w:ascii="Arial" w:hAnsi="Arial" w:cs="Arial"/>
          <w:i/>
          <w:color w:val="000000"/>
          <w:bdr w:val="none" w:sz="0" w:space="0" w:color="auto" w:frame="1"/>
          <w:shd w:val="clear" w:color="auto" w:fill="FFFFFF"/>
        </w:rPr>
        <w:t>A</w:t>
      </w:r>
      <w:r w:rsidRPr="0046378D">
        <w:rPr>
          <w:rFonts w:ascii="Arial" w:hAnsi="Arial" w:cs="Arial"/>
          <w:i/>
          <w:color w:val="000000"/>
          <w:bdr w:val="none" w:sz="0" w:space="0" w:color="auto" w:frame="1"/>
          <w:shd w:val="clear" w:color="auto" w:fill="FFFFFF"/>
        </w:rPr>
        <w:t>dopted in SSAP No. 100R, paragraph 4.)</w:t>
      </w:r>
      <w:r w:rsidRPr="0046378D">
        <w:rPr>
          <w:rFonts w:ascii="Arial" w:hAnsi="Arial" w:cs="Arial"/>
          <w:b/>
        </w:rPr>
        <w:t xml:space="preserve">: </w:t>
      </w:r>
      <w:r w:rsidRPr="0046378D">
        <w:rPr>
          <w:rFonts w:ascii="Arial" w:hAnsi="Arial" w:cs="Arial"/>
          <w:color w:val="000000"/>
          <w:bdr w:val="none" w:sz="0" w:space="0" w:color="auto" w:frame="1"/>
          <w:shd w:val="clear" w:color="auto" w:fill="FFFFFF"/>
        </w:rPr>
        <w:t>The price that would be received to sell an asset or paid to transfer a liability in an orderly transaction between market participants at the measurement date.</w:t>
      </w:r>
      <w:r>
        <w:rPr>
          <w:rFonts w:ascii="Arial" w:hAnsi="Arial" w:cs="Arial"/>
          <w:color w:val="000000"/>
          <w:bdr w:val="none" w:sz="0" w:space="0" w:color="auto" w:frame="1"/>
          <w:shd w:val="clear" w:color="auto" w:fill="FFFFFF"/>
        </w:rPr>
        <w:t xml:space="preserve"> </w:t>
      </w:r>
    </w:p>
    <w:p w14:paraId="46C7890A" w14:textId="77777777" w:rsidR="0046378D" w:rsidRDefault="0046378D" w:rsidP="0046378D">
      <w:pPr>
        <w:shd w:val="clear" w:color="auto" w:fill="FFFFFF"/>
        <w:rPr>
          <w:rFonts w:ascii="Verdana" w:hAnsi="Verdana"/>
          <w:color w:val="003366"/>
          <w:sz w:val="22"/>
          <w:szCs w:val="22"/>
        </w:rPr>
      </w:pPr>
    </w:p>
    <w:p w14:paraId="6FE12D88" w14:textId="77777777" w:rsidR="0046378D" w:rsidRDefault="0046378D" w:rsidP="0046378D">
      <w:pPr>
        <w:shd w:val="clear" w:color="auto" w:fill="FFFFFF"/>
        <w:ind w:left="720"/>
        <w:rPr>
          <w:rFonts w:ascii="Arial" w:hAnsi="Arial" w:cs="Arial"/>
          <w:color w:val="000000"/>
        </w:rPr>
      </w:pPr>
      <w:r w:rsidRPr="0046378D">
        <w:rPr>
          <w:rFonts w:ascii="Arial" w:hAnsi="Arial" w:cs="Arial"/>
          <w:b/>
          <w:u w:val="single"/>
        </w:rPr>
        <w:t>U.S. GAAP Definition - Readily Determinable Fair Value</w:t>
      </w:r>
      <w:r>
        <w:rPr>
          <w:rFonts w:ascii="Arial" w:hAnsi="Arial" w:cs="Arial"/>
          <w:u w:val="single"/>
        </w:rPr>
        <w:t xml:space="preserve"> </w:t>
      </w:r>
      <w:r w:rsidRPr="0046378D">
        <w:rPr>
          <w:rFonts w:ascii="Arial" w:hAnsi="Arial" w:cs="Arial"/>
          <w:i/>
          <w:u w:val="single"/>
        </w:rPr>
        <w:t>(</w:t>
      </w:r>
      <w:r w:rsidR="002B4249">
        <w:rPr>
          <w:rFonts w:ascii="Arial" w:hAnsi="Arial" w:cs="Arial"/>
          <w:i/>
          <w:u w:val="single"/>
        </w:rPr>
        <w:t>A</w:t>
      </w:r>
      <w:r w:rsidRPr="0046378D">
        <w:rPr>
          <w:rFonts w:ascii="Arial" w:hAnsi="Arial" w:cs="Arial"/>
          <w:i/>
          <w:u w:val="single"/>
        </w:rPr>
        <w:t>dopted in SSAP No. 100R, paragraph 41</w:t>
      </w:r>
      <w:r>
        <w:rPr>
          <w:rFonts w:ascii="Arial" w:hAnsi="Arial" w:cs="Arial"/>
          <w:u w:val="single"/>
        </w:rPr>
        <w:t xml:space="preserve">): </w:t>
      </w:r>
      <w:r w:rsidRPr="0046378D">
        <w:rPr>
          <w:rFonts w:ascii="Arial" w:hAnsi="Arial" w:cs="Arial"/>
          <w:color w:val="000000"/>
        </w:rPr>
        <w:t>An equity security has a readily determinable fair value if it meets any of the following conditions:</w:t>
      </w:r>
    </w:p>
    <w:p w14:paraId="2C9C9FA3" w14:textId="77777777" w:rsidR="002B4249" w:rsidRPr="0046378D" w:rsidRDefault="002B4249" w:rsidP="0046378D">
      <w:pPr>
        <w:shd w:val="clear" w:color="auto" w:fill="FFFFFF"/>
        <w:ind w:left="720"/>
        <w:rPr>
          <w:rFonts w:ascii="Arial" w:hAnsi="Arial" w:cs="Arial"/>
          <w:color w:val="000000"/>
        </w:rPr>
      </w:pPr>
    </w:p>
    <w:p w14:paraId="0FA4F2FB" w14:textId="77777777" w:rsidR="0046378D" w:rsidRPr="0046378D" w:rsidRDefault="0046378D" w:rsidP="0046378D">
      <w:pPr>
        <w:pStyle w:val="odd"/>
        <w:shd w:val="clear" w:color="auto" w:fill="FFFFFF"/>
        <w:spacing w:before="0" w:beforeAutospacing="0" w:after="240" w:afterAutospacing="0"/>
        <w:ind w:left="1440" w:hanging="720"/>
        <w:jc w:val="both"/>
        <w:rPr>
          <w:rFonts w:ascii="Arial" w:hAnsi="Arial" w:cs="Arial"/>
          <w:color w:val="000000"/>
          <w:sz w:val="20"/>
          <w:szCs w:val="20"/>
        </w:rPr>
      </w:pPr>
      <w:r w:rsidRPr="0046378D">
        <w:rPr>
          <w:rFonts w:ascii="Arial" w:hAnsi="Arial" w:cs="Arial"/>
          <w:color w:val="000000"/>
          <w:sz w:val="20"/>
          <w:szCs w:val="20"/>
        </w:rPr>
        <w:t>a.  </w:t>
      </w:r>
      <w:r>
        <w:rPr>
          <w:rFonts w:ascii="Arial" w:hAnsi="Arial" w:cs="Arial"/>
          <w:color w:val="000000"/>
          <w:sz w:val="20"/>
          <w:szCs w:val="20"/>
        </w:rPr>
        <w:tab/>
      </w:r>
      <w:r w:rsidRPr="0046378D">
        <w:rPr>
          <w:rFonts w:ascii="Arial" w:hAnsi="Arial" w:cs="Arial"/>
          <w:color w:val="000000"/>
          <w:sz w:val="20"/>
          <w:szCs w:val="20"/>
        </w:rPr>
        <w:t>The fair value of an equity security is readily determinable if sales prices or bid-and-asked quotations are currently available on a securities exchange registered with the U.S. Securities and Exchange Commission (SEC) or in the over-the-counter market, provided that those prices or quotations for the over-the-counter market are publicly reported by the National Association of Securities Dealers Automated Quotations systems or by OTC Markets Group Inc. Restricted stock meets that definition if the restriction terminates within one year. </w:t>
      </w:r>
    </w:p>
    <w:p w14:paraId="460A3497" w14:textId="77777777" w:rsidR="0046378D" w:rsidRPr="0046378D" w:rsidRDefault="0046378D" w:rsidP="0046378D">
      <w:pPr>
        <w:pStyle w:val="odd"/>
        <w:shd w:val="clear" w:color="auto" w:fill="FFFFFF"/>
        <w:spacing w:before="0" w:beforeAutospacing="0" w:after="240" w:afterAutospacing="0"/>
        <w:ind w:left="1440" w:hanging="720"/>
        <w:jc w:val="both"/>
        <w:rPr>
          <w:rFonts w:ascii="Arial" w:hAnsi="Arial" w:cs="Arial"/>
          <w:color w:val="000000"/>
          <w:sz w:val="20"/>
          <w:szCs w:val="20"/>
        </w:rPr>
      </w:pPr>
      <w:r w:rsidRPr="0046378D">
        <w:rPr>
          <w:rFonts w:ascii="Arial" w:hAnsi="Arial" w:cs="Arial"/>
          <w:color w:val="000000"/>
          <w:sz w:val="20"/>
          <w:szCs w:val="20"/>
        </w:rPr>
        <w:t>b.  </w:t>
      </w:r>
      <w:r>
        <w:rPr>
          <w:rFonts w:ascii="Arial" w:hAnsi="Arial" w:cs="Arial"/>
          <w:color w:val="000000"/>
          <w:sz w:val="20"/>
          <w:szCs w:val="20"/>
        </w:rPr>
        <w:tab/>
      </w:r>
      <w:r w:rsidRPr="0046378D">
        <w:rPr>
          <w:rFonts w:ascii="Arial" w:hAnsi="Arial" w:cs="Arial"/>
          <w:color w:val="000000"/>
          <w:sz w:val="20"/>
          <w:szCs w:val="20"/>
        </w:rPr>
        <w:t>The fair value of an equity security traded only in a foreign market is readily determinable if that foreign market is of a breadth and scope comparable to one of the U.S. markets referred to above. </w:t>
      </w:r>
    </w:p>
    <w:p w14:paraId="1090618C" w14:textId="77777777" w:rsidR="0046378D" w:rsidRPr="0046378D" w:rsidRDefault="0046378D" w:rsidP="0046378D">
      <w:pPr>
        <w:pStyle w:val="odd"/>
        <w:shd w:val="clear" w:color="auto" w:fill="FFFFFF"/>
        <w:spacing w:before="0" w:beforeAutospacing="0" w:after="0" w:afterAutospacing="0"/>
        <w:ind w:left="1440" w:hanging="720"/>
        <w:jc w:val="both"/>
        <w:rPr>
          <w:rFonts w:ascii="Arial" w:hAnsi="Arial" w:cs="Arial"/>
          <w:color w:val="000000"/>
          <w:sz w:val="20"/>
          <w:szCs w:val="20"/>
        </w:rPr>
      </w:pPr>
      <w:r w:rsidRPr="0046378D">
        <w:rPr>
          <w:rFonts w:ascii="Arial" w:hAnsi="Arial" w:cs="Arial"/>
          <w:color w:val="000000"/>
          <w:sz w:val="20"/>
          <w:szCs w:val="20"/>
        </w:rPr>
        <w:lastRenderedPageBreak/>
        <w:t>c.  </w:t>
      </w:r>
      <w:r>
        <w:rPr>
          <w:rFonts w:ascii="Arial" w:hAnsi="Arial" w:cs="Arial"/>
          <w:color w:val="000000"/>
          <w:sz w:val="20"/>
          <w:szCs w:val="20"/>
        </w:rPr>
        <w:tab/>
      </w:r>
      <w:r w:rsidRPr="0046378D">
        <w:rPr>
          <w:rFonts w:ascii="Arial" w:hAnsi="Arial" w:cs="Arial"/>
          <w:color w:val="000000"/>
          <w:sz w:val="20"/>
          <w:szCs w:val="20"/>
        </w:rPr>
        <w:t>The fair value of an equity security that is an investment in a mutual fund or in a structure similar to a mutual fund (that is, a limited partnership or a venture capital entity) is readily determinable if the fair value per share (unit) is determined and published and is the basis for current transactions. </w:t>
      </w:r>
    </w:p>
    <w:p w14:paraId="0DFADF6D" w14:textId="77777777" w:rsidR="0046378D" w:rsidRDefault="0046378D" w:rsidP="00984799">
      <w:pPr>
        <w:pStyle w:val="ListParagraph"/>
        <w:ind w:left="0"/>
        <w:jc w:val="both"/>
        <w:rPr>
          <w:rFonts w:cs="Arial"/>
          <w:szCs w:val="22"/>
        </w:rPr>
      </w:pPr>
    </w:p>
    <w:p w14:paraId="6C5A0879" w14:textId="77777777" w:rsidR="0046378D" w:rsidRDefault="0046378D" w:rsidP="002B4249">
      <w:pPr>
        <w:pStyle w:val="ListParagraph"/>
        <w:jc w:val="both"/>
        <w:rPr>
          <w:rFonts w:ascii="Arial" w:hAnsi="Arial" w:cs="Arial"/>
          <w:color w:val="000000"/>
          <w:sz w:val="20"/>
          <w:szCs w:val="20"/>
          <w:shd w:val="clear" w:color="auto" w:fill="FFFFFF"/>
        </w:rPr>
      </w:pPr>
      <w:r w:rsidRPr="0046378D">
        <w:rPr>
          <w:rFonts w:ascii="Arial" w:hAnsi="Arial" w:cs="Arial"/>
          <w:b/>
          <w:sz w:val="20"/>
          <w:szCs w:val="20"/>
          <w:u w:val="single"/>
        </w:rPr>
        <w:t xml:space="preserve">U.S. GAAP </w:t>
      </w:r>
      <w:r>
        <w:rPr>
          <w:rFonts w:ascii="Arial" w:hAnsi="Arial" w:cs="Arial"/>
          <w:b/>
          <w:sz w:val="20"/>
          <w:szCs w:val="20"/>
          <w:u w:val="single"/>
        </w:rPr>
        <w:t xml:space="preserve">Guidance permitting NAV </w:t>
      </w:r>
      <w:r w:rsidRPr="002B4249">
        <w:rPr>
          <w:rFonts w:ascii="Arial" w:hAnsi="Arial" w:cs="Arial"/>
          <w:i/>
          <w:sz w:val="20"/>
          <w:szCs w:val="20"/>
          <w:u w:val="single"/>
        </w:rPr>
        <w:t>(</w:t>
      </w:r>
      <w:r w:rsidR="002B4249">
        <w:rPr>
          <w:rFonts w:ascii="Arial" w:hAnsi="Arial" w:cs="Arial"/>
          <w:i/>
          <w:sz w:val="20"/>
          <w:szCs w:val="20"/>
          <w:u w:val="single"/>
        </w:rPr>
        <w:t>A</w:t>
      </w:r>
      <w:r w:rsidRPr="002B4249">
        <w:rPr>
          <w:rFonts w:ascii="Arial" w:hAnsi="Arial" w:cs="Arial"/>
          <w:i/>
          <w:sz w:val="20"/>
          <w:szCs w:val="20"/>
          <w:u w:val="single"/>
        </w:rPr>
        <w:t>dopted with modification in SSAP No. 101, paragraphs 39-46):</w:t>
      </w:r>
      <w:r w:rsidRPr="0046378D">
        <w:rPr>
          <w:rFonts w:ascii="Arial" w:hAnsi="Arial" w:cs="Arial"/>
          <w:b/>
          <w:sz w:val="20"/>
          <w:szCs w:val="20"/>
          <w:u w:val="single"/>
        </w:rPr>
        <w:t xml:space="preserve"> </w:t>
      </w:r>
      <w:r w:rsidRPr="002B4249">
        <w:rPr>
          <w:rFonts w:ascii="Arial" w:hAnsi="Arial" w:cs="Arial"/>
          <w:sz w:val="20"/>
          <w:szCs w:val="20"/>
          <w:u w:val="single"/>
        </w:rPr>
        <w:t>Limited Exce</w:t>
      </w:r>
      <w:r w:rsidR="007C35DF">
        <w:rPr>
          <w:rFonts w:ascii="Arial" w:hAnsi="Arial" w:cs="Arial"/>
          <w:sz w:val="20"/>
          <w:szCs w:val="20"/>
          <w:u w:val="single"/>
        </w:rPr>
        <w:t>r</w:t>
      </w:r>
      <w:r w:rsidRPr="002B4249">
        <w:rPr>
          <w:rFonts w:ascii="Arial" w:hAnsi="Arial" w:cs="Arial"/>
          <w:sz w:val="20"/>
          <w:szCs w:val="20"/>
          <w:u w:val="single"/>
        </w:rPr>
        <w:t>pt</w:t>
      </w:r>
      <w:r>
        <w:rPr>
          <w:rFonts w:ascii="Arial" w:hAnsi="Arial" w:cs="Arial"/>
          <w:b/>
          <w:sz w:val="20"/>
          <w:szCs w:val="20"/>
          <w:u w:val="single"/>
        </w:rPr>
        <w:t>:</w:t>
      </w:r>
      <w:r w:rsidRPr="002B4249">
        <w:rPr>
          <w:rFonts w:ascii="Arial" w:hAnsi="Arial" w:cs="Arial"/>
          <w:b/>
          <w:sz w:val="20"/>
          <w:szCs w:val="20"/>
        </w:rPr>
        <w:t xml:space="preserve"> </w:t>
      </w:r>
      <w:r w:rsidRPr="0046378D">
        <w:rPr>
          <w:rFonts w:ascii="Arial" w:hAnsi="Arial" w:cs="Arial"/>
          <w:color w:val="000000"/>
          <w:sz w:val="20"/>
          <w:szCs w:val="20"/>
          <w:shd w:val="clear" w:color="auto" w:fill="FFFFFF"/>
        </w:rPr>
        <w:t>A reporting entity is permitted, as a practical expedient, to estimate the fair value of an investment within the scope of paragraphs </w:t>
      </w:r>
      <w:r w:rsidRPr="0046378D">
        <w:rPr>
          <w:rFonts w:ascii="Arial" w:hAnsi="Arial" w:cs="Arial"/>
          <w:sz w:val="20"/>
          <w:szCs w:val="20"/>
          <w:shd w:val="clear" w:color="auto" w:fill="FFFFFF"/>
        </w:rPr>
        <w:t>820-10-15-4 through 15-5</w:t>
      </w:r>
      <w:r w:rsidRPr="0046378D">
        <w:rPr>
          <w:rFonts w:ascii="Arial" w:hAnsi="Arial" w:cs="Arial"/>
          <w:color w:val="000000"/>
          <w:sz w:val="20"/>
          <w:szCs w:val="20"/>
          <w:shd w:val="clear" w:color="auto" w:fill="FFFFFF"/>
        </w:rPr>
        <w:t> using the net asset value per share (or its equivalent, such as member units or an ownership interest in partners’ capital to which a proportionate share of net assets is attributed) of the investment, if the net asset value per share of the investment (or its equivalent) is calculated in a manner consistent with the measurement principles of Topic </w:t>
      </w:r>
      <w:r w:rsidRPr="0046378D">
        <w:rPr>
          <w:rFonts w:ascii="Arial" w:hAnsi="Arial" w:cs="Arial"/>
          <w:sz w:val="20"/>
          <w:szCs w:val="20"/>
          <w:shd w:val="clear" w:color="auto" w:fill="FFFFFF"/>
        </w:rPr>
        <w:t>946</w:t>
      </w:r>
      <w:r w:rsidRPr="0046378D">
        <w:rPr>
          <w:rFonts w:ascii="Arial" w:hAnsi="Arial" w:cs="Arial"/>
          <w:color w:val="000000"/>
          <w:sz w:val="20"/>
          <w:szCs w:val="20"/>
          <w:shd w:val="clear" w:color="auto" w:fill="FFFFFF"/>
        </w:rPr>
        <w:t> as of the reporting entity’s measurement date.</w:t>
      </w:r>
    </w:p>
    <w:p w14:paraId="55040CC8" w14:textId="77777777" w:rsidR="002B4249" w:rsidRDefault="002B4249" w:rsidP="002B4249">
      <w:pPr>
        <w:pStyle w:val="ListParagraph"/>
        <w:jc w:val="both"/>
        <w:rPr>
          <w:rFonts w:cs="Arial"/>
          <w:szCs w:val="22"/>
        </w:rPr>
      </w:pPr>
    </w:p>
    <w:p w14:paraId="176B3431" w14:textId="77777777" w:rsidR="002B4249" w:rsidRPr="002E6FE0" w:rsidRDefault="002B4249" w:rsidP="002B4249">
      <w:pPr>
        <w:jc w:val="both"/>
        <w:rPr>
          <w:rFonts w:cs="Arial"/>
          <w:b/>
          <w:sz w:val="22"/>
          <w:szCs w:val="22"/>
          <w:u w:val="single"/>
        </w:rPr>
      </w:pPr>
      <w:r>
        <w:rPr>
          <w:rFonts w:cs="Arial"/>
          <w:b/>
          <w:sz w:val="22"/>
          <w:szCs w:val="22"/>
          <w:u w:val="single"/>
        </w:rPr>
        <w:t>Statutory Accounting Measurement Overview and Assessment</w:t>
      </w:r>
    </w:p>
    <w:p w14:paraId="06BE05FC" w14:textId="77777777" w:rsidR="007C35DF" w:rsidRDefault="007C35DF" w:rsidP="002B4249">
      <w:pPr>
        <w:pStyle w:val="ListParagraph"/>
        <w:ind w:left="0"/>
        <w:jc w:val="both"/>
        <w:rPr>
          <w:rFonts w:cs="Arial"/>
          <w:szCs w:val="22"/>
        </w:rPr>
      </w:pPr>
      <w:r>
        <w:rPr>
          <w:rFonts w:cs="Arial"/>
          <w:szCs w:val="22"/>
        </w:rPr>
        <w:t xml:space="preserve">After reviewing the measurement methods for preferred stock, and comparing those methods to U.S. GAAP, NAIC staff recommends revisions to the permitted measurement methods for preferred stock. NAIC staff recommends eliminating references to “cost” as a measurement option, and </w:t>
      </w:r>
      <w:r w:rsidR="002B4249">
        <w:rPr>
          <w:rFonts w:cs="Arial"/>
          <w:szCs w:val="22"/>
        </w:rPr>
        <w:t xml:space="preserve">clarify use of amortized cost (or the lower of amortized cost and fair value) for redeemable preferred stock </w:t>
      </w:r>
      <w:r>
        <w:rPr>
          <w:rFonts w:cs="Arial"/>
          <w:szCs w:val="22"/>
        </w:rPr>
        <w:t>and the use of fair value for perpetual preferred stock.</w:t>
      </w:r>
    </w:p>
    <w:p w14:paraId="42F84147" w14:textId="77777777" w:rsidR="007C35DF" w:rsidRDefault="007C35DF" w:rsidP="002B4249">
      <w:pPr>
        <w:pStyle w:val="ListParagraph"/>
        <w:ind w:left="0"/>
        <w:jc w:val="both"/>
        <w:rPr>
          <w:rFonts w:cs="Arial"/>
          <w:szCs w:val="22"/>
        </w:rPr>
      </w:pPr>
    </w:p>
    <w:p w14:paraId="48ED2B7E" w14:textId="77777777" w:rsidR="002B4249" w:rsidRDefault="002B4249" w:rsidP="002B4249">
      <w:pPr>
        <w:pStyle w:val="ListParagraph"/>
        <w:ind w:left="0"/>
        <w:jc w:val="both"/>
        <w:rPr>
          <w:rFonts w:cs="Arial"/>
          <w:szCs w:val="22"/>
        </w:rPr>
      </w:pPr>
      <w:r>
        <w:rPr>
          <w:rFonts w:cs="Arial"/>
          <w:szCs w:val="22"/>
        </w:rPr>
        <w:t xml:space="preserve">If there are concerns that perpetual preferred stock could not be measured at fair value (either as not </w:t>
      </w:r>
      <w:r w:rsidR="007C35DF">
        <w:rPr>
          <w:rFonts w:cs="Arial"/>
          <w:szCs w:val="22"/>
        </w:rPr>
        <w:t xml:space="preserve">readily </w:t>
      </w:r>
      <w:r>
        <w:rPr>
          <w:rFonts w:cs="Arial"/>
          <w:szCs w:val="22"/>
        </w:rPr>
        <w:t xml:space="preserve">determinable or with a NAV exception), consideration could be given to incorporate the FASB process that allows </w:t>
      </w:r>
      <w:r w:rsidR="007C35DF">
        <w:rPr>
          <w:rFonts w:cs="Arial"/>
          <w:szCs w:val="22"/>
        </w:rPr>
        <w:t>“adjusted cost”</w:t>
      </w:r>
      <w:r>
        <w:rPr>
          <w:rFonts w:cs="Arial"/>
          <w:szCs w:val="22"/>
        </w:rPr>
        <w:t>. However, NAIC staff believes that in most instances, fair value of perpetual preferred stock can be determined</w:t>
      </w:r>
      <w:r w:rsidR="007C35DF">
        <w:rPr>
          <w:rFonts w:cs="Arial"/>
          <w:szCs w:val="22"/>
        </w:rPr>
        <w:t xml:space="preserve"> pursuant to SSAP No. 100R</w:t>
      </w:r>
      <w:r>
        <w:rPr>
          <w:rFonts w:cs="Arial"/>
          <w:szCs w:val="22"/>
        </w:rPr>
        <w:t xml:space="preserve">, even if that determination reflects a level 3 fair value measurement. (Under level 3, the reporting entity determines fair value </w:t>
      </w:r>
      <w:r w:rsidR="007C35DF">
        <w:rPr>
          <w:rFonts w:cs="Arial"/>
          <w:szCs w:val="22"/>
        </w:rPr>
        <w:t xml:space="preserve">without observable inputs using </w:t>
      </w:r>
      <w:r>
        <w:rPr>
          <w:rFonts w:cs="Arial"/>
          <w:szCs w:val="22"/>
        </w:rPr>
        <w:t xml:space="preserve">their assumptions about the assumptions market participants would use in pricing the asset or liability.) </w:t>
      </w:r>
    </w:p>
    <w:p w14:paraId="4DAA4D6D" w14:textId="77777777" w:rsidR="002B4249" w:rsidRDefault="002B4249" w:rsidP="002B4249">
      <w:pPr>
        <w:pStyle w:val="ListParagraph"/>
        <w:ind w:left="0"/>
        <w:jc w:val="both"/>
        <w:rPr>
          <w:rFonts w:cs="Arial"/>
          <w:szCs w:val="22"/>
        </w:rPr>
      </w:pPr>
    </w:p>
    <w:p w14:paraId="19692179" w14:textId="77777777" w:rsidR="002B4249" w:rsidRPr="00C01795" w:rsidRDefault="00320151" w:rsidP="002B4249">
      <w:pPr>
        <w:jc w:val="both"/>
        <w:rPr>
          <w:rFonts w:cs="Arial"/>
          <w:b/>
          <w:sz w:val="22"/>
          <w:szCs w:val="22"/>
          <w:u w:val="single"/>
        </w:rPr>
      </w:pPr>
      <w:r>
        <w:rPr>
          <w:rFonts w:cs="Arial"/>
          <w:b/>
          <w:sz w:val="22"/>
          <w:szCs w:val="22"/>
          <w:u w:val="single"/>
        </w:rPr>
        <w:t>3</w:t>
      </w:r>
      <w:r w:rsidR="002B4249" w:rsidRPr="00C01795">
        <w:rPr>
          <w:rFonts w:cs="Arial"/>
          <w:b/>
          <w:sz w:val="22"/>
          <w:szCs w:val="22"/>
          <w:u w:val="single"/>
        </w:rPr>
        <w:t xml:space="preserve"> – </w:t>
      </w:r>
      <w:r w:rsidR="002B4249">
        <w:rPr>
          <w:rFonts w:cs="Arial"/>
          <w:b/>
          <w:sz w:val="22"/>
          <w:szCs w:val="22"/>
          <w:u w:val="single"/>
        </w:rPr>
        <w:t xml:space="preserve">Assess Dividend Guidance and the Impact of Dividends on Impairment Guidance  </w:t>
      </w:r>
    </w:p>
    <w:p w14:paraId="7135CE62" w14:textId="77777777" w:rsidR="002B4249" w:rsidRDefault="002B4249" w:rsidP="002B4249">
      <w:pPr>
        <w:pStyle w:val="ListParagraph"/>
        <w:ind w:left="0"/>
        <w:jc w:val="both"/>
        <w:rPr>
          <w:rFonts w:cs="Arial"/>
          <w:szCs w:val="22"/>
        </w:rPr>
      </w:pPr>
      <w:r>
        <w:rPr>
          <w:rFonts w:cs="Arial"/>
          <w:szCs w:val="22"/>
        </w:rPr>
        <w:t>Existing guidance in SSAP No. 32</w:t>
      </w:r>
      <w:r w:rsidR="0018440F">
        <w:rPr>
          <w:rFonts w:cs="Arial"/>
          <w:szCs w:val="22"/>
        </w:rPr>
        <w:t>, paragraph 27,</w:t>
      </w:r>
      <w:r>
        <w:rPr>
          <w:rFonts w:cs="Arial"/>
          <w:szCs w:val="22"/>
        </w:rPr>
        <w:t xml:space="preserve"> identifies that dividends, other than mandatorily redeemable preferred stock, shall be recorded as investment income on the ex-dividend date. The guidance </w:t>
      </w:r>
      <w:r w:rsidR="0018440F">
        <w:rPr>
          <w:rFonts w:cs="Arial"/>
          <w:szCs w:val="22"/>
        </w:rPr>
        <w:t xml:space="preserve">in paragraph 28 </w:t>
      </w:r>
      <w:r>
        <w:rPr>
          <w:rFonts w:cs="Arial"/>
          <w:szCs w:val="22"/>
        </w:rPr>
        <w:t xml:space="preserve">identifies that mandatorily preferred stock shall be accrued to the redemption price, even if not declared, under the interest method over the period ending on the redemption date. The guidance also identifies that cash dividends paid on payment-in-kind </w:t>
      </w:r>
      <w:r w:rsidR="00320151">
        <w:rPr>
          <w:rFonts w:cs="Arial"/>
          <w:szCs w:val="22"/>
        </w:rPr>
        <w:t xml:space="preserve">(PIK) </w:t>
      </w:r>
      <w:r>
        <w:rPr>
          <w:rFonts w:cs="Arial"/>
          <w:szCs w:val="22"/>
        </w:rPr>
        <w:t xml:space="preserve">dividends shall be accounted for as a reduction in the investment. </w:t>
      </w:r>
    </w:p>
    <w:p w14:paraId="383B84FB" w14:textId="77777777" w:rsidR="002B4249" w:rsidRDefault="002B4249" w:rsidP="002B4249">
      <w:pPr>
        <w:jc w:val="both"/>
        <w:rPr>
          <w:rFonts w:cs="Arial"/>
          <w:szCs w:val="22"/>
        </w:rPr>
      </w:pPr>
    </w:p>
    <w:p w14:paraId="5E6962EE" w14:textId="77777777" w:rsidR="002B4249" w:rsidRDefault="002B4249" w:rsidP="002B4249">
      <w:pPr>
        <w:jc w:val="both"/>
        <w:rPr>
          <w:rFonts w:cs="Arial"/>
          <w:sz w:val="22"/>
          <w:szCs w:val="22"/>
        </w:rPr>
      </w:pPr>
      <w:r w:rsidRPr="002B4249">
        <w:rPr>
          <w:rFonts w:cs="Arial"/>
          <w:sz w:val="22"/>
          <w:szCs w:val="22"/>
        </w:rPr>
        <w:t xml:space="preserve">Impairment guidance in SSAP No. 32 differentiates between redeemable and perpetual preferred stock. The guidance for redeemable preferred stock is similar to guidance for bonds, in which other-than-temporary impairment (OTTI) is considered to have occurred if a reporting entity will be unable to collect all amounts due according to the contractual terms of the security at the date of acquisition. This determination includes situations when a decision has been made to sell a security below its carrying value. The guidance for perpetual preferred stock is similar to guidance for common stock, with determination of OTTI based on </w:t>
      </w:r>
      <w:r w:rsidRPr="0018440F">
        <w:rPr>
          <w:rFonts w:cs="Arial"/>
          <w:i/>
          <w:sz w:val="22"/>
          <w:szCs w:val="22"/>
        </w:rPr>
        <w:t>INT 06-07: Definition of Phrase “Other Than Temporary</w:t>
      </w:r>
      <w:r>
        <w:rPr>
          <w:rFonts w:cs="Arial"/>
          <w:sz w:val="22"/>
          <w:szCs w:val="22"/>
        </w:rPr>
        <w:t>”</w:t>
      </w:r>
      <w:r w:rsidRPr="002B4249">
        <w:rPr>
          <w:rFonts w:cs="Arial"/>
          <w:sz w:val="22"/>
          <w:szCs w:val="22"/>
        </w:rPr>
        <w:t xml:space="preserve"> and if the entity has made a decision to sell a security below its carrying value. </w:t>
      </w:r>
    </w:p>
    <w:p w14:paraId="0C0524D2" w14:textId="77777777" w:rsidR="002B4249" w:rsidRDefault="002B4249" w:rsidP="002B4249">
      <w:pPr>
        <w:jc w:val="both"/>
        <w:rPr>
          <w:rFonts w:cs="Arial"/>
          <w:sz w:val="22"/>
          <w:szCs w:val="22"/>
        </w:rPr>
      </w:pPr>
    </w:p>
    <w:p w14:paraId="3C625665" w14:textId="77777777" w:rsidR="002B4249" w:rsidRDefault="002B4249" w:rsidP="002B4249">
      <w:pPr>
        <w:jc w:val="both"/>
        <w:rPr>
          <w:rFonts w:cs="Arial"/>
          <w:sz w:val="22"/>
          <w:szCs w:val="22"/>
        </w:rPr>
      </w:pPr>
      <w:r>
        <w:rPr>
          <w:rFonts w:cs="Arial"/>
          <w:sz w:val="22"/>
          <w:szCs w:val="22"/>
        </w:rPr>
        <w:t xml:space="preserve">Although NAIC staff believes the guidance for perpetual preferred stock dividends is appropriate, recognizing that dividends for redeemable preferred stock may not trigger an element a default, or a liability </w:t>
      </w:r>
      <w:r w:rsidR="0018440F">
        <w:rPr>
          <w:rFonts w:cs="Arial"/>
          <w:sz w:val="22"/>
          <w:szCs w:val="22"/>
        </w:rPr>
        <w:t>from</w:t>
      </w:r>
      <w:r>
        <w:rPr>
          <w:rFonts w:cs="Arial"/>
          <w:sz w:val="22"/>
          <w:szCs w:val="22"/>
        </w:rPr>
        <w:t xml:space="preserve"> an issuing entity, NAIC staff recommends </w:t>
      </w:r>
      <w:r w:rsidR="00320151">
        <w:rPr>
          <w:rFonts w:cs="Arial"/>
          <w:sz w:val="22"/>
          <w:szCs w:val="22"/>
        </w:rPr>
        <w:t xml:space="preserve">clarification on the amortization of redeemable preferred dividends, potentially to highlight that failure to receive dividends </w:t>
      </w:r>
      <w:r w:rsidR="0018440F">
        <w:rPr>
          <w:rFonts w:cs="Arial"/>
          <w:sz w:val="22"/>
          <w:szCs w:val="22"/>
        </w:rPr>
        <w:t>should result with an OTTI assessment and may</w:t>
      </w:r>
      <w:r w:rsidR="00320151">
        <w:rPr>
          <w:rFonts w:cs="Arial"/>
          <w:sz w:val="22"/>
          <w:szCs w:val="22"/>
        </w:rPr>
        <w:t xml:space="preserve"> impact continued accrual (or admittance) for future dividends. </w:t>
      </w:r>
    </w:p>
    <w:p w14:paraId="23992CD2" w14:textId="77777777" w:rsidR="00320151" w:rsidRDefault="00320151" w:rsidP="002B4249">
      <w:pPr>
        <w:jc w:val="both"/>
        <w:rPr>
          <w:rFonts w:cs="Arial"/>
          <w:sz w:val="22"/>
          <w:szCs w:val="22"/>
        </w:rPr>
      </w:pPr>
    </w:p>
    <w:p w14:paraId="46593CBF" w14:textId="77777777" w:rsidR="00320151" w:rsidRPr="002B4249" w:rsidRDefault="00320151" w:rsidP="002B4249">
      <w:pPr>
        <w:jc w:val="both"/>
        <w:rPr>
          <w:rFonts w:cs="Arial"/>
          <w:sz w:val="22"/>
          <w:szCs w:val="22"/>
        </w:rPr>
      </w:pPr>
      <w:r>
        <w:rPr>
          <w:rFonts w:cs="Arial"/>
          <w:sz w:val="22"/>
          <w:szCs w:val="22"/>
        </w:rPr>
        <w:t xml:space="preserve">With regards to guidance on PIK dividends, NAIC staff recommends revisions to address recognition and reporting of differing types of PIK dividends. As noted, stock issuances may provide for either cash or PIK dividends, </w:t>
      </w:r>
      <w:r w:rsidR="0018440F">
        <w:rPr>
          <w:rFonts w:cs="Arial"/>
          <w:sz w:val="22"/>
          <w:szCs w:val="22"/>
        </w:rPr>
        <w:t>and it is likely not</w:t>
      </w:r>
      <w:r>
        <w:rPr>
          <w:rFonts w:cs="Arial"/>
          <w:sz w:val="22"/>
          <w:szCs w:val="22"/>
        </w:rPr>
        <w:t xml:space="preserve"> appropriate </w:t>
      </w:r>
      <w:r w:rsidR="0018440F">
        <w:rPr>
          <w:rFonts w:cs="Arial"/>
          <w:sz w:val="22"/>
          <w:szCs w:val="22"/>
        </w:rPr>
        <w:t>to require</w:t>
      </w:r>
      <w:r>
        <w:rPr>
          <w:rFonts w:cs="Arial"/>
          <w:sz w:val="22"/>
          <w:szCs w:val="22"/>
        </w:rPr>
        <w:t xml:space="preserve"> all cash dividends for these issuances</w:t>
      </w:r>
      <w:r w:rsidR="0018440F">
        <w:rPr>
          <w:rFonts w:cs="Arial"/>
          <w:sz w:val="22"/>
          <w:szCs w:val="22"/>
        </w:rPr>
        <w:t xml:space="preserve"> to be</w:t>
      </w:r>
      <w:r>
        <w:rPr>
          <w:rFonts w:cs="Arial"/>
          <w:sz w:val="22"/>
          <w:szCs w:val="22"/>
        </w:rPr>
        <w:t xml:space="preserve"> </w:t>
      </w:r>
      <w:r w:rsidR="0018440F">
        <w:rPr>
          <w:rFonts w:cs="Arial"/>
          <w:sz w:val="22"/>
          <w:szCs w:val="22"/>
        </w:rPr>
        <w:t>recorded as a</w:t>
      </w:r>
      <w:r>
        <w:rPr>
          <w:rFonts w:cs="Arial"/>
          <w:sz w:val="22"/>
          <w:szCs w:val="22"/>
        </w:rPr>
        <w:t xml:space="preserve"> reduction in the investment. </w:t>
      </w:r>
      <w:r w:rsidR="00CB2235">
        <w:rPr>
          <w:rFonts w:cs="Arial"/>
          <w:sz w:val="22"/>
          <w:szCs w:val="22"/>
        </w:rPr>
        <w:t>(With these revisions, NAIC staff also recommends similar guidance for PIK interest received.)</w:t>
      </w:r>
      <w:r>
        <w:rPr>
          <w:rFonts w:cs="Arial"/>
          <w:sz w:val="22"/>
          <w:szCs w:val="22"/>
        </w:rPr>
        <w:t xml:space="preserve"> </w:t>
      </w:r>
    </w:p>
    <w:p w14:paraId="687C37A9" w14:textId="77777777" w:rsidR="0018440F" w:rsidRDefault="0018440F" w:rsidP="002B4249">
      <w:pPr>
        <w:pStyle w:val="ListParagraph"/>
        <w:ind w:left="0"/>
        <w:jc w:val="both"/>
        <w:rPr>
          <w:rFonts w:cs="Arial"/>
          <w:szCs w:val="22"/>
        </w:rPr>
      </w:pPr>
    </w:p>
    <w:p w14:paraId="00704B28" w14:textId="77777777" w:rsidR="00320151" w:rsidRPr="00C01795" w:rsidRDefault="007B1EB5" w:rsidP="00320151">
      <w:pPr>
        <w:jc w:val="both"/>
        <w:rPr>
          <w:rFonts w:cs="Arial"/>
          <w:b/>
          <w:sz w:val="22"/>
          <w:szCs w:val="22"/>
          <w:u w:val="single"/>
        </w:rPr>
      </w:pPr>
      <w:r>
        <w:rPr>
          <w:rFonts w:cs="Arial"/>
          <w:b/>
          <w:sz w:val="22"/>
          <w:szCs w:val="22"/>
          <w:u w:val="single"/>
        </w:rPr>
        <w:t>4</w:t>
      </w:r>
      <w:r w:rsidR="00320151" w:rsidRPr="00C01795">
        <w:rPr>
          <w:rFonts w:cs="Arial"/>
          <w:b/>
          <w:sz w:val="22"/>
          <w:szCs w:val="22"/>
          <w:u w:val="single"/>
        </w:rPr>
        <w:t xml:space="preserve"> – </w:t>
      </w:r>
      <w:r w:rsidR="00320151" w:rsidRPr="00320151">
        <w:rPr>
          <w:rFonts w:cs="Arial"/>
          <w:b/>
          <w:sz w:val="22"/>
          <w:szCs w:val="22"/>
          <w:u w:val="single"/>
        </w:rPr>
        <w:t>Clarify application of SSAP No. 32 conjunction with SSAP No. 48 and SSAP No. 97</w:t>
      </w:r>
    </w:p>
    <w:p w14:paraId="6EFFDB33" w14:textId="77777777" w:rsidR="00320151" w:rsidRDefault="00320151" w:rsidP="00320151">
      <w:pPr>
        <w:pStyle w:val="ListParagraph"/>
        <w:ind w:left="0"/>
        <w:jc w:val="both"/>
        <w:rPr>
          <w:rFonts w:cs="Arial"/>
          <w:szCs w:val="22"/>
        </w:rPr>
      </w:pPr>
      <w:r>
        <w:rPr>
          <w:rFonts w:cs="Arial"/>
          <w:szCs w:val="22"/>
        </w:rPr>
        <w:t xml:space="preserve">The existing guidance in SSAP No. 32 is specific that investments in preferred stock of subsidiaries, controlled or affiliated entities </w:t>
      </w:r>
      <w:r w:rsidR="0018440F">
        <w:rPr>
          <w:rFonts w:cs="Arial"/>
          <w:szCs w:val="22"/>
        </w:rPr>
        <w:t xml:space="preserve">(SCA) </w:t>
      </w:r>
      <w:r>
        <w:rPr>
          <w:rFonts w:cs="Arial"/>
          <w:szCs w:val="22"/>
        </w:rPr>
        <w:t xml:space="preserve">are included within scope. However, recent questions received have questioned whether </w:t>
      </w:r>
      <w:r>
        <w:rPr>
          <w:rFonts w:cs="Arial"/>
          <w:szCs w:val="22"/>
        </w:rPr>
        <w:lastRenderedPageBreak/>
        <w:t xml:space="preserve">preferred stock held from a SSAP No. 48 entity shall be captured within scope of SSAP No. 32. (A SSAP No. 48 entity may or may not qualify as an SCA.) To eliminate future questions, NAIC staff suggests further clarification that preferred stock </w:t>
      </w:r>
      <w:r w:rsidR="0018440F">
        <w:rPr>
          <w:rFonts w:cs="Arial"/>
          <w:szCs w:val="22"/>
        </w:rPr>
        <w:t>held from a</w:t>
      </w:r>
      <w:r>
        <w:rPr>
          <w:rFonts w:cs="Arial"/>
          <w:szCs w:val="22"/>
        </w:rPr>
        <w:t xml:space="preserve"> SSAP No. 48</w:t>
      </w:r>
      <w:r w:rsidR="007B1EB5">
        <w:rPr>
          <w:rFonts w:cs="Arial"/>
          <w:szCs w:val="22"/>
        </w:rPr>
        <w:t xml:space="preserve"> entity</w:t>
      </w:r>
      <w:r>
        <w:rPr>
          <w:rFonts w:cs="Arial"/>
          <w:szCs w:val="22"/>
        </w:rPr>
        <w:t xml:space="preserve"> </w:t>
      </w:r>
      <w:r w:rsidR="0018440F">
        <w:rPr>
          <w:rFonts w:cs="Arial"/>
          <w:szCs w:val="22"/>
        </w:rPr>
        <w:t xml:space="preserve">(joint venture, partnership or limited liability company) </w:t>
      </w:r>
      <w:r>
        <w:rPr>
          <w:rFonts w:cs="Arial"/>
          <w:szCs w:val="22"/>
        </w:rPr>
        <w:t xml:space="preserve">is in scope of SSAP No. 32. </w:t>
      </w:r>
    </w:p>
    <w:p w14:paraId="68893108" w14:textId="77777777" w:rsidR="00320151" w:rsidRDefault="00320151" w:rsidP="00320151">
      <w:pPr>
        <w:pStyle w:val="ListParagraph"/>
        <w:ind w:left="0"/>
        <w:jc w:val="both"/>
        <w:rPr>
          <w:rFonts w:cs="Arial"/>
          <w:szCs w:val="22"/>
        </w:rPr>
      </w:pPr>
    </w:p>
    <w:p w14:paraId="722AEEDF" w14:textId="77777777" w:rsidR="00320151" w:rsidRDefault="00320151" w:rsidP="00320151">
      <w:pPr>
        <w:pStyle w:val="ListParagraph"/>
        <w:ind w:left="0"/>
        <w:jc w:val="both"/>
        <w:rPr>
          <w:rFonts w:cs="Arial"/>
          <w:szCs w:val="22"/>
        </w:rPr>
      </w:pPr>
      <w:r>
        <w:rPr>
          <w:rFonts w:cs="Arial"/>
          <w:szCs w:val="22"/>
        </w:rPr>
        <w:t xml:space="preserve">Additionally, as the reported value of preferred stock </w:t>
      </w:r>
      <w:r w:rsidR="0018440F">
        <w:rPr>
          <w:rFonts w:cs="Arial"/>
          <w:szCs w:val="22"/>
        </w:rPr>
        <w:t>held from an SCA</w:t>
      </w:r>
      <w:r>
        <w:rPr>
          <w:rFonts w:cs="Arial"/>
          <w:szCs w:val="22"/>
        </w:rPr>
        <w:t xml:space="preserve"> may be impacted by guidance in </w:t>
      </w:r>
      <w:r w:rsidRPr="009D0C9A">
        <w:rPr>
          <w:rFonts w:cs="Arial"/>
          <w:i/>
          <w:szCs w:val="22"/>
        </w:rPr>
        <w:t>SSAP No. 97—Investments in Subsidiary, Controlled and Affiliated Entities</w:t>
      </w:r>
      <w:r>
        <w:rPr>
          <w:rFonts w:cs="Arial"/>
          <w:szCs w:val="22"/>
        </w:rPr>
        <w:t xml:space="preserve"> and </w:t>
      </w:r>
      <w:r w:rsidRPr="009D0C9A">
        <w:rPr>
          <w:rFonts w:cs="Arial"/>
          <w:i/>
          <w:szCs w:val="22"/>
        </w:rPr>
        <w:t>INT 00-24: EITF 98-12: Accounting by an Equity Method Investor for Investee Losses When the Investor Has Loans to and Investments in Other Securities of the Investee and EITF 99-10: Percentage Used to Determine the Amount of Equity Method Losses</w:t>
      </w:r>
      <w:r w:rsidR="009D0C9A">
        <w:rPr>
          <w:rFonts w:cs="Arial"/>
          <w:i/>
          <w:szCs w:val="22"/>
        </w:rPr>
        <w:t xml:space="preserve">, </w:t>
      </w:r>
      <w:r w:rsidR="009D0C9A" w:rsidRPr="009D0C9A">
        <w:rPr>
          <w:rFonts w:cs="Arial"/>
          <w:szCs w:val="22"/>
        </w:rPr>
        <w:t xml:space="preserve">NAIC staff suggests guidance in SSAP No. 32 that explicitly refers to those statutory provisions. </w:t>
      </w:r>
    </w:p>
    <w:p w14:paraId="741AE196" w14:textId="77777777" w:rsidR="00972BA4" w:rsidRDefault="00972BA4" w:rsidP="00320151">
      <w:pPr>
        <w:pStyle w:val="ListParagraph"/>
        <w:ind w:left="0"/>
        <w:jc w:val="both"/>
        <w:rPr>
          <w:rFonts w:cs="Arial"/>
          <w:szCs w:val="22"/>
        </w:rPr>
      </w:pPr>
    </w:p>
    <w:p w14:paraId="464D2C01" w14:textId="77777777" w:rsidR="00972BA4" w:rsidRDefault="00972BA4" w:rsidP="00972BA4">
      <w:pPr>
        <w:pStyle w:val="ListParagraph"/>
        <w:numPr>
          <w:ilvl w:val="0"/>
          <w:numId w:val="29"/>
        </w:numPr>
        <w:jc w:val="both"/>
        <w:rPr>
          <w:rFonts w:cs="Arial"/>
          <w:szCs w:val="22"/>
        </w:rPr>
      </w:pPr>
      <w:r>
        <w:rPr>
          <w:rFonts w:cs="Arial"/>
          <w:szCs w:val="22"/>
        </w:rPr>
        <w:t xml:space="preserve">Under SSAP No. 97, preferred stock in an SCA is measured and reported under SSAP No. 32. </w:t>
      </w:r>
      <w:r w:rsidR="00853F99">
        <w:rPr>
          <w:rFonts w:cs="Arial"/>
          <w:szCs w:val="22"/>
        </w:rPr>
        <w:t xml:space="preserve">However, the reporting entity must reduce the total equity of the SCA by the SCA’s (issuer’s) value of the preferred stock to prevent double counting.  For example, if an SCA issued preferred stock for $50,000, and the SCA value is $250,000 pursuant to SSAP No 97: </w:t>
      </w:r>
    </w:p>
    <w:p w14:paraId="199E0D97" w14:textId="77777777" w:rsidR="00853F99" w:rsidRDefault="00853F99" w:rsidP="00853F99">
      <w:pPr>
        <w:jc w:val="both"/>
        <w:rPr>
          <w:rFonts w:cs="Arial"/>
          <w:szCs w:val="22"/>
        </w:rPr>
      </w:pPr>
    </w:p>
    <w:p w14:paraId="5F7C0A8F" w14:textId="77777777" w:rsidR="00853F99" w:rsidRDefault="00853F99" w:rsidP="00853F99">
      <w:pPr>
        <w:pStyle w:val="ListParagraph"/>
        <w:numPr>
          <w:ilvl w:val="1"/>
          <w:numId w:val="29"/>
        </w:numPr>
        <w:jc w:val="both"/>
        <w:rPr>
          <w:rFonts w:cs="Arial"/>
          <w:szCs w:val="22"/>
        </w:rPr>
      </w:pPr>
      <w:r>
        <w:rPr>
          <w:rFonts w:cs="Arial"/>
          <w:szCs w:val="22"/>
        </w:rPr>
        <w:t>Reporting entity would report the SCA at $200,000. ($250,000 less $50,000)</w:t>
      </w:r>
    </w:p>
    <w:p w14:paraId="34ADEC56" w14:textId="77777777" w:rsidR="00853F99" w:rsidRPr="00853F99" w:rsidRDefault="00853F99" w:rsidP="00853F99">
      <w:pPr>
        <w:pStyle w:val="ListParagraph"/>
        <w:ind w:left="1500"/>
        <w:jc w:val="both"/>
        <w:rPr>
          <w:rFonts w:cs="Arial"/>
          <w:szCs w:val="22"/>
        </w:rPr>
      </w:pPr>
    </w:p>
    <w:p w14:paraId="0F5077A9" w14:textId="77777777" w:rsidR="00853F99" w:rsidRPr="00853F99" w:rsidRDefault="00853F99" w:rsidP="00853F99">
      <w:pPr>
        <w:pStyle w:val="ListParagraph"/>
        <w:numPr>
          <w:ilvl w:val="1"/>
          <w:numId w:val="29"/>
        </w:numPr>
        <w:jc w:val="both"/>
        <w:rPr>
          <w:rFonts w:cs="Arial"/>
          <w:szCs w:val="22"/>
        </w:rPr>
      </w:pPr>
      <w:r>
        <w:rPr>
          <w:rFonts w:cs="Arial"/>
          <w:szCs w:val="22"/>
        </w:rPr>
        <w:t xml:space="preserve">Reporting entity would report the preferred stock under SSAP No. 32. (So, if perpetual preferred stock, issued at $50,000, has a current fair value was $75,000, the preferred stock would be reported at $75,000 on Schedule D-2-1.) </w:t>
      </w:r>
    </w:p>
    <w:p w14:paraId="1D0B4EC3" w14:textId="77777777" w:rsidR="00972BA4" w:rsidRDefault="00972BA4" w:rsidP="00972BA4">
      <w:pPr>
        <w:pStyle w:val="ListParagraph"/>
        <w:ind w:left="780"/>
        <w:jc w:val="both"/>
        <w:rPr>
          <w:rFonts w:cs="Arial"/>
          <w:szCs w:val="22"/>
        </w:rPr>
      </w:pPr>
    </w:p>
    <w:p w14:paraId="55D94370" w14:textId="77777777" w:rsidR="00972BA4" w:rsidRDefault="00972BA4" w:rsidP="00972BA4">
      <w:pPr>
        <w:pStyle w:val="ListParagraph"/>
        <w:numPr>
          <w:ilvl w:val="0"/>
          <w:numId w:val="29"/>
        </w:numPr>
        <w:jc w:val="both"/>
        <w:rPr>
          <w:rFonts w:cs="Arial"/>
          <w:szCs w:val="22"/>
        </w:rPr>
      </w:pPr>
      <w:r>
        <w:rPr>
          <w:rFonts w:cs="Arial"/>
          <w:szCs w:val="22"/>
        </w:rPr>
        <w:t xml:space="preserve">Under INT 00-24, </w:t>
      </w:r>
      <w:r w:rsidR="00980B6B">
        <w:rPr>
          <w:rFonts w:cs="Arial"/>
          <w:szCs w:val="22"/>
        </w:rPr>
        <w:t>once an equity</w:t>
      </w:r>
      <w:r w:rsidR="004C485C">
        <w:rPr>
          <w:rFonts w:cs="Arial"/>
          <w:szCs w:val="22"/>
        </w:rPr>
        <w:t xml:space="preserve"> (common stock)</w:t>
      </w:r>
      <w:r w:rsidR="00980B6B">
        <w:rPr>
          <w:rFonts w:cs="Arial"/>
          <w:szCs w:val="22"/>
        </w:rPr>
        <w:t xml:space="preserve"> investment </w:t>
      </w:r>
      <w:r w:rsidR="00B0603E">
        <w:rPr>
          <w:rFonts w:cs="Arial"/>
          <w:szCs w:val="22"/>
        </w:rPr>
        <w:t>in an SCA has been reduced to zero</w:t>
      </w:r>
      <w:r w:rsidR="004C485C">
        <w:rPr>
          <w:rFonts w:cs="Arial"/>
          <w:szCs w:val="22"/>
        </w:rPr>
        <w:t xml:space="preserve"> due to losses in the investee, the investor shall report its share of equity method losses as an adjustment to the other investments in the investee. Pursuant to this guidance, the reported investment in preferred stock (and other investments in an SCA) would be adjusted to reflect the statutory net loss. </w:t>
      </w:r>
      <w:r w:rsidR="00246C50" w:rsidRPr="00246C50">
        <w:rPr>
          <w:rFonts w:cs="Arial"/>
          <w:i/>
          <w:szCs w:val="22"/>
        </w:rPr>
        <w:t xml:space="preserve">(NAIC staff notes – This guidance is reflected in the FASB Codification </w:t>
      </w:r>
      <w:r w:rsidR="00246C50">
        <w:rPr>
          <w:rFonts w:cs="Arial"/>
          <w:i/>
          <w:szCs w:val="22"/>
        </w:rPr>
        <w:t>in</w:t>
      </w:r>
      <w:r w:rsidR="00246C50" w:rsidRPr="00246C50">
        <w:rPr>
          <w:rFonts w:cs="Arial"/>
          <w:i/>
          <w:szCs w:val="22"/>
        </w:rPr>
        <w:t xml:space="preserve"> ASC 323-10-35 regarding equity method losses.)</w:t>
      </w:r>
      <w:r w:rsidR="00246C50">
        <w:rPr>
          <w:rFonts w:cs="Arial"/>
          <w:szCs w:val="22"/>
        </w:rPr>
        <w:t xml:space="preserve"> </w:t>
      </w:r>
    </w:p>
    <w:p w14:paraId="0AFD0D29" w14:textId="77777777" w:rsidR="00320151" w:rsidRDefault="00320151" w:rsidP="00320151">
      <w:pPr>
        <w:pStyle w:val="ListParagraph"/>
        <w:ind w:left="0"/>
        <w:jc w:val="both"/>
        <w:rPr>
          <w:rFonts w:cs="Arial"/>
          <w:szCs w:val="22"/>
        </w:rPr>
      </w:pPr>
    </w:p>
    <w:p w14:paraId="28EE9FD5" w14:textId="77777777" w:rsidR="00E76532" w:rsidRDefault="000634EE">
      <w:pPr>
        <w:jc w:val="both"/>
        <w:rPr>
          <w:b/>
          <w:bCs/>
          <w:sz w:val="22"/>
        </w:rPr>
      </w:pPr>
      <w:r w:rsidRPr="000E12C6">
        <w:rPr>
          <w:b/>
          <w:bCs/>
          <w:sz w:val="22"/>
        </w:rPr>
        <w:t>Existing Authoritative Literature:</w:t>
      </w:r>
      <w:r w:rsidR="00FD4B95" w:rsidRPr="000E12C6">
        <w:rPr>
          <w:b/>
          <w:bCs/>
          <w:sz w:val="22"/>
        </w:rPr>
        <w:t xml:space="preserve"> </w:t>
      </w:r>
    </w:p>
    <w:p w14:paraId="65768239" w14:textId="77777777" w:rsidR="0062689D" w:rsidRDefault="0062689D">
      <w:pPr>
        <w:jc w:val="both"/>
        <w:rPr>
          <w:b/>
          <w:bCs/>
          <w:sz w:val="22"/>
        </w:rPr>
      </w:pPr>
    </w:p>
    <w:p w14:paraId="0E6EA85D" w14:textId="77777777" w:rsidR="0062689D" w:rsidRPr="0052301E" w:rsidRDefault="0062689D">
      <w:pPr>
        <w:jc w:val="both"/>
        <w:rPr>
          <w:bCs/>
          <w:sz w:val="22"/>
        </w:rPr>
      </w:pPr>
      <w:r w:rsidRPr="0052301E">
        <w:rPr>
          <w:bCs/>
          <w:i/>
          <w:sz w:val="22"/>
        </w:rPr>
        <w:t xml:space="preserve">SSAP No. </w:t>
      </w:r>
      <w:r w:rsidR="009D0C9A">
        <w:rPr>
          <w:bCs/>
          <w:i/>
          <w:sz w:val="22"/>
        </w:rPr>
        <w:t>32</w:t>
      </w:r>
      <w:r w:rsidRPr="0052301E">
        <w:rPr>
          <w:bCs/>
          <w:i/>
          <w:sz w:val="22"/>
        </w:rPr>
        <w:t>—</w:t>
      </w:r>
      <w:r w:rsidR="009D0C9A">
        <w:rPr>
          <w:bCs/>
          <w:i/>
          <w:sz w:val="22"/>
        </w:rPr>
        <w:t xml:space="preserve">Preferred Stock </w:t>
      </w:r>
      <w:r w:rsidRPr="0052301E">
        <w:rPr>
          <w:bCs/>
          <w:sz w:val="22"/>
        </w:rPr>
        <w:t xml:space="preserve"> </w:t>
      </w:r>
      <w:r w:rsidR="009D0C9A">
        <w:rPr>
          <w:bCs/>
          <w:sz w:val="22"/>
        </w:rPr>
        <w:t xml:space="preserve">provides the statutory accounting principles for preferred stock. </w:t>
      </w:r>
      <w:r w:rsidRPr="0052301E">
        <w:rPr>
          <w:bCs/>
          <w:sz w:val="22"/>
        </w:rPr>
        <w:t xml:space="preserve"> </w:t>
      </w:r>
    </w:p>
    <w:p w14:paraId="463DC197" w14:textId="77777777" w:rsidR="0062689D" w:rsidRDefault="0062689D">
      <w:pPr>
        <w:jc w:val="both"/>
        <w:rPr>
          <w:b/>
          <w:bCs/>
          <w:sz w:val="22"/>
        </w:rPr>
      </w:pPr>
    </w:p>
    <w:p w14:paraId="4A389479" w14:textId="77777777" w:rsidR="004B408D" w:rsidRPr="00E30790" w:rsidRDefault="000634EE" w:rsidP="004B408D">
      <w:pPr>
        <w:pStyle w:val="Heading2"/>
        <w:rPr>
          <w:sz w:val="22"/>
          <w:szCs w:val="22"/>
        </w:rPr>
      </w:pPr>
      <w:r w:rsidRPr="0091109E">
        <w:rPr>
          <w:b/>
          <w:sz w:val="22"/>
          <w:szCs w:val="22"/>
        </w:rPr>
        <w:t xml:space="preserve">Activity to Date (issues previously addressed by </w:t>
      </w:r>
      <w:r w:rsidR="003F6960" w:rsidRPr="0091109E">
        <w:rPr>
          <w:b/>
          <w:sz w:val="22"/>
          <w:szCs w:val="22"/>
        </w:rPr>
        <w:t xml:space="preserve">the </w:t>
      </w:r>
      <w:r w:rsidR="00EF4A1B" w:rsidRPr="0091109E">
        <w:rPr>
          <w:b/>
          <w:sz w:val="22"/>
          <w:szCs w:val="22"/>
        </w:rPr>
        <w:t>Working Group</w:t>
      </w:r>
      <w:r w:rsidRPr="0091109E">
        <w:rPr>
          <w:b/>
          <w:sz w:val="22"/>
          <w:szCs w:val="22"/>
        </w:rPr>
        <w:t xml:space="preserve">, Emerging Accounting Issues </w:t>
      </w:r>
      <w:r w:rsidR="00EF4A1B" w:rsidRPr="0091109E">
        <w:rPr>
          <w:b/>
          <w:sz w:val="22"/>
          <w:szCs w:val="22"/>
        </w:rPr>
        <w:t>(E) Working Group</w:t>
      </w:r>
      <w:r w:rsidRPr="0091109E">
        <w:rPr>
          <w:b/>
          <w:sz w:val="22"/>
          <w:szCs w:val="22"/>
        </w:rPr>
        <w:t>, SEC, FASB, other State Departments of Insurance or other NAIC groups):</w:t>
      </w:r>
      <w:r w:rsidR="00FD4B95" w:rsidRPr="0091109E">
        <w:rPr>
          <w:b/>
          <w:sz w:val="22"/>
          <w:szCs w:val="22"/>
        </w:rPr>
        <w:t xml:space="preserve"> </w:t>
      </w:r>
      <w:r w:rsidR="0062689D" w:rsidRPr="0091109E">
        <w:rPr>
          <w:sz w:val="22"/>
          <w:szCs w:val="22"/>
        </w:rPr>
        <w:t>A review of the investment SSAPs, including SSAP No. 3</w:t>
      </w:r>
      <w:r w:rsidR="009D0C9A">
        <w:rPr>
          <w:sz w:val="22"/>
          <w:szCs w:val="22"/>
        </w:rPr>
        <w:t>2</w:t>
      </w:r>
      <w:r w:rsidR="0062689D" w:rsidRPr="0091109E">
        <w:rPr>
          <w:sz w:val="22"/>
          <w:szCs w:val="22"/>
        </w:rPr>
        <w:t xml:space="preserve">, was supported under the </w:t>
      </w:r>
      <w:r w:rsidR="00B4422E" w:rsidRPr="0091109E">
        <w:rPr>
          <w:sz w:val="22"/>
          <w:szCs w:val="22"/>
        </w:rPr>
        <w:t>i</w:t>
      </w:r>
      <w:r w:rsidR="0062689D" w:rsidRPr="0091109E">
        <w:rPr>
          <w:sz w:val="22"/>
          <w:szCs w:val="22"/>
        </w:rPr>
        <w:t xml:space="preserve">nvestment </w:t>
      </w:r>
      <w:r w:rsidR="00B4422E" w:rsidRPr="0091109E">
        <w:rPr>
          <w:sz w:val="22"/>
          <w:szCs w:val="22"/>
        </w:rPr>
        <w:t>c</w:t>
      </w:r>
      <w:r w:rsidR="0062689D" w:rsidRPr="0091109E">
        <w:rPr>
          <w:sz w:val="22"/>
          <w:szCs w:val="22"/>
        </w:rPr>
        <w:t xml:space="preserve">lassification </w:t>
      </w:r>
      <w:r w:rsidR="00B4422E" w:rsidRPr="0091109E">
        <w:rPr>
          <w:sz w:val="22"/>
          <w:szCs w:val="22"/>
        </w:rPr>
        <w:t>p</w:t>
      </w:r>
      <w:r w:rsidR="0062689D" w:rsidRPr="0091109E">
        <w:rPr>
          <w:sz w:val="22"/>
          <w:szCs w:val="22"/>
        </w:rPr>
        <w:t>roject detailed in agenda</w:t>
      </w:r>
      <w:r w:rsidR="0062689D" w:rsidRPr="00E30790">
        <w:rPr>
          <w:sz w:val="22"/>
          <w:szCs w:val="22"/>
        </w:rPr>
        <w:t xml:space="preserve"> item 2013-36. </w:t>
      </w:r>
      <w:r w:rsidR="009D0C9A">
        <w:rPr>
          <w:sz w:val="22"/>
          <w:szCs w:val="22"/>
        </w:rPr>
        <w:t xml:space="preserve">Currently, the Working Group has reviewed and adopted revisions to </w:t>
      </w:r>
      <w:r w:rsidR="009D0C9A" w:rsidRPr="009D0C9A">
        <w:rPr>
          <w:i/>
          <w:sz w:val="22"/>
          <w:szCs w:val="22"/>
        </w:rPr>
        <w:t>SSAP No. 26R—Bonds</w:t>
      </w:r>
      <w:r w:rsidR="009D0C9A">
        <w:rPr>
          <w:sz w:val="22"/>
          <w:szCs w:val="22"/>
        </w:rPr>
        <w:t xml:space="preserve"> and </w:t>
      </w:r>
      <w:r w:rsidR="009D0C9A" w:rsidRPr="009D0C9A">
        <w:rPr>
          <w:i/>
          <w:sz w:val="22"/>
          <w:szCs w:val="22"/>
        </w:rPr>
        <w:t>SSAP No. 30R—Common Stock</w:t>
      </w:r>
      <w:r w:rsidR="009D0C9A">
        <w:rPr>
          <w:sz w:val="22"/>
          <w:szCs w:val="22"/>
        </w:rPr>
        <w:t xml:space="preserve">. </w:t>
      </w:r>
      <w:r w:rsidR="0062689D" w:rsidRPr="00E30790">
        <w:rPr>
          <w:sz w:val="22"/>
          <w:szCs w:val="22"/>
        </w:rPr>
        <w:t xml:space="preserve"> </w:t>
      </w:r>
    </w:p>
    <w:p w14:paraId="77A4BEE5" w14:textId="77777777" w:rsidR="002711FA" w:rsidRPr="00E30790" w:rsidRDefault="002711FA" w:rsidP="002711FA">
      <w:pPr>
        <w:rPr>
          <w:sz w:val="22"/>
          <w:szCs w:val="22"/>
        </w:rPr>
      </w:pPr>
    </w:p>
    <w:p w14:paraId="063C4856" w14:textId="77777777" w:rsidR="000634EE" w:rsidRPr="008E1CE1" w:rsidRDefault="000634EE">
      <w:pPr>
        <w:pStyle w:val="BodyText"/>
        <w:rPr>
          <w:bCs/>
          <w:sz w:val="22"/>
        </w:rPr>
      </w:pPr>
      <w:r>
        <w:rPr>
          <w:b/>
          <w:bCs/>
          <w:sz w:val="22"/>
        </w:rPr>
        <w:t xml:space="preserve">Information or issues (included in </w:t>
      </w:r>
      <w:r>
        <w:rPr>
          <w:b/>
          <w:bCs/>
          <w:i/>
          <w:sz w:val="22"/>
        </w:rPr>
        <w:t>Description of Issue</w:t>
      </w:r>
      <w:r>
        <w:rPr>
          <w:b/>
          <w:bCs/>
          <w:sz w:val="22"/>
        </w:rPr>
        <w:t xml:space="preserve">) not previously contemplated by the </w:t>
      </w:r>
      <w:r w:rsidR="00EF4A1B">
        <w:rPr>
          <w:b/>
          <w:bCs/>
          <w:sz w:val="22"/>
        </w:rPr>
        <w:t>Working Group</w:t>
      </w:r>
      <w:r>
        <w:rPr>
          <w:b/>
          <w:bCs/>
          <w:sz w:val="22"/>
        </w:rPr>
        <w:t>:</w:t>
      </w:r>
      <w:r w:rsidR="008E1CE1">
        <w:rPr>
          <w:b/>
          <w:bCs/>
          <w:sz w:val="22"/>
        </w:rPr>
        <w:t xml:space="preserve">  </w:t>
      </w:r>
      <w:r w:rsidR="00E008E0">
        <w:rPr>
          <w:bCs/>
          <w:sz w:val="22"/>
        </w:rPr>
        <w:t xml:space="preserve">None. </w:t>
      </w:r>
    </w:p>
    <w:p w14:paraId="51AFC982" w14:textId="77777777" w:rsidR="000634EE" w:rsidRDefault="000634EE">
      <w:pPr>
        <w:jc w:val="both"/>
        <w:rPr>
          <w:sz w:val="22"/>
        </w:rPr>
      </w:pPr>
    </w:p>
    <w:p w14:paraId="5FD257E4" w14:textId="77777777" w:rsidR="003B7E8C" w:rsidRDefault="00E008E0">
      <w:pPr>
        <w:pStyle w:val="BodyText2"/>
      </w:pPr>
      <w:r>
        <w:t>Staff Recommendation</w:t>
      </w:r>
      <w:r w:rsidR="000634EE">
        <w:t>:</w:t>
      </w:r>
      <w:r w:rsidR="00730705">
        <w:t xml:space="preserve"> </w:t>
      </w:r>
    </w:p>
    <w:p w14:paraId="2382B39A" w14:textId="0425E7CD" w:rsidR="009D0C9A" w:rsidRPr="009D0C9A" w:rsidRDefault="00BC3C8A" w:rsidP="009D0C9A">
      <w:pPr>
        <w:spacing w:after="220"/>
        <w:jc w:val="both"/>
        <w:rPr>
          <w:bCs/>
          <w:sz w:val="22"/>
        </w:rPr>
      </w:pPr>
      <w:r w:rsidRPr="009D0C9A">
        <w:rPr>
          <w:bCs/>
          <w:sz w:val="22"/>
        </w:rPr>
        <w:t xml:space="preserve">NAIC staff recommends that the Working Group move this item to the active listing, categorized as substantive, </w:t>
      </w:r>
      <w:r w:rsidR="00262FB5" w:rsidRPr="009D0C9A">
        <w:rPr>
          <w:bCs/>
          <w:sz w:val="22"/>
        </w:rPr>
        <w:t xml:space="preserve">with a request to expose the agenda item for comments on suggested </w:t>
      </w:r>
      <w:r w:rsidRPr="009D0C9A">
        <w:rPr>
          <w:bCs/>
          <w:sz w:val="22"/>
        </w:rPr>
        <w:t>actions</w:t>
      </w:r>
      <w:r w:rsidR="00B95B54" w:rsidRPr="009D0C9A">
        <w:rPr>
          <w:bCs/>
          <w:sz w:val="22"/>
        </w:rPr>
        <w:t xml:space="preserve"> / proposals</w:t>
      </w:r>
      <w:r w:rsidR="009D0C9A" w:rsidRPr="009D0C9A">
        <w:rPr>
          <w:bCs/>
          <w:sz w:val="22"/>
        </w:rPr>
        <w:t xml:space="preserve">. </w:t>
      </w:r>
      <w:r w:rsidR="009D0C9A">
        <w:rPr>
          <w:bCs/>
          <w:sz w:val="22"/>
        </w:rPr>
        <w:t>With this exposure, NAIC staff recommends a referral to the Valuation of Securities (E) Task Force with a request for information on preferred stock and the suggested actions. After</w:t>
      </w:r>
      <w:r w:rsidR="009D0C9A" w:rsidRPr="009D0C9A">
        <w:rPr>
          <w:bCs/>
          <w:sz w:val="22"/>
        </w:rPr>
        <w:t xml:space="preserve"> information is received</w:t>
      </w:r>
      <w:r w:rsidR="009D0C9A">
        <w:rPr>
          <w:bCs/>
          <w:sz w:val="22"/>
        </w:rPr>
        <w:t xml:space="preserve"> and assessed</w:t>
      </w:r>
      <w:r w:rsidR="009D0C9A" w:rsidRPr="009D0C9A">
        <w:rPr>
          <w:bCs/>
          <w:sz w:val="22"/>
        </w:rPr>
        <w:t>, NAIC staff will proceed with drafting revisions to SSAP No. 3</w:t>
      </w:r>
      <w:r w:rsidR="004504CE">
        <w:rPr>
          <w:bCs/>
          <w:sz w:val="22"/>
        </w:rPr>
        <w:t>2</w:t>
      </w:r>
      <w:r w:rsidR="009D0C9A" w:rsidRPr="009D0C9A">
        <w:rPr>
          <w:bCs/>
          <w:sz w:val="22"/>
        </w:rPr>
        <w:t xml:space="preserve">, </w:t>
      </w:r>
      <w:r w:rsidR="009D0C9A">
        <w:rPr>
          <w:bCs/>
          <w:sz w:val="22"/>
        </w:rPr>
        <w:t>along with a</w:t>
      </w:r>
      <w:r w:rsidR="009D0C9A" w:rsidRPr="009D0C9A">
        <w:rPr>
          <w:bCs/>
          <w:sz w:val="22"/>
        </w:rPr>
        <w:t xml:space="preserve"> corresponding issue paper</w:t>
      </w:r>
      <w:r w:rsidR="009D0C9A">
        <w:rPr>
          <w:bCs/>
          <w:sz w:val="22"/>
        </w:rPr>
        <w:t xml:space="preserve">, </w:t>
      </w:r>
      <w:r w:rsidR="009D0C9A" w:rsidRPr="009D0C9A">
        <w:rPr>
          <w:bCs/>
          <w:sz w:val="22"/>
        </w:rPr>
        <w:t xml:space="preserve">for subsequent exposure. </w:t>
      </w:r>
    </w:p>
    <w:p w14:paraId="6830D264" w14:textId="77777777" w:rsidR="0041602A" w:rsidRPr="0041602A" w:rsidRDefault="0041602A" w:rsidP="009D0C9A">
      <w:pPr>
        <w:pStyle w:val="BodyText2"/>
        <w:rPr>
          <w:u w:val="single"/>
        </w:rPr>
      </w:pPr>
      <w:r w:rsidRPr="0041602A">
        <w:rPr>
          <w:u w:val="single"/>
        </w:rPr>
        <w:t xml:space="preserve">NAIC staff recommended actions: </w:t>
      </w:r>
    </w:p>
    <w:p w14:paraId="3404300E" w14:textId="77777777" w:rsidR="0041602A" w:rsidRDefault="0041602A" w:rsidP="009D0C9A">
      <w:pPr>
        <w:pStyle w:val="BodyText2"/>
        <w:rPr>
          <w:b w:val="0"/>
        </w:rPr>
      </w:pPr>
    </w:p>
    <w:p w14:paraId="1FB447E1" w14:textId="77777777" w:rsidR="009D0C9A" w:rsidRPr="00972BA4" w:rsidRDefault="009D0C9A" w:rsidP="00212116">
      <w:pPr>
        <w:pStyle w:val="BodyText2"/>
        <w:numPr>
          <w:ilvl w:val="0"/>
          <w:numId w:val="34"/>
        </w:numPr>
        <w:ind w:left="720"/>
        <w:rPr>
          <w:u w:val="single"/>
        </w:rPr>
      </w:pPr>
      <w:r w:rsidRPr="00972BA4">
        <w:rPr>
          <w:u w:val="single"/>
        </w:rPr>
        <w:t xml:space="preserve">Definitions: </w:t>
      </w:r>
    </w:p>
    <w:p w14:paraId="62363E74" w14:textId="77777777" w:rsidR="0041602A" w:rsidRDefault="0041602A" w:rsidP="00212116">
      <w:pPr>
        <w:pStyle w:val="BodyText2"/>
        <w:rPr>
          <w:b w:val="0"/>
        </w:rPr>
      </w:pPr>
    </w:p>
    <w:p w14:paraId="5606DF6D" w14:textId="77777777" w:rsidR="0041602A" w:rsidRPr="00972BA4" w:rsidRDefault="0041602A" w:rsidP="00212116">
      <w:pPr>
        <w:pStyle w:val="BodyText2"/>
        <w:numPr>
          <w:ilvl w:val="0"/>
          <w:numId w:val="35"/>
        </w:numPr>
        <w:ind w:left="1080"/>
        <w:rPr>
          <w:b w:val="0"/>
        </w:rPr>
      </w:pPr>
      <w:r w:rsidRPr="00972BA4">
        <w:rPr>
          <w:b w:val="0"/>
          <w:u w:val="single"/>
        </w:rPr>
        <w:lastRenderedPageBreak/>
        <w:t>Retain, with revisions to mirror FASB terminology, the definitions for redeemable and perpetual preferred stock</w:t>
      </w:r>
      <w:r w:rsidRPr="00972BA4">
        <w:rPr>
          <w:b w:val="0"/>
        </w:rPr>
        <w:t>. These definitions will be used to classify preferred stock for valuation and reporting purposes. With this action, the definition for restricted preferred stock is also proposed to be retaine</w:t>
      </w:r>
      <w:r w:rsidR="0018440F" w:rsidRPr="00972BA4">
        <w:rPr>
          <w:b w:val="0"/>
        </w:rPr>
        <w:t xml:space="preserve">d in the SSAP, with revisions to properly capture </w:t>
      </w:r>
      <w:r w:rsidR="00972BA4" w:rsidRPr="00972BA4">
        <w:rPr>
          <w:b w:val="0"/>
        </w:rPr>
        <w:t>the intent of this definition with current market terms</w:t>
      </w:r>
      <w:r w:rsidRPr="00972BA4">
        <w:rPr>
          <w:b w:val="0"/>
        </w:rPr>
        <w:t xml:space="preserve">. </w:t>
      </w:r>
    </w:p>
    <w:p w14:paraId="60B63907" w14:textId="77777777" w:rsidR="0041602A" w:rsidRPr="00972BA4" w:rsidRDefault="0041602A" w:rsidP="00212116">
      <w:pPr>
        <w:pStyle w:val="BodyText2"/>
        <w:ind w:left="1080" w:hanging="360"/>
        <w:rPr>
          <w:b w:val="0"/>
        </w:rPr>
      </w:pPr>
    </w:p>
    <w:p w14:paraId="49B6B8FA" w14:textId="77777777" w:rsidR="0041602A" w:rsidRPr="00972BA4" w:rsidRDefault="0041602A" w:rsidP="00212116">
      <w:pPr>
        <w:pStyle w:val="BodyText2"/>
        <w:numPr>
          <w:ilvl w:val="0"/>
          <w:numId w:val="35"/>
        </w:numPr>
        <w:ind w:left="1080"/>
        <w:rPr>
          <w:b w:val="0"/>
        </w:rPr>
      </w:pPr>
      <w:r w:rsidRPr="00972BA4">
        <w:rPr>
          <w:b w:val="0"/>
          <w:u w:val="single"/>
        </w:rPr>
        <w:t>Delete existing definitions for mandatory sinking fund preferred stock, payment-in-kind (PIK) preferred stock and step-up preferred stock</w:t>
      </w:r>
      <w:r w:rsidRPr="00972BA4">
        <w:rPr>
          <w:b w:val="0"/>
        </w:rPr>
        <w:t xml:space="preserve">. If preferred, revised terms to identify various elements of preferred stock may be considered for inclusion in a SSAP No. 32 glossary, but as these terms do not impact valuation or reporting, </w:t>
      </w:r>
      <w:r w:rsidR="00972BA4" w:rsidRPr="00972BA4">
        <w:rPr>
          <w:b w:val="0"/>
        </w:rPr>
        <w:t xml:space="preserve">NAIC staff proposes to </w:t>
      </w:r>
      <w:r w:rsidRPr="00972BA4">
        <w:rPr>
          <w:b w:val="0"/>
        </w:rPr>
        <w:t>eliminate</w:t>
      </w:r>
      <w:r w:rsidR="00972BA4" w:rsidRPr="00972BA4">
        <w:rPr>
          <w:b w:val="0"/>
        </w:rPr>
        <w:t xml:space="preserve"> these terms</w:t>
      </w:r>
      <w:r w:rsidRPr="00972BA4">
        <w:rPr>
          <w:b w:val="0"/>
        </w:rPr>
        <w:t xml:space="preserve"> from the SSAP. If terms are retained in a glossary, it is proposed that they be revised to reflect current market terminology. </w:t>
      </w:r>
      <w:r w:rsidR="000F1465">
        <w:rPr>
          <w:b w:val="0"/>
        </w:rPr>
        <w:t xml:space="preserve">If terms will be retained, NAIC staff requests comments on additional terms that should be captured. </w:t>
      </w:r>
    </w:p>
    <w:p w14:paraId="01E33D32" w14:textId="77777777" w:rsidR="0041602A" w:rsidRPr="00972BA4" w:rsidRDefault="0041602A" w:rsidP="00212116">
      <w:pPr>
        <w:pStyle w:val="ListParagraph"/>
        <w:ind w:left="1080" w:hanging="360"/>
      </w:pPr>
    </w:p>
    <w:p w14:paraId="05AF49A3" w14:textId="77777777" w:rsidR="0041602A" w:rsidRDefault="0041602A" w:rsidP="00212116">
      <w:pPr>
        <w:pStyle w:val="BodyText2"/>
        <w:numPr>
          <w:ilvl w:val="0"/>
          <w:numId w:val="35"/>
        </w:numPr>
        <w:ind w:left="1080"/>
        <w:rPr>
          <w:b w:val="0"/>
        </w:rPr>
      </w:pPr>
      <w:r w:rsidRPr="00972BA4">
        <w:rPr>
          <w:b w:val="0"/>
          <w:u w:val="single"/>
        </w:rPr>
        <w:t>Incorporate new guidance to define, and provide accounting guidance for mandatory convertible preferred stock</w:t>
      </w:r>
      <w:r w:rsidRPr="00972BA4">
        <w:rPr>
          <w:b w:val="0"/>
        </w:rPr>
        <w:t xml:space="preserve">. This guidance is proposed to mirror the mandatory convertible guidance in </w:t>
      </w:r>
      <w:r w:rsidRPr="00972BA4">
        <w:rPr>
          <w:b w:val="0"/>
          <w:i/>
        </w:rPr>
        <w:t>SSAP No. 26R—Bonds</w:t>
      </w:r>
      <w:r w:rsidRPr="00972BA4">
        <w:rPr>
          <w:b w:val="0"/>
        </w:rPr>
        <w:t>. With that approach, the reported value shall be equal to, or less than, the valuation that</w:t>
      </w:r>
      <w:r>
        <w:rPr>
          <w:b w:val="0"/>
        </w:rPr>
        <w:t xml:space="preserve"> will be required upon mandatory conversion. (For example, if redeemable preferred stock is mandatorily convertible to common stock, the value shall be the lower of amortized cost or fair value.) </w:t>
      </w:r>
    </w:p>
    <w:p w14:paraId="30A8949C" w14:textId="77777777" w:rsidR="009D0C9A" w:rsidRDefault="009D0C9A" w:rsidP="009D0C9A">
      <w:pPr>
        <w:pStyle w:val="BodyText2"/>
        <w:rPr>
          <w:b w:val="0"/>
        </w:rPr>
      </w:pPr>
    </w:p>
    <w:p w14:paraId="4E59FD74" w14:textId="77777777" w:rsidR="0041602A" w:rsidRPr="00972BA4" w:rsidRDefault="00212116" w:rsidP="00212116">
      <w:pPr>
        <w:pStyle w:val="BodyText2"/>
        <w:numPr>
          <w:ilvl w:val="0"/>
          <w:numId w:val="34"/>
        </w:numPr>
        <w:ind w:left="720"/>
        <w:rPr>
          <w:u w:val="single"/>
        </w:rPr>
      </w:pPr>
      <w:r w:rsidRPr="00972BA4">
        <w:rPr>
          <w:u w:val="single"/>
        </w:rPr>
        <w:t xml:space="preserve">Accounting and Valuation Guidance: </w:t>
      </w:r>
    </w:p>
    <w:p w14:paraId="6D5D1F18" w14:textId="77777777" w:rsidR="0041602A" w:rsidRDefault="0041602A" w:rsidP="009D0C9A">
      <w:pPr>
        <w:pStyle w:val="BodyText2"/>
        <w:rPr>
          <w:b w:val="0"/>
        </w:rPr>
      </w:pPr>
    </w:p>
    <w:p w14:paraId="287EDD0C" w14:textId="77777777" w:rsidR="00212116" w:rsidRPr="00972BA4" w:rsidRDefault="00212116" w:rsidP="007167AC">
      <w:pPr>
        <w:pStyle w:val="BodyText2"/>
        <w:numPr>
          <w:ilvl w:val="0"/>
          <w:numId w:val="36"/>
        </w:numPr>
        <w:ind w:left="1080"/>
        <w:rPr>
          <w:b w:val="0"/>
        </w:rPr>
      </w:pPr>
      <w:r w:rsidRPr="00972BA4">
        <w:rPr>
          <w:b w:val="0"/>
          <w:u w:val="single"/>
        </w:rPr>
        <w:t xml:space="preserve">Delete all references to “cost” as a measurement method. </w:t>
      </w:r>
      <w:r w:rsidRPr="00972BA4">
        <w:rPr>
          <w:b w:val="0"/>
        </w:rPr>
        <w:t>Redeemable preferred stock shall be reported at amortized cost, or the lower of amortized cost or fair value depending on NAIC designation. (</w:t>
      </w:r>
      <w:r w:rsidR="00972BA4" w:rsidRPr="00972BA4">
        <w:rPr>
          <w:b w:val="0"/>
        </w:rPr>
        <w:t>It is proposed that the e</w:t>
      </w:r>
      <w:r w:rsidRPr="00972BA4">
        <w:rPr>
          <w:b w:val="0"/>
        </w:rPr>
        <w:t>xisting NAIC designations allocations will be retained.) Perpetual preferred stock shall be reported at fair value.</w:t>
      </w:r>
      <w:r w:rsidRPr="00972BA4">
        <w:rPr>
          <w:b w:val="0"/>
          <w:u w:val="single"/>
        </w:rPr>
        <w:t xml:space="preserve"> </w:t>
      </w:r>
    </w:p>
    <w:p w14:paraId="25F2DC9E" w14:textId="77777777" w:rsidR="00212116" w:rsidRPr="00972BA4" w:rsidRDefault="00212116" w:rsidP="00212116">
      <w:pPr>
        <w:pStyle w:val="BodyText2"/>
        <w:ind w:left="1080"/>
        <w:rPr>
          <w:b w:val="0"/>
        </w:rPr>
      </w:pPr>
    </w:p>
    <w:p w14:paraId="71066945" w14:textId="77777777" w:rsidR="00212116" w:rsidRPr="00972BA4" w:rsidRDefault="00212116" w:rsidP="007167AC">
      <w:pPr>
        <w:pStyle w:val="BodyText2"/>
        <w:numPr>
          <w:ilvl w:val="0"/>
          <w:numId w:val="36"/>
        </w:numPr>
        <w:ind w:left="1080"/>
        <w:rPr>
          <w:b w:val="0"/>
        </w:rPr>
      </w:pPr>
      <w:r w:rsidRPr="00972BA4">
        <w:rPr>
          <w:b w:val="0"/>
          <w:u w:val="single"/>
        </w:rPr>
        <w:t>Incorporate new guidance to account for mandatory convertible redeemable preferred stock</w:t>
      </w:r>
      <w:r w:rsidR="000F1465">
        <w:rPr>
          <w:b w:val="0"/>
          <w:u w:val="single"/>
        </w:rPr>
        <w:t xml:space="preserve">. </w:t>
      </w:r>
      <w:r w:rsidR="000F1465" w:rsidRPr="000F1465">
        <w:rPr>
          <w:b w:val="0"/>
        </w:rPr>
        <w:t xml:space="preserve">Similar to the guidance for mandatory convertible bonds, this is proposed to reflect </w:t>
      </w:r>
      <w:r w:rsidRPr="000F1465">
        <w:rPr>
          <w:b w:val="0"/>
        </w:rPr>
        <w:t>the lower of amortized cost or fair value</w:t>
      </w:r>
      <w:r w:rsidR="000F1465" w:rsidRPr="000F1465">
        <w:rPr>
          <w:b w:val="0"/>
        </w:rPr>
        <w:t xml:space="preserve"> without impact </w:t>
      </w:r>
      <w:r w:rsidR="000F1465">
        <w:rPr>
          <w:b w:val="0"/>
        </w:rPr>
        <w:t>by</w:t>
      </w:r>
      <w:r w:rsidR="000F1465" w:rsidRPr="000F1465">
        <w:rPr>
          <w:b w:val="0"/>
        </w:rPr>
        <w:t xml:space="preserve"> an NAIC designation. </w:t>
      </w:r>
    </w:p>
    <w:p w14:paraId="1E016E09" w14:textId="77777777" w:rsidR="0041602A" w:rsidRPr="00972BA4" w:rsidRDefault="0041602A" w:rsidP="009D0C9A">
      <w:pPr>
        <w:pStyle w:val="BodyText2"/>
        <w:rPr>
          <w:b w:val="0"/>
        </w:rPr>
      </w:pPr>
    </w:p>
    <w:p w14:paraId="37E70D63" w14:textId="77777777" w:rsidR="00212116" w:rsidRPr="00972BA4" w:rsidRDefault="00212116" w:rsidP="00212116">
      <w:pPr>
        <w:pStyle w:val="BodyText2"/>
        <w:numPr>
          <w:ilvl w:val="0"/>
          <w:numId w:val="34"/>
        </w:numPr>
        <w:tabs>
          <w:tab w:val="left" w:pos="900"/>
        </w:tabs>
        <w:ind w:left="720"/>
        <w:rPr>
          <w:u w:val="single"/>
        </w:rPr>
      </w:pPr>
      <w:r w:rsidRPr="00972BA4">
        <w:rPr>
          <w:u w:val="single"/>
        </w:rPr>
        <w:t>Dividend Guidance and the Impact on Impairment Guidance</w:t>
      </w:r>
    </w:p>
    <w:p w14:paraId="35F958B2" w14:textId="77777777" w:rsidR="00212116" w:rsidRDefault="00212116" w:rsidP="009D0C9A">
      <w:pPr>
        <w:pStyle w:val="BodyText2"/>
        <w:rPr>
          <w:b w:val="0"/>
        </w:rPr>
      </w:pPr>
    </w:p>
    <w:p w14:paraId="39CC7450" w14:textId="77777777" w:rsidR="00212116" w:rsidRPr="00972BA4" w:rsidRDefault="00212116" w:rsidP="00212116">
      <w:pPr>
        <w:pStyle w:val="BodyText2"/>
        <w:numPr>
          <w:ilvl w:val="0"/>
          <w:numId w:val="37"/>
        </w:numPr>
        <w:ind w:left="1080"/>
        <w:rPr>
          <w:b w:val="0"/>
        </w:rPr>
      </w:pPr>
      <w:r w:rsidRPr="00972BA4">
        <w:rPr>
          <w:b w:val="0"/>
          <w:u w:val="single"/>
        </w:rPr>
        <w:t xml:space="preserve">Incorporate </w:t>
      </w:r>
      <w:r w:rsidR="00972BA4">
        <w:rPr>
          <w:b w:val="0"/>
          <w:u w:val="single"/>
        </w:rPr>
        <w:t>revisions</w:t>
      </w:r>
      <w:r w:rsidRPr="00972BA4">
        <w:rPr>
          <w:b w:val="0"/>
          <w:u w:val="single"/>
        </w:rPr>
        <w:t xml:space="preserve"> to clarify the reporting of PIK dividends</w:t>
      </w:r>
      <w:r w:rsidR="00CB2235">
        <w:rPr>
          <w:b w:val="0"/>
          <w:u w:val="single"/>
        </w:rPr>
        <w:t xml:space="preserve"> and PIK interest</w:t>
      </w:r>
      <w:r w:rsidRPr="00972BA4">
        <w:rPr>
          <w:b w:val="0"/>
          <w:u w:val="single"/>
        </w:rPr>
        <w:t xml:space="preserve">. </w:t>
      </w:r>
      <w:r w:rsidR="000F1465" w:rsidRPr="000F1465">
        <w:rPr>
          <w:b w:val="0"/>
        </w:rPr>
        <w:t xml:space="preserve">This guidance </w:t>
      </w:r>
      <w:r w:rsidR="000F1465">
        <w:rPr>
          <w:b w:val="0"/>
        </w:rPr>
        <w:t xml:space="preserve">is proposed to </w:t>
      </w:r>
      <w:r w:rsidR="000F1465" w:rsidRPr="000F1465">
        <w:rPr>
          <w:b w:val="0"/>
        </w:rPr>
        <w:t>direct recognition of dividends</w:t>
      </w:r>
      <w:r w:rsidR="00CB2235">
        <w:rPr>
          <w:b w:val="0"/>
        </w:rPr>
        <w:t xml:space="preserve"> and interest</w:t>
      </w:r>
      <w:r w:rsidR="000F1465" w:rsidRPr="000F1465">
        <w:rPr>
          <w:b w:val="0"/>
        </w:rPr>
        <w:t xml:space="preserve"> </w:t>
      </w:r>
      <w:r w:rsidR="000F1465">
        <w:rPr>
          <w:b w:val="0"/>
        </w:rPr>
        <w:t>pursuant to the nature of the item</w:t>
      </w:r>
      <w:r w:rsidR="000F1465" w:rsidRPr="000F1465">
        <w:rPr>
          <w:b w:val="0"/>
        </w:rPr>
        <w:t xml:space="preserve"> received. (For example, common stock dividends would be captured under SSAP No. 30.) A reduction of investment would only occur if consideration received was intended to reduce the preferred stock investment. </w:t>
      </w:r>
    </w:p>
    <w:p w14:paraId="7396FE1F" w14:textId="77777777" w:rsidR="00212116" w:rsidRPr="00972BA4" w:rsidRDefault="00212116" w:rsidP="00212116">
      <w:pPr>
        <w:pStyle w:val="BodyText2"/>
        <w:ind w:left="1080" w:hanging="360"/>
        <w:rPr>
          <w:b w:val="0"/>
        </w:rPr>
      </w:pPr>
    </w:p>
    <w:p w14:paraId="029FDC08" w14:textId="77777777" w:rsidR="00212116" w:rsidRPr="00972BA4" w:rsidRDefault="00212116" w:rsidP="00212116">
      <w:pPr>
        <w:pStyle w:val="BodyText2"/>
        <w:numPr>
          <w:ilvl w:val="0"/>
          <w:numId w:val="37"/>
        </w:numPr>
        <w:ind w:left="1080"/>
        <w:rPr>
          <w:b w:val="0"/>
        </w:rPr>
      </w:pPr>
      <w:r w:rsidRPr="00972BA4">
        <w:rPr>
          <w:b w:val="0"/>
          <w:u w:val="single"/>
        </w:rPr>
        <w:t>Clarify OTTI</w:t>
      </w:r>
      <w:r w:rsidR="007167AC" w:rsidRPr="00972BA4">
        <w:rPr>
          <w:b w:val="0"/>
          <w:u w:val="single"/>
        </w:rPr>
        <w:t xml:space="preserve"> assessment when </w:t>
      </w:r>
      <w:r w:rsidR="007B1EB5" w:rsidRPr="00972BA4">
        <w:rPr>
          <w:b w:val="0"/>
          <w:u w:val="single"/>
        </w:rPr>
        <w:t>dividends for redeemable preferred stock are not r</w:t>
      </w:r>
      <w:r w:rsidR="00972BA4">
        <w:rPr>
          <w:b w:val="0"/>
          <w:u w:val="single"/>
        </w:rPr>
        <w:t>eceived, or when other redemption protections (e.g., sinking fund deposits) are not met by an issuer</w:t>
      </w:r>
      <w:r w:rsidR="007B1EB5" w:rsidRPr="00972BA4">
        <w:rPr>
          <w:b w:val="0"/>
          <w:u w:val="single"/>
        </w:rPr>
        <w:t xml:space="preserve">. </w:t>
      </w:r>
    </w:p>
    <w:p w14:paraId="49C8E09E" w14:textId="77777777" w:rsidR="0041602A" w:rsidRPr="00972BA4" w:rsidRDefault="0041602A" w:rsidP="009D0C9A">
      <w:pPr>
        <w:pStyle w:val="BodyText2"/>
        <w:rPr>
          <w:b w:val="0"/>
        </w:rPr>
      </w:pPr>
    </w:p>
    <w:p w14:paraId="3A5DF2B4" w14:textId="77777777" w:rsidR="007B1EB5" w:rsidRPr="00972BA4" w:rsidRDefault="007B1EB5" w:rsidP="007B1EB5">
      <w:pPr>
        <w:pStyle w:val="BodyText2"/>
        <w:numPr>
          <w:ilvl w:val="0"/>
          <w:numId w:val="34"/>
        </w:numPr>
        <w:tabs>
          <w:tab w:val="left" w:pos="900"/>
        </w:tabs>
        <w:ind w:left="720"/>
        <w:rPr>
          <w:u w:val="single"/>
        </w:rPr>
      </w:pPr>
      <w:r w:rsidRPr="00972BA4">
        <w:rPr>
          <w:rFonts w:cs="Arial"/>
          <w:szCs w:val="22"/>
          <w:u w:val="single"/>
        </w:rPr>
        <w:t xml:space="preserve">Clarify application of SSAP No. 32 </w:t>
      </w:r>
      <w:r w:rsidR="00D441BE">
        <w:rPr>
          <w:rFonts w:cs="Arial"/>
          <w:szCs w:val="22"/>
          <w:u w:val="single"/>
        </w:rPr>
        <w:t xml:space="preserve">in </w:t>
      </w:r>
      <w:r w:rsidRPr="00972BA4">
        <w:rPr>
          <w:rFonts w:cs="Arial"/>
          <w:szCs w:val="22"/>
          <w:u w:val="single"/>
        </w:rPr>
        <w:t>conjunction with SSAP No. 48 and SSAP No. 97</w:t>
      </w:r>
    </w:p>
    <w:p w14:paraId="4134C40C" w14:textId="77777777" w:rsidR="007B1EB5" w:rsidRDefault="007B1EB5" w:rsidP="007B1EB5">
      <w:pPr>
        <w:pStyle w:val="BodyText2"/>
        <w:tabs>
          <w:tab w:val="left" w:pos="900"/>
        </w:tabs>
        <w:ind w:left="720"/>
        <w:rPr>
          <w:b w:val="0"/>
        </w:rPr>
      </w:pPr>
    </w:p>
    <w:p w14:paraId="2051E657" w14:textId="77777777" w:rsidR="007B1EB5" w:rsidRPr="00972BA4" w:rsidRDefault="007B1EB5" w:rsidP="007B1EB5">
      <w:pPr>
        <w:pStyle w:val="BodyText2"/>
        <w:numPr>
          <w:ilvl w:val="0"/>
          <w:numId w:val="38"/>
        </w:numPr>
        <w:rPr>
          <w:b w:val="0"/>
          <w:u w:val="single"/>
        </w:rPr>
      </w:pPr>
      <w:r w:rsidRPr="00972BA4">
        <w:rPr>
          <w:b w:val="0"/>
          <w:u w:val="single"/>
        </w:rPr>
        <w:t>Clarify that preferred stock held issued by a SSAP No. 48 entity is in scope of SSAP No. 32.</w:t>
      </w:r>
    </w:p>
    <w:p w14:paraId="00FE5341" w14:textId="77777777" w:rsidR="007B1EB5" w:rsidRPr="00972BA4" w:rsidRDefault="007B1EB5" w:rsidP="007B1EB5">
      <w:pPr>
        <w:pStyle w:val="BodyText2"/>
        <w:ind w:left="1080" w:hanging="360"/>
        <w:rPr>
          <w:b w:val="0"/>
          <w:u w:val="single"/>
        </w:rPr>
      </w:pPr>
    </w:p>
    <w:p w14:paraId="37CC8834" w14:textId="77777777" w:rsidR="007B1EB5" w:rsidRPr="00972BA4" w:rsidRDefault="007B1EB5" w:rsidP="007B1EB5">
      <w:pPr>
        <w:pStyle w:val="BodyText2"/>
        <w:numPr>
          <w:ilvl w:val="0"/>
          <w:numId w:val="38"/>
        </w:numPr>
        <w:rPr>
          <w:b w:val="0"/>
          <w:u w:val="single"/>
        </w:rPr>
      </w:pPr>
      <w:r w:rsidRPr="00972BA4">
        <w:rPr>
          <w:b w:val="0"/>
          <w:u w:val="single"/>
        </w:rPr>
        <w:t xml:space="preserve">Incorporate guidance / references to clarify the measurement and reporting of preferred stock held from an SCA pursuant to </w:t>
      </w:r>
      <w:r w:rsidR="00972BA4">
        <w:rPr>
          <w:b w:val="0"/>
          <w:u w:val="single"/>
        </w:rPr>
        <w:t xml:space="preserve">guidance in </w:t>
      </w:r>
      <w:r w:rsidRPr="00972BA4">
        <w:rPr>
          <w:b w:val="0"/>
          <w:u w:val="single"/>
        </w:rPr>
        <w:t xml:space="preserve">SSAP No. 97 and INT 00-24. </w:t>
      </w:r>
      <w:r w:rsidR="000F1465" w:rsidRPr="000F1465">
        <w:rPr>
          <w:b w:val="0"/>
        </w:rPr>
        <w:t>As detail</w:t>
      </w:r>
      <w:r w:rsidR="000F1465">
        <w:rPr>
          <w:b w:val="0"/>
        </w:rPr>
        <w:t>ed</w:t>
      </w:r>
      <w:r w:rsidR="000F1465" w:rsidRPr="000F1465">
        <w:rPr>
          <w:b w:val="0"/>
        </w:rPr>
        <w:t xml:space="preserve">, </w:t>
      </w:r>
      <w:r w:rsidR="000F1465">
        <w:rPr>
          <w:b w:val="0"/>
        </w:rPr>
        <w:t xml:space="preserve">INT 00-24 </w:t>
      </w:r>
      <w:r w:rsidR="000F1465" w:rsidRPr="000F1465">
        <w:rPr>
          <w:b w:val="0"/>
        </w:rPr>
        <w:t xml:space="preserve">requires a reduction in a preferred stock investment of an SCA once the equity basis of a common stock investment reaches zero. </w:t>
      </w:r>
    </w:p>
    <w:p w14:paraId="3C921772" w14:textId="77777777" w:rsidR="007B1EB5" w:rsidRPr="00972BA4" w:rsidRDefault="007B1EB5" w:rsidP="009D0C9A">
      <w:pPr>
        <w:pStyle w:val="BodyText2"/>
        <w:rPr>
          <w:b w:val="0"/>
          <w:u w:val="single"/>
        </w:rPr>
      </w:pPr>
    </w:p>
    <w:p w14:paraId="4B9A4C93" w14:textId="1B965DC5" w:rsidR="00B70CB2" w:rsidRDefault="001910A6" w:rsidP="007B1EB5">
      <w:pPr>
        <w:pStyle w:val="BodyText2"/>
        <w:ind w:left="720" w:hanging="720"/>
      </w:pPr>
      <w:r>
        <w:t xml:space="preserve">Staff Review Completed by: Julie Gann – </w:t>
      </w:r>
      <w:r w:rsidR="007B1EB5">
        <w:t>February 2019</w:t>
      </w:r>
    </w:p>
    <w:p w14:paraId="7298057C" w14:textId="4D176BB8" w:rsidR="00045315" w:rsidRDefault="00045315" w:rsidP="007B1EB5">
      <w:pPr>
        <w:pStyle w:val="BodyText2"/>
        <w:ind w:left="720" w:hanging="720"/>
      </w:pPr>
    </w:p>
    <w:p w14:paraId="168C4D7C" w14:textId="1F854725" w:rsidR="00045315" w:rsidRDefault="00045315" w:rsidP="007B1EB5">
      <w:pPr>
        <w:pStyle w:val="BodyText2"/>
        <w:ind w:left="720" w:hanging="720"/>
      </w:pPr>
    </w:p>
    <w:p w14:paraId="570719A7" w14:textId="466FF2E2" w:rsidR="00045315" w:rsidRDefault="00045315" w:rsidP="007B1EB5">
      <w:pPr>
        <w:pStyle w:val="BodyText2"/>
        <w:ind w:left="720" w:hanging="720"/>
      </w:pPr>
    </w:p>
    <w:p w14:paraId="4FC5B26D" w14:textId="77777777" w:rsidR="00045315" w:rsidRDefault="00045315" w:rsidP="007B1EB5">
      <w:pPr>
        <w:pStyle w:val="BodyText2"/>
        <w:ind w:left="720" w:hanging="720"/>
      </w:pPr>
    </w:p>
    <w:p w14:paraId="20D0A986" w14:textId="77777777" w:rsidR="00201D96" w:rsidRPr="002A2253" w:rsidRDefault="00201D96" w:rsidP="00201D96">
      <w:pPr>
        <w:pStyle w:val="BodyText2"/>
        <w:rPr>
          <w:b w:val="0"/>
          <w:szCs w:val="22"/>
        </w:rPr>
      </w:pPr>
      <w:r w:rsidRPr="002A2253">
        <w:rPr>
          <w:szCs w:val="22"/>
        </w:rPr>
        <w:lastRenderedPageBreak/>
        <w:t>Status:</w:t>
      </w:r>
    </w:p>
    <w:p w14:paraId="00042D29" w14:textId="4269E1EA" w:rsidR="006C5FE3" w:rsidRDefault="00201D96" w:rsidP="00EE2DCD">
      <w:pPr>
        <w:jc w:val="both"/>
        <w:rPr>
          <w:sz w:val="22"/>
          <w:szCs w:val="22"/>
        </w:rPr>
      </w:pPr>
      <w:r w:rsidRPr="002A2253">
        <w:rPr>
          <w:sz w:val="22"/>
          <w:szCs w:val="22"/>
        </w:rPr>
        <w:t xml:space="preserve">On April 6, 2019, the Statutory Accounting Principles (E) Working Group moved this item to the active listing, categorized as substantive, and </w:t>
      </w:r>
      <w:r w:rsidR="00045315">
        <w:rPr>
          <w:sz w:val="22"/>
          <w:szCs w:val="22"/>
        </w:rPr>
        <w:t xml:space="preserve">directed NAIC staff to draft revisions to SSAP No. 32 for subsequent exposure. A referral to the Valuation of Securities (E) Task Force to review the proposed edits will occur when exposed. </w:t>
      </w:r>
      <w:r w:rsidR="002A2253" w:rsidRPr="002A2253">
        <w:rPr>
          <w:sz w:val="22"/>
          <w:szCs w:val="22"/>
        </w:rPr>
        <w:t xml:space="preserve"> </w:t>
      </w:r>
    </w:p>
    <w:p w14:paraId="730CAA3E" w14:textId="47EBFD5E" w:rsidR="00C750EB" w:rsidRDefault="00C750EB" w:rsidP="00EE2DCD">
      <w:pPr>
        <w:jc w:val="both"/>
        <w:rPr>
          <w:sz w:val="22"/>
          <w:szCs w:val="22"/>
        </w:rPr>
      </w:pPr>
    </w:p>
    <w:p w14:paraId="4363C7E7" w14:textId="33305E3D" w:rsidR="00C750EB" w:rsidRDefault="00C750EB" w:rsidP="00EE2DCD">
      <w:pPr>
        <w:jc w:val="both"/>
        <w:rPr>
          <w:sz w:val="22"/>
          <w:szCs w:val="22"/>
        </w:rPr>
      </w:pPr>
      <w:r>
        <w:rPr>
          <w:sz w:val="22"/>
          <w:szCs w:val="22"/>
        </w:rPr>
        <w:t xml:space="preserve">On August 3, 2019, the Statutory Accounting Principles (E) Working Group exposed </w:t>
      </w:r>
      <w:r w:rsidRPr="00A308BF">
        <w:rPr>
          <w:i/>
          <w:iCs/>
          <w:sz w:val="22"/>
          <w:szCs w:val="22"/>
        </w:rPr>
        <w:t>Issue Paper</w:t>
      </w:r>
      <w:r w:rsidRPr="00850D58">
        <w:rPr>
          <w:i/>
          <w:iCs/>
          <w:sz w:val="22"/>
          <w:szCs w:val="22"/>
        </w:rPr>
        <w:t xml:space="preserve"> </w:t>
      </w:r>
      <w:r w:rsidR="00A308BF" w:rsidRPr="00850D58">
        <w:rPr>
          <w:i/>
          <w:iCs/>
          <w:sz w:val="22"/>
          <w:szCs w:val="22"/>
        </w:rPr>
        <w:t xml:space="preserve">No. </w:t>
      </w:r>
      <w:r w:rsidR="00850D58" w:rsidRPr="00850D58">
        <w:rPr>
          <w:i/>
          <w:iCs/>
          <w:sz w:val="22"/>
          <w:szCs w:val="22"/>
        </w:rPr>
        <w:t>1</w:t>
      </w:r>
      <w:r w:rsidR="00C60BF6">
        <w:rPr>
          <w:i/>
          <w:iCs/>
          <w:sz w:val="22"/>
          <w:szCs w:val="22"/>
        </w:rPr>
        <w:t>X</w:t>
      </w:r>
      <w:r w:rsidR="00850D58" w:rsidRPr="00850D58">
        <w:rPr>
          <w:i/>
          <w:iCs/>
          <w:sz w:val="22"/>
          <w:szCs w:val="22"/>
        </w:rPr>
        <w:t>X</w:t>
      </w:r>
      <w:r w:rsidR="00A308BF" w:rsidRPr="00850D58">
        <w:rPr>
          <w:i/>
          <w:iCs/>
          <w:sz w:val="22"/>
          <w:szCs w:val="22"/>
        </w:rPr>
        <w:t>—</w:t>
      </w:r>
      <w:r w:rsidR="00850D58" w:rsidRPr="00850D58">
        <w:rPr>
          <w:i/>
          <w:iCs/>
          <w:sz w:val="22"/>
          <w:szCs w:val="22"/>
        </w:rPr>
        <w:t>Preferred Stock</w:t>
      </w:r>
      <w:r w:rsidR="00A308BF">
        <w:rPr>
          <w:sz w:val="22"/>
          <w:szCs w:val="22"/>
        </w:rPr>
        <w:t xml:space="preserve"> </w:t>
      </w:r>
      <w:r>
        <w:rPr>
          <w:sz w:val="22"/>
          <w:szCs w:val="22"/>
        </w:rPr>
        <w:t xml:space="preserve">to revise the definitions, measurement guidance and impairment guidance for preferred stock pursuant to the investment classification project. </w:t>
      </w:r>
    </w:p>
    <w:p w14:paraId="619C08A6" w14:textId="3A04B4E0" w:rsidR="004C2FC5" w:rsidRDefault="004C2FC5" w:rsidP="00EE2DCD">
      <w:pPr>
        <w:jc w:val="both"/>
        <w:rPr>
          <w:sz w:val="22"/>
          <w:szCs w:val="22"/>
        </w:rPr>
      </w:pPr>
    </w:p>
    <w:p w14:paraId="619BD6C8" w14:textId="6A32F879" w:rsidR="004C2FC5" w:rsidRDefault="004C2FC5" w:rsidP="00EE2DCD">
      <w:pPr>
        <w:jc w:val="both"/>
        <w:rPr>
          <w:sz w:val="22"/>
          <w:szCs w:val="22"/>
        </w:rPr>
      </w:pPr>
      <w:r>
        <w:rPr>
          <w:sz w:val="22"/>
          <w:szCs w:val="22"/>
        </w:rPr>
        <w:t xml:space="preserve">On December 7, 2019, the Statutory Accounting Principles (E) Working Group exposed a revised </w:t>
      </w:r>
      <w:r>
        <w:rPr>
          <w:i/>
          <w:iCs/>
          <w:sz w:val="22"/>
          <w:szCs w:val="22"/>
        </w:rPr>
        <w:t>Issue Paper No. 1XX—Preferred Stock</w:t>
      </w:r>
      <w:r>
        <w:rPr>
          <w:sz w:val="22"/>
          <w:szCs w:val="22"/>
        </w:rPr>
        <w:t xml:space="preserve"> and a substantively-revised draft </w:t>
      </w:r>
      <w:r>
        <w:rPr>
          <w:i/>
          <w:iCs/>
          <w:sz w:val="22"/>
          <w:szCs w:val="22"/>
        </w:rPr>
        <w:t>SSAP No. 32—Preferred Stock</w:t>
      </w:r>
      <w:r>
        <w:rPr>
          <w:sz w:val="22"/>
          <w:szCs w:val="22"/>
        </w:rPr>
        <w:t xml:space="preserve"> as part of the Investment Classification Project.</w:t>
      </w:r>
    </w:p>
    <w:p w14:paraId="4073191E" w14:textId="1A97619A" w:rsidR="00176E59" w:rsidRDefault="00176E59" w:rsidP="00EE2DCD">
      <w:pPr>
        <w:jc w:val="both"/>
        <w:rPr>
          <w:sz w:val="22"/>
          <w:szCs w:val="22"/>
        </w:rPr>
      </w:pPr>
    </w:p>
    <w:p w14:paraId="3C881249" w14:textId="5DF66BE7" w:rsidR="00176E59" w:rsidRPr="00176E59" w:rsidRDefault="00176E59" w:rsidP="00EE2DCD">
      <w:pPr>
        <w:jc w:val="both"/>
        <w:rPr>
          <w:sz w:val="22"/>
          <w:szCs w:val="22"/>
        </w:rPr>
      </w:pPr>
      <w:r>
        <w:rPr>
          <w:sz w:val="22"/>
          <w:szCs w:val="22"/>
        </w:rPr>
        <w:t xml:space="preserve">On March 18, 2020, The Statutory Accounting Principles (E) Working Group exposed the </w:t>
      </w:r>
      <w:r>
        <w:rPr>
          <w:i/>
          <w:iCs/>
          <w:sz w:val="22"/>
          <w:szCs w:val="22"/>
        </w:rPr>
        <w:t>Issue Paper No. 1XX—Preferred Stock</w:t>
      </w:r>
      <w:r>
        <w:rPr>
          <w:sz w:val="22"/>
          <w:szCs w:val="22"/>
        </w:rPr>
        <w:t xml:space="preserve"> and substantively-revised draft </w:t>
      </w:r>
      <w:r>
        <w:rPr>
          <w:i/>
          <w:iCs/>
          <w:sz w:val="22"/>
          <w:szCs w:val="22"/>
        </w:rPr>
        <w:t xml:space="preserve">SSAP No. 32—Preferred Stock </w:t>
      </w:r>
      <w:r>
        <w:rPr>
          <w:sz w:val="22"/>
          <w:szCs w:val="22"/>
        </w:rPr>
        <w:t xml:space="preserve">with edits to reflect comments received from interested parties as well as a January 1, 2021 effective date. This item was exposed with a May 29, 2020 comment period deadline. </w:t>
      </w:r>
    </w:p>
    <w:p w14:paraId="3B452934" w14:textId="2E4262EE" w:rsidR="006C5FE3" w:rsidRDefault="006C5FE3" w:rsidP="00EE2DCD">
      <w:pPr>
        <w:jc w:val="both"/>
        <w:rPr>
          <w:sz w:val="22"/>
          <w:szCs w:val="22"/>
        </w:rPr>
      </w:pPr>
    </w:p>
    <w:p w14:paraId="43DA22CC" w14:textId="77777777" w:rsidR="00A5660F" w:rsidRPr="00EE2DCD" w:rsidRDefault="00A5660F" w:rsidP="00EE2DCD">
      <w:pPr>
        <w:jc w:val="both"/>
        <w:rPr>
          <w:sz w:val="22"/>
          <w:szCs w:val="22"/>
        </w:rPr>
      </w:pPr>
    </w:p>
    <w:p w14:paraId="674A8948" w14:textId="010C0361" w:rsidR="006555BD" w:rsidRDefault="001910A6">
      <w:pPr>
        <w:rPr>
          <w:b/>
          <w:bCs/>
          <w:sz w:val="22"/>
        </w:rPr>
      </w:pPr>
      <w:r w:rsidRPr="00B37D15">
        <w:rPr>
          <w:sz w:val="16"/>
          <w:szCs w:val="16"/>
        </w:rPr>
        <w:fldChar w:fldCharType="begin"/>
      </w:r>
      <w:r w:rsidRPr="00B37D15">
        <w:rPr>
          <w:sz w:val="16"/>
          <w:szCs w:val="16"/>
        </w:rPr>
        <w:instrText xml:space="preserve"> FILENAME  \* Lower \p  \* MERGEFORMAT </w:instrText>
      </w:r>
      <w:r w:rsidRPr="00B37D15">
        <w:rPr>
          <w:sz w:val="16"/>
          <w:szCs w:val="16"/>
        </w:rPr>
        <w:fldChar w:fldCharType="separate"/>
      </w:r>
      <w:r w:rsidR="00176E59">
        <w:rPr>
          <w:noProof/>
          <w:sz w:val="16"/>
          <w:szCs w:val="16"/>
        </w:rPr>
        <w:t>g:\frs\data\stat acctg\3. national meetings\a. national meeting materials\2020\spring\nm exposures\complete\19-04 - ssap no. 32 investment classification project.docx</w:t>
      </w:r>
      <w:r w:rsidRPr="00B37D15">
        <w:rPr>
          <w:sz w:val="16"/>
          <w:szCs w:val="16"/>
        </w:rPr>
        <w:fldChar w:fldCharType="end"/>
      </w:r>
    </w:p>
    <w:sectPr w:rsidR="006555BD" w:rsidSect="00B37D15">
      <w:headerReference w:type="default" r:id="rId18"/>
      <w:footerReference w:type="default" r:id="rId19"/>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2DD19" w14:textId="77777777" w:rsidR="006C5FE3" w:rsidRDefault="006C5FE3" w:rsidP="003F6960">
      <w:r>
        <w:separator/>
      </w:r>
    </w:p>
  </w:endnote>
  <w:endnote w:type="continuationSeparator" w:id="0">
    <w:p w14:paraId="303BD190" w14:textId="77777777" w:rsidR="006C5FE3" w:rsidRDefault="006C5FE3" w:rsidP="003F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AAA A+ New Century Schlbk">
    <w:altName w:val="Century Schoolbook"/>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e Gothic W01">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7B01" w14:textId="77777777" w:rsidR="006C5FE3" w:rsidRDefault="006C5FE3" w:rsidP="003F6960">
    <w:pPr>
      <w:pStyle w:val="Footer"/>
      <w:tabs>
        <w:tab w:val="clear" w:pos="4680"/>
        <w:tab w:val="center" w:pos="5040"/>
      </w:tabs>
    </w:pPr>
    <w:r>
      <w:t>© 2019 National Association of Insurance Commissioners</w:t>
    </w:r>
    <w:r>
      <w:tab/>
    </w:r>
    <w:r w:rsidRPr="00B35D80">
      <w:fldChar w:fldCharType="begin"/>
    </w:r>
    <w:r w:rsidRPr="00B35D80">
      <w:instrText xml:space="preserve"> PAGE   \* MERGEFORMAT </w:instrText>
    </w:r>
    <w:r w:rsidRPr="00B35D80">
      <w:fldChar w:fldCharType="separate"/>
    </w:r>
    <w:r>
      <w:rPr>
        <w:noProof/>
      </w:rPr>
      <w:t>10</w:t>
    </w:r>
    <w:r w:rsidRPr="00B35D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16B3F" w14:textId="77777777" w:rsidR="006C5FE3" w:rsidRDefault="006C5FE3" w:rsidP="003F6960">
      <w:r>
        <w:separator/>
      </w:r>
    </w:p>
  </w:footnote>
  <w:footnote w:type="continuationSeparator" w:id="0">
    <w:p w14:paraId="7C75A8CE" w14:textId="77777777" w:rsidR="006C5FE3" w:rsidRDefault="006C5FE3" w:rsidP="003F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9179" w14:textId="77777777" w:rsidR="006C5FE3" w:rsidRDefault="006C5FE3" w:rsidP="003822AC">
    <w:pPr>
      <w:pStyle w:val="Header"/>
      <w:jc w:val="right"/>
    </w:pPr>
    <w:r>
      <w:t>Ref #2019-04</w:t>
    </w:r>
  </w:p>
  <w:p w14:paraId="7E697D43" w14:textId="77777777" w:rsidR="006C5FE3" w:rsidRDefault="006C5FE3" w:rsidP="003822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290B97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1820AF1"/>
    <w:multiLevelType w:val="hybridMultilevel"/>
    <w:tmpl w:val="F89AD950"/>
    <w:lvl w:ilvl="0" w:tplc="257423EE">
      <w:start w:val="1"/>
      <w:numFmt w:val="lowerRoman"/>
      <w:lvlText w:val="%1."/>
      <w:lvlJc w:val="left"/>
      <w:pPr>
        <w:ind w:left="720" w:hanging="360"/>
      </w:pPr>
      <w:rPr>
        <w:rFonts w:hint="default"/>
        <w:spacing w:val="1"/>
        <w:sz w:val="22"/>
        <w:szCs w:val="22"/>
      </w:rPr>
    </w:lvl>
    <w:lvl w:ilvl="1" w:tplc="4FF85C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608C"/>
    <w:multiLevelType w:val="hybridMultilevel"/>
    <w:tmpl w:val="5B2AE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94529"/>
    <w:multiLevelType w:val="multilevel"/>
    <w:tmpl w:val="E25C7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00B6B"/>
    <w:multiLevelType w:val="hybridMultilevel"/>
    <w:tmpl w:val="1B1097D2"/>
    <w:lvl w:ilvl="0" w:tplc="8DE89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E7B9D"/>
    <w:multiLevelType w:val="multilevel"/>
    <w:tmpl w:val="188C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44081"/>
    <w:multiLevelType w:val="multilevel"/>
    <w:tmpl w:val="CEB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BB4B2A"/>
    <w:multiLevelType w:val="hybridMultilevel"/>
    <w:tmpl w:val="510005F4"/>
    <w:lvl w:ilvl="0" w:tplc="04090015">
      <w:start w:val="1"/>
      <w:numFmt w:val="upp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B377AE0"/>
    <w:multiLevelType w:val="hybridMultilevel"/>
    <w:tmpl w:val="45401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B3698"/>
    <w:multiLevelType w:val="hybridMultilevel"/>
    <w:tmpl w:val="EFC8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F86C47"/>
    <w:multiLevelType w:val="singleLevel"/>
    <w:tmpl w:val="D8827A28"/>
    <w:lvl w:ilvl="0">
      <w:start w:val="1"/>
      <w:numFmt w:val="lowerLetter"/>
      <w:pStyle w:val="ListNumber2"/>
      <w:lvlText w:val="%1."/>
      <w:lvlJc w:val="left"/>
      <w:pPr>
        <w:tabs>
          <w:tab w:val="num" w:pos="0"/>
        </w:tabs>
        <w:ind w:left="1440" w:hanging="720"/>
      </w:pPr>
    </w:lvl>
  </w:abstractNum>
  <w:abstractNum w:abstractNumId="11" w15:restartNumberingAfterBreak="0">
    <w:nsid w:val="1B425C5B"/>
    <w:multiLevelType w:val="multilevel"/>
    <w:tmpl w:val="CE24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D2D2E"/>
    <w:multiLevelType w:val="hybridMultilevel"/>
    <w:tmpl w:val="364454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3C7B03"/>
    <w:multiLevelType w:val="hybridMultilevel"/>
    <w:tmpl w:val="F8E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33B38"/>
    <w:multiLevelType w:val="hybridMultilevel"/>
    <w:tmpl w:val="11FE8D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254F0371"/>
    <w:multiLevelType w:val="hybridMultilevel"/>
    <w:tmpl w:val="574A4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B7475"/>
    <w:multiLevelType w:val="hybridMultilevel"/>
    <w:tmpl w:val="3CC238D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115723"/>
    <w:multiLevelType w:val="hybridMultilevel"/>
    <w:tmpl w:val="688A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7564E"/>
    <w:multiLevelType w:val="hybridMultilevel"/>
    <w:tmpl w:val="510005F4"/>
    <w:lvl w:ilvl="0" w:tplc="04090015">
      <w:start w:val="1"/>
      <w:numFmt w:val="upp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4584D72"/>
    <w:multiLevelType w:val="hybridMultilevel"/>
    <w:tmpl w:val="EB8023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800398"/>
    <w:multiLevelType w:val="hybridMultilevel"/>
    <w:tmpl w:val="F4D65688"/>
    <w:lvl w:ilvl="0" w:tplc="51C66C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892820"/>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3B706A4F"/>
    <w:multiLevelType w:val="hybridMultilevel"/>
    <w:tmpl w:val="C18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66999"/>
    <w:multiLevelType w:val="hybridMultilevel"/>
    <w:tmpl w:val="510005F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737D71"/>
    <w:multiLevelType w:val="singleLevel"/>
    <w:tmpl w:val="4502C8E6"/>
    <w:lvl w:ilvl="0">
      <w:start w:val="1"/>
      <w:numFmt w:val="bullet"/>
      <w:pStyle w:val="ListBullet2"/>
      <w:lvlText w:val=""/>
      <w:lvlJc w:val="left"/>
      <w:pPr>
        <w:tabs>
          <w:tab w:val="num" w:pos="1440"/>
        </w:tabs>
        <w:ind w:left="1440" w:hanging="720"/>
      </w:pPr>
      <w:rPr>
        <w:rFonts w:ascii="Symbol" w:hAnsi="Symbol" w:hint="default"/>
      </w:rPr>
    </w:lvl>
  </w:abstractNum>
  <w:abstractNum w:abstractNumId="25" w15:restartNumberingAfterBreak="0">
    <w:nsid w:val="430A06BC"/>
    <w:multiLevelType w:val="multilevel"/>
    <w:tmpl w:val="F81A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D76B8"/>
    <w:multiLevelType w:val="multilevel"/>
    <w:tmpl w:val="725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5194C"/>
    <w:multiLevelType w:val="hybridMultilevel"/>
    <w:tmpl w:val="0922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A1773"/>
    <w:multiLevelType w:val="hybridMultilevel"/>
    <w:tmpl w:val="98B0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34D84"/>
    <w:multiLevelType w:val="multilevel"/>
    <w:tmpl w:val="1C2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1709C4"/>
    <w:multiLevelType w:val="multilevel"/>
    <w:tmpl w:val="2B2829B2"/>
    <w:lvl w:ilvl="0">
      <w:start w:val="3"/>
      <w:numFmt w:val="decimal"/>
      <w:pStyle w:val="ListContinue"/>
      <w:lvlText w:val="%1."/>
      <w:lvlJc w:val="left"/>
      <w:pPr>
        <w:tabs>
          <w:tab w:val="num" w:pos="720"/>
        </w:tabs>
        <w:ind w:left="0" w:firstLine="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54AD49FC"/>
    <w:multiLevelType w:val="hybridMultilevel"/>
    <w:tmpl w:val="F942F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76176"/>
    <w:multiLevelType w:val="hybridMultilevel"/>
    <w:tmpl w:val="F8E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212E4"/>
    <w:multiLevelType w:val="hybridMultilevel"/>
    <w:tmpl w:val="9084958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36E1AC4"/>
    <w:multiLevelType w:val="hybridMultilevel"/>
    <w:tmpl w:val="27F07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361221"/>
    <w:multiLevelType w:val="hybridMultilevel"/>
    <w:tmpl w:val="510005F4"/>
    <w:lvl w:ilvl="0" w:tplc="04090015">
      <w:start w:val="1"/>
      <w:numFmt w:val="upp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30"/>
  </w:num>
  <w:num w:numId="3">
    <w:abstractNumId w:val="10"/>
  </w:num>
  <w:num w:numId="4">
    <w:abstractNumId w:val="1"/>
  </w:num>
  <w:num w:numId="5">
    <w:abstractNumId w:val="10"/>
    <w:lvlOverride w:ilvl="0">
      <w:startOverride w:val="1"/>
    </w:lvlOverride>
  </w:num>
  <w:num w:numId="6">
    <w:abstractNumId w:val="24"/>
  </w:num>
  <w:num w:numId="7">
    <w:abstractNumId w:val="0"/>
  </w:num>
  <w:num w:numId="8">
    <w:abstractNumId w:val="13"/>
  </w:num>
  <w:num w:numId="9">
    <w:abstractNumId w:val="14"/>
  </w:num>
  <w:num w:numId="10">
    <w:abstractNumId w:val="9"/>
  </w:num>
  <w:num w:numId="11">
    <w:abstractNumId w:val="20"/>
  </w:num>
  <w:num w:numId="12">
    <w:abstractNumId w:val="27"/>
  </w:num>
  <w:num w:numId="13">
    <w:abstractNumId w:val="12"/>
  </w:num>
  <w:num w:numId="14">
    <w:abstractNumId w:val="28"/>
  </w:num>
  <w:num w:numId="15">
    <w:abstractNumId w:val="16"/>
  </w:num>
  <w:num w:numId="16">
    <w:abstractNumId w:val="10"/>
    <w:lvlOverride w:ilvl="0">
      <w:startOverride w:val="1"/>
    </w:lvlOverride>
  </w:num>
  <w:num w:numId="17">
    <w:abstractNumId w:val="19"/>
  </w:num>
  <w:num w:numId="18">
    <w:abstractNumId w:val="25"/>
  </w:num>
  <w:num w:numId="19">
    <w:abstractNumId w:val="26"/>
  </w:num>
  <w:num w:numId="20">
    <w:abstractNumId w:val="31"/>
  </w:num>
  <w:num w:numId="21">
    <w:abstractNumId w:val="11"/>
  </w:num>
  <w:num w:numId="22">
    <w:abstractNumId w:val="29"/>
  </w:num>
  <w:num w:numId="23">
    <w:abstractNumId w:val="22"/>
  </w:num>
  <w:num w:numId="24">
    <w:abstractNumId w:val="32"/>
  </w:num>
  <w:num w:numId="25">
    <w:abstractNumId w:val="34"/>
  </w:num>
  <w:num w:numId="26">
    <w:abstractNumId w:val="6"/>
  </w:num>
  <w:num w:numId="27">
    <w:abstractNumId w:val="5"/>
  </w:num>
  <w:num w:numId="28">
    <w:abstractNumId w:val="30"/>
  </w:num>
  <w:num w:numId="29">
    <w:abstractNumId w:val="33"/>
  </w:num>
  <w:num w:numId="30">
    <w:abstractNumId w:val="3"/>
  </w:num>
  <w:num w:numId="31">
    <w:abstractNumId w:val="17"/>
  </w:num>
  <w:num w:numId="32">
    <w:abstractNumId w:val="8"/>
  </w:num>
  <w:num w:numId="33">
    <w:abstractNumId w:val="15"/>
  </w:num>
  <w:num w:numId="34">
    <w:abstractNumId w:val="4"/>
  </w:num>
  <w:num w:numId="35">
    <w:abstractNumId w:val="18"/>
  </w:num>
  <w:num w:numId="36">
    <w:abstractNumId w:val="7"/>
  </w:num>
  <w:num w:numId="37">
    <w:abstractNumId w:val="35"/>
  </w:num>
  <w:num w:numId="38">
    <w:abstractNumId w:val="23"/>
  </w:num>
  <w:num w:numId="3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A8"/>
    <w:rsid w:val="000038E8"/>
    <w:rsid w:val="0000513D"/>
    <w:rsid w:val="000075A2"/>
    <w:rsid w:val="000142F1"/>
    <w:rsid w:val="00020D2B"/>
    <w:rsid w:val="0003017D"/>
    <w:rsid w:val="00033A31"/>
    <w:rsid w:val="00034678"/>
    <w:rsid w:val="00036442"/>
    <w:rsid w:val="0004087A"/>
    <w:rsid w:val="00045315"/>
    <w:rsid w:val="00047A1A"/>
    <w:rsid w:val="00052ABC"/>
    <w:rsid w:val="000610EC"/>
    <w:rsid w:val="000634EE"/>
    <w:rsid w:val="00066267"/>
    <w:rsid w:val="0006658D"/>
    <w:rsid w:val="000666BB"/>
    <w:rsid w:val="00072765"/>
    <w:rsid w:val="0008053A"/>
    <w:rsid w:val="0008725C"/>
    <w:rsid w:val="000A2EBA"/>
    <w:rsid w:val="000B1A9B"/>
    <w:rsid w:val="000B5AE3"/>
    <w:rsid w:val="000B6F89"/>
    <w:rsid w:val="000B7FA2"/>
    <w:rsid w:val="000C0A4A"/>
    <w:rsid w:val="000C2D71"/>
    <w:rsid w:val="000C4D31"/>
    <w:rsid w:val="000C6647"/>
    <w:rsid w:val="000D05A3"/>
    <w:rsid w:val="000D12D2"/>
    <w:rsid w:val="000D196B"/>
    <w:rsid w:val="000D4035"/>
    <w:rsid w:val="000D480C"/>
    <w:rsid w:val="000E12C6"/>
    <w:rsid w:val="000E2E64"/>
    <w:rsid w:val="000F1465"/>
    <w:rsid w:val="000F772A"/>
    <w:rsid w:val="00107DE6"/>
    <w:rsid w:val="00114E3C"/>
    <w:rsid w:val="00123326"/>
    <w:rsid w:val="00123587"/>
    <w:rsid w:val="00125D53"/>
    <w:rsid w:val="00131921"/>
    <w:rsid w:val="00132EF5"/>
    <w:rsid w:val="00133EF4"/>
    <w:rsid w:val="00145E3A"/>
    <w:rsid w:val="001508D0"/>
    <w:rsid w:val="00150CE4"/>
    <w:rsid w:val="00161C10"/>
    <w:rsid w:val="00176E59"/>
    <w:rsid w:val="00177322"/>
    <w:rsid w:val="001803B9"/>
    <w:rsid w:val="001819A3"/>
    <w:rsid w:val="00182F52"/>
    <w:rsid w:val="0018440F"/>
    <w:rsid w:val="001910A6"/>
    <w:rsid w:val="00192407"/>
    <w:rsid w:val="00194879"/>
    <w:rsid w:val="001A526F"/>
    <w:rsid w:val="001A5F3F"/>
    <w:rsid w:val="001B3A59"/>
    <w:rsid w:val="001C6F39"/>
    <w:rsid w:val="001E7E90"/>
    <w:rsid w:val="001F5A16"/>
    <w:rsid w:val="00201D96"/>
    <w:rsid w:val="00210D57"/>
    <w:rsid w:val="00212116"/>
    <w:rsid w:val="00215D51"/>
    <w:rsid w:val="00223C40"/>
    <w:rsid w:val="00225009"/>
    <w:rsid w:val="002407D7"/>
    <w:rsid w:val="0024398D"/>
    <w:rsid w:val="00245D64"/>
    <w:rsid w:val="00246C50"/>
    <w:rsid w:val="00262FB5"/>
    <w:rsid w:val="00266EE1"/>
    <w:rsid w:val="00267E7C"/>
    <w:rsid w:val="002711FA"/>
    <w:rsid w:val="002A2253"/>
    <w:rsid w:val="002A4E00"/>
    <w:rsid w:val="002A5BCF"/>
    <w:rsid w:val="002A6372"/>
    <w:rsid w:val="002B4249"/>
    <w:rsid w:val="002C0961"/>
    <w:rsid w:val="002D11FF"/>
    <w:rsid w:val="002D542D"/>
    <w:rsid w:val="002D5FA9"/>
    <w:rsid w:val="002E45E2"/>
    <w:rsid w:val="002E6FE0"/>
    <w:rsid w:val="002F14D4"/>
    <w:rsid w:val="0030091C"/>
    <w:rsid w:val="00303012"/>
    <w:rsid w:val="00304EDB"/>
    <w:rsid w:val="003063DB"/>
    <w:rsid w:val="003119E4"/>
    <w:rsid w:val="00314406"/>
    <w:rsid w:val="00316160"/>
    <w:rsid w:val="00320151"/>
    <w:rsid w:val="0032679E"/>
    <w:rsid w:val="003301D0"/>
    <w:rsid w:val="00350023"/>
    <w:rsid w:val="00365747"/>
    <w:rsid w:val="00365C08"/>
    <w:rsid w:val="003711E9"/>
    <w:rsid w:val="003775EC"/>
    <w:rsid w:val="003822AC"/>
    <w:rsid w:val="00384F70"/>
    <w:rsid w:val="0038769B"/>
    <w:rsid w:val="00391444"/>
    <w:rsid w:val="003A356D"/>
    <w:rsid w:val="003B714B"/>
    <w:rsid w:val="003B7E8C"/>
    <w:rsid w:val="003B7FEA"/>
    <w:rsid w:val="003C0F36"/>
    <w:rsid w:val="003D584C"/>
    <w:rsid w:val="003D7D34"/>
    <w:rsid w:val="003E29E8"/>
    <w:rsid w:val="003F6960"/>
    <w:rsid w:val="004043A1"/>
    <w:rsid w:val="00405609"/>
    <w:rsid w:val="00407391"/>
    <w:rsid w:val="0041602A"/>
    <w:rsid w:val="00432064"/>
    <w:rsid w:val="004441F8"/>
    <w:rsid w:val="004504CE"/>
    <w:rsid w:val="004574C0"/>
    <w:rsid w:val="0046378D"/>
    <w:rsid w:val="00473FDB"/>
    <w:rsid w:val="00476149"/>
    <w:rsid w:val="00481DC0"/>
    <w:rsid w:val="00486CA6"/>
    <w:rsid w:val="00497245"/>
    <w:rsid w:val="004A7E1C"/>
    <w:rsid w:val="004B0FEF"/>
    <w:rsid w:val="004B408D"/>
    <w:rsid w:val="004C1D25"/>
    <w:rsid w:val="004C2FC5"/>
    <w:rsid w:val="004C485C"/>
    <w:rsid w:val="004F61D6"/>
    <w:rsid w:val="005007A2"/>
    <w:rsid w:val="0052301E"/>
    <w:rsid w:val="00530153"/>
    <w:rsid w:val="0053080C"/>
    <w:rsid w:val="0054273D"/>
    <w:rsid w:val="00556222"/>
    <w:rsid w:val="00567645"/>
    <w:rsid w:val="0058087C"/>
    <w:rsid w:val="00583A07"/>
    <w:rsid w:val="00591F31"/>
    <w:rsid w:val="005A1D11"/>
    <w:rsid w:val="005A49AE"/>
    <w:rsid w:val="005C47B9"/>
    <w:rsid w:val="005C6D0F"/>
    <w:rsid w:val="005D1D22"/>
    <w:rsid w:val="005E58B6"/>
    <w:rsid w:val="005F10E3"/>
    <w:rsid w:val="005F2652"/>
    <w:rsid w:val="005F7315"/>
    <w:rsid w:val="005F77A7"/>
    <w:rsid w:val="0060530F"/>
    <w:rsid w:val="0061191A"/>
    <w:rsid w:val="00613BBA"/>
    <w:rsid w:val="00615B29"/>
    <w:rsid w:val="006200A0"/>
    <w:rsid w:val="006201FD"/>
    <w:rsid w:val="0062689D"/>
    <w:rsid w:val="00635772"/>
    <w:rsid w:val="00644D30"/>
    <w:rsid w:val="006469EB"/>
    <w:rsid w:val="006555BD"/>
    <w:rsid w:val="00661407"/>
    <w:rsid w:val="006616CA"/>
    <w:rsid w:val="00662235"/>
    <w:rsid w:val="00671DDA"/>
    <w:rsid w:val="00677AC3"/>
    <w:rsid w:val="006838FC"/>
    <w:rsid w:val="006A7B69"/>
    <w:rsid w:val="006B11F1"/>
    <w:rsid w:val="006B13BD"/>
    <w:rsid w:val="006B30F9"/>
    <w:rsid w:val="006C5FE3"/>
    <w:rsid w:val="006C6A8A"/>
    <w:rsid w:val="006D3B68"/>
    <w:rsid w:val="006D6735"/>
    <w:rsid w:val="006E19C3"/>
    <w:rsid w:val="006E1D46"/>
    <w:rsid w:val="006E71CC"/>
    <w:rsid w:val="00700580"/>
    <w:rsid w:val="007040E2"/>
    <w:rsid w:val="0070609A"/>
    <w:rsid w:val="0071535C"/>
    <w:rsid w:val="007167AC"/>
    <w:rsid w:val="00730705"/>
    <w:rsid w:val="00730E50"/>
    <w:rsid w:val="007329BB"/>
    <w:rsid w:val="0074259A"/>
    <w:rsid w:val="00743BC1"/>
    <w:rsid w:val="00752E91"/>
    <w:rsid w:val="00756C70"/>
    <w:rsid w:val="0076328A"/>
    <w:rsid w:val="00777680"/>
    <w:rsid w:val="0078446E"/>
    <w:rsid w:val="0078646C"/>
    <w:rsid w:val="007A57F0"/>
    <w:rsid w:val="007B0C9E"/>
    <w:rsid w:val="007B1EB5"/>
    <w:rsid w:val="007C2CF7"/>
    <w:rsid w:val="007C35DF"/>
    <w:rsid w:val="007C63AF"/>
    <w:rsid w:val="007C7DA6"/>
    <w:rsid w:val="007D370C"/>
    <w:rsid w:val="007D6D32"/>
    <w:rsid w:val="007E108F"/>
    <w:rsid w:val="007E7A55"/>
    <w:rsid w:val="007E7C23"/>
    <w:rsid w:val="0080332C"/>
    <w:rsid w:val="008054D8"/>
    <w:rsid w:val="008057FC"/>
    <w:rsid w:val="00816774"/>
    <w:rsid w:val="00821BAD"/>
    <w:rsid w:val="0082454A"/>
    <w:rsid w:val="00832E35"/>
    <w:rsid w:val="00845A80"/>
    <w:rsid w:val="00846E46"/>
    <w:rsid w:val="00847CD7"/>
    <w:rsid w:val="00850D58"/>
    <w:rsid w:val="008517B7"/>
    <w:rsid w:val="00853F99"/>
    <w:rsid w:val="00857C6B"/>
    <w:rsid w:val="00863703"/>
    <w:rsid w:val="00875AB4"/>
    <w:rsid w:val="00875C1B"/>
    <w:rsid w:val="00881A32"/>
    <w:rsid w:val="008A6D82"/>
    <w:rsid w:val="008A74DF"/>
    <w:rsid w:val="008B3504"/>
    <w:rsid w:val="008C3F0E"/>
    <w:rsid w:val="008E1CE1"/>
    <w:rsid w:val="008E4571"/>
    <w:rsid w:val="008E7C36"/>
    <w:rsid w:val="008F6B2A"/>
    <w:rsid w:val="0091109E"/>
    <w:rsid w:val="00920F18"/>
    <w:rsid w:val="009273B6"/>
    <w:rsid w:val="00934A15"/>
    <w:rsid w:val="00935049"/>
    <w:rsid w:val="00943383"/>
    <w:rsid w:val="00944128"/>
    <w:rsid w:val="0094463D"/>
    <w:rsid w:val="00964BDF"/>
    <w:rsid w:val="00972BA4"/>
    <w:rsid w:val="00974895"/>
    <w:rsid w:val="00976CD1"/>
    <w:rsid w:val="00980B6B"/>
    <w:rsid w:val="00984799"/>
    <w:rsid w:val="00985E7F"/>
    <w:rsid w:val="009C024F"/>
    <w:rsid w:val="009D0C9A"/>
    <w:rsid w:val="009D75D8"/>
    <w:rsid w:val="009F361C"/>
    <w:rsid w:val="00A0361E"/>
    <w:rsid w:val="00A12DDC"/>
    <w:rsid w:val="00A159F4"/>
    <w:rsid w:val="00A25471"/>
    <w:rsid w:val="00A308BF"/>
    <w:rsid w:val="00A33EA5"/>
    <w:rsid w:val="00A36EC6"/>
    <w:rsid w:val="00A44B95"/>
    <w:rsid w:val="00A45908"/>
    <w:rsid w:val="00A45B4B"/>
    <w:rsid w:val="00A5300A"/>
    <w:rsid w:val="00A5660F"/>
    <w:rsid w:val="00A72B76"/>
    <w:rsid w:val="00A77AFB"/>
    <w:rsid w:val="00A84E0A"/>
    <w:rsid w:val="00A9232F"/>
    <w:rsid w:val="00A95CC5"/>
    <w:rsid w:val="00AA040D"/>
    <w:rsid w:val="00AB4A20"/>
    <w:rsid w:val="00AC4140"/>
    <w:rsid w:val="00AC6770"/>
    <w:rsid w:val="00AD277B"/>
    <w:rsid w:val="00AD37E1"/>
    <w:rsid w:val="00AF2020"/>
    <w:rsid w:val="00AF5C87"/>
    <w:rsid w:val="00B02474"/>
    <w:rsid w:val="00B0603E"/>
    <w:rsid w:val="00B14380"/>
    <w:rsid w:val="00B37D15"/>
    <w:rsid w:val="00B4422E"/>
    <w:rsid w:val="00B4778A"/>
    <w:rsid w:val="00B60C53"/>
    <w:rsid w:val="00B70CB2"/>
    <w:rsid w:val="00B70FB5"/>
    <w:rsid w:val="00B72D34"/>
    <w:rsid w:val="00B771E1"/>
    <w:rsid w:val="00B91F45"/>
    <w:rsid w:val="00B95B54"/>
    <w:rsid w:val="00B964B3"/>
    <w:rsid w:val="00BC1438"/>
    <w:rsid w:val="00BC2ED1"/>
    <w:rsid w:val="00BC3C8A"/>
    <w:rsid w:val="00BD6BCB"/>
    <w:rsid w:val="00C01795"/>
    <w:rsid w:val="00C01EE3"/>
    <w:rsid w:val="00C20816"/>
    <w:rsid w:val="00C2269B"/>
    <w:rsid w:val="00C2770C"/>
    <w:rsid w:val="00C27F4B"/>
    <w:rsid w:val="00C403F1"/>
    <w:rsid w:val="00C41634"/>
    <w:rsid w:val="00C420D5"/>
    <w:rsid w:val="00C467B2"/>
    <w:rsid w:val="00C46ABB"/>
    <w:rsid w:val="00C53291"/>
    <w:rsid w:val="00C578C9"/>
    <w:rsid w:val="00C60BF6"/>
    <w:rsid w:val="00C750EB"/>
    <w:rsid w:val="00C76B38"/>
    <w:rsid w:val="00C843FC"/>
    <w:rsid w:val="00C93E28"/>
    <w:rsid w:val="00CA2907"/>
    <w:rsid w:val="00CB2235"/>
    <w:rsid w:val="00CC1C9C"/>
    <w:rsid w:val="00CC2401"/>
    <w:rsid w:val="00CC4D05"/>
    <w:rsid w:val="00CD301C"/>
    <w:rsid w:val="00CD5C6D"/>
    <w:rsid w:val="00CF2842"/>
    <w:rsid w:val="00D05F67"/>
    <w:rsid w:val="00D13A5C"/>
    <w:rsid w:val="00D21D9C"/>
    <w:rsid w:val="00D37D06"/>
    <w:rsid w:val="00D42EEB"/>
    <w:rsid w:val="00D441BE"/>
    <w:rsid w:val="00D45085"/>
    <w:rsid w:val="00D45CC7"/>
    <w:rsid w:val="00D47EBA"/>
    <w:rsid w:val="00D645FA"/>
    <w:rsid w:val="00D73F59"/>
    <w:rsid w:val="00D80254"/>
    <w:rsid w:val="00D80701"/>
    <w:rsid w:val="00D835AF"/>
    <w:rsid w:val="00D84CC4"/>
    <w:rsid w:val="00D851A6"/>
    <w:rsid w:val="00D86172"/>
    <w:rsid w:val="00D9009E"/>
    <w:rsid w:val="00DA3990"/>
    <w:rsid w:val="00DB33F0"/>
    <w:rsid w:val="00DC0E2F"/>
    <w:rsid w:val="00DC64E0"/>
    <w:rsid w:val="00DC7135"/>
    <w:rsid w:val="00DD3A35"/>
    <w:rsid w:val="00DD536D"/>
    <w:rsid w:val="00DD7241"/>
    <w:rsid w:val="00DE156C"/>
    <w:rsid w:val="00DE2864"/>
    <w:rsid w:val="00DF5ABA"/>
    <w:rsid w:val="00E008E0"/>
    <w:rsid w:val="00E05646"/>
    <w:rsid w:val="00E06950"/>
    <w:rsid w:val="00E16950"/>
    <w:rsid w:val="00E20B24"/>
    <w:rsid w:val="00E277A8"/>
    <w:rsid w:val="00E30790"/>
    <w:rsid w:val="00E332EB"/>
    <w:rsid w:val="00E41004"/>
    <w:rsid w:val="00E478FA"/>
    <w:rsid w:val="00E47A47"/>
    <w:rsid w:val="00E52FD5"/>
    <w:rsid w:val="00E64FBB"/>
    <w:rsid w:val="00E716FA"/>
    <w:rsid w:val="00E76532"/>
    <w:rsid w:val="00E82CA5"/>
    <w:rsid w:val="00E83DC6"/>
    <w:rsid w:val="00E84ABB"/>
    <w:rsid w:val="00E90A7F"/>
    <w:rsid w:val="00EA49A0"/>
    <w:rsid w:val="00EC2FDD"/>
    <w:rsid w:val="00EC6698"/>
    <w:rsid w:val="00ED0C24"/>
    <w:rsid w:val="00ED5ACA"/>
    <w:rsid w:val="00ED71AF"/>
    <w:rsid w:val="00EE2DCD"/>
    <w:rsid w:val="00EF1C7E"/>
    <w:rsid w:val="00EF4A1B"/>
    <w:rsid w:val="00EF4EB3"/>
    <w:rsid w:val="00F07D14"/>
    <w:rsid w:val="00F25C19"/>
    <w:rsid w:val="00F25F5D"/>
    <w:rsid w:val="00F31CFF"/>
    <w:rsid w:val="00F3214D"/>
    <w:rsid w:val="00F410CF"/>
    <w:rsid w:val="00F459FA"/>
    <w:rsid w:val="00F46454"/>
    <w:rsid w:val="00F474A2"/>
    <w:rsid w:val="00F55ED5"/>
    <w:rsid w:val="00F61ADA"/>
    <w:rsid w:val="00F756BD"/>
    <w:rsid w:val="00F9122D"/>
    <w:rsid w:val="00F9326F"/>
    <w:rsid w:val="00F94428"/>
    <w:rsid w:val="00F9523E"/>
    <w:rsid w:val="00F96E4C"/>
    <w:rsid w:val="00F97706"/>
    <w:rsid w:val="00F977D6"/>
    <w:rsid w:val="00FA0CF8"/>
    <w:rsid w:val="00FA19A8"/>
    <w:rsid w:val="00FA3EAB"/>
    <w:rsid w:val="00FB1DEA"/>
    <w:rsid w:val="00FB67AA"/>
    <w:rsid w:val="00FC10B9"/>
    <w:rsid w:val="00FC668B"/>
    <w:rsid w:val="00FD4B95"/>
    <w:rsid w:val="00FE1483"/>
    <w:rsid w:val="00FF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D88FC51"/>
  <w15:docId w15:val="{49374561-9799-4CAA-A8A3-C031BD8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9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link w:val="Heading3Char"/>
    <w:uiPriority w:val="9"/>
    <w:semiHidden/>
    <w:unhideWhenUsed/>
    <w:qFormat/>
    <w:rsid w:val="008167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4E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pPr>
      <w:jc w:val="both"/>
    </w:pPr>
    <w:rPr>
      <w:b/>
      <w:bCs/>
      <w:sz w:val="22"/>
    </w:rPr>
  </w:style>
  <w:style w:type="paragraph" w:styleId="Header">
    <w:name w:val="header"/>
    <w:basedOn w:val="Normal"/>
    <w:link w:val="HeaderChar"/>
    <w:unhideWhenUsed/>
    <w:rsid w:val="003F6960"/>
    <w:pPr>
      <w:tabs>
        <w:tab w:val="center" w:pos="4680"/>
        <w:tab w:val="right" w:pos="9360"/>
      </w:tabs>
    </w:pPr>
  </w:style>
  <w:style w:type="character" w:customStyle="1" w:styleId="HeaderChar">
    <w:name w:val="Header Char"/>
    <w:basedOn w:val="DefaultParagraphFont"/>
    <w:link w:val="Header"/>
    <w:uiPriority w:val="99"/>
    <w:rsid w:val="003F6960"/>
  </w:style>
  <w:style w:type="paragraph" w:styleId="Footer">
    <w:name w:val="footer"/>
    <w:basedOn w:val="Normal"/>
    <w:link w:val="FooterChar"/>
    <w:unhideWhenUsed/>
    <w:rsid w:val="003F6960"/>
    <w:pPr>
      <w:tabs>
        <w:tab w:val="center" w:pos="4680"/>
        <w:tab w:val="right" w:pos="9360"/>
      </w:tabs>
    </w:pPr>
  </w:style>
  <w:style w:type="character" w:customStyle="1" w:styleId="FooterChar">
    <w:name w:val="Footer Char"/>
    <w:basedOn w:val="DefaultParagraphFont"/>
    <w:link w:val="Footer"/>
    <w:rsid w:val="003F6960"/>
  </w:style>
  <w:style w:type="paragraph" w:customStyle="1" w:styleId="Default">
    <w:name w:val="Default"/>
    <w:rsid w:val="00A5300A"/>
    <w:pPr>
      <w:autoSpaceDE w:val="0"/>
      <w:autoSpaceDN w:val="0"/>
      <w:adjustRightInd w:val="0"/>
    </w:pPr>
    <w:rPr>
      <w:rFonts w:ascii="ANAAA A+ New Century Schlbk" w:hAnsi="ANAAA A+ New Century Schlbk" w:cs="ANAAA A+ New Century Schlbk"/>
      <w:color w:val="000000"/>
      <w:sz w:val="24"/>
      <w:szCs w:val="24"/>
    </w:rPr>
  </w:style>
  <w:style w:type="character" w:styleId="Hyperlink">
    <w:name w:val="Hyperlink"/>
    <w:basedOn w:val="DefaultParagraphFont"/>
    <w:uiPriority w:val="99"/>
    <w:unhideWhenUsed/>
    <w:rsid w:val="00A5300A"/>
    <w:rPr>
      <w:color w:val="21759B"/>
      <w:u w:val="single"/>
    </w:rPr>
  </w:style>
  <w:style w:type="character" w:styleId="Strong">
    <w:name w:val="Strong"/>
    <w:basedOn w:val="DefaultParagraphFont"/>
    <w:uiPriority w:val="22"/>
    <w:qFormat/>
    <w:rsid w:val="00A5300A"/>
    <w:rPr>
      <w:b/>
      <w:bCs/>
    </w:rPr>
  </w:style>
  <w:style w:type="paragraph" w:styleId="FootnoteText">
    <w:name w:val="footnote text"/>
    <w:basedOn w:val="Normal"/>
    <w:link w:val="FootnoteTextChar"/>
    <w:uiPriority w:val="99"/>
    <w:rsid w:val="00816774"/>
  </w:style>
  <w:style w:type="character" w:customStyle="1" w:styleId="FootnoteTextChar">
    <w:name w:val="Footnote Text Char"/>
    <w:basedOn w:val="DefaultParagraphFont"/>
    <w:link w:val="FootnoteText"/>
    <w:uiPriority w:val="99"/>
    <w:rsid w:val="00816774"/>
  </w:style>
  <w:style w:type="character" w:styleId="FootnoteReference">
    <w:name w:val="footnote reference"/>
    <w:qFormat/>
    <w:rsid w:val="00816774"/>
    <w:rPr>
      <w:vertAlign w:val="superscript"/>
    </w:rPr>
  </w:style>
  <w:style w:type="paragraph" w:styleId="ListParagraph">
    <w:name w:val="List Paragraph"/>
    <w:basedOn w:val="Normal"/>
    <w:uiPriority w:val="34"/>
    <w:qFormat/>
    <w:rsid w:val="00816774"/>
    <w:pPr>
      <w:ind w:left="720"/>
    </w:pPr>
    <w:rPr>
      <w:sz w:val="22"/>
      <w:szCs w:val="24"/>
    </w:rPr>
  </w:style>
  <w:style w:type="character" w:customStyle="1" w:styleId="Heading3Char">
    <w:name w:val="Heading 3 Char"/>
    <w:basedOn w:val="DefaultParagraphFont"/>
    <w:link w:val="Heading3"/>
    <w:uiPriority w:val="9"/>
    <w:semiHidden/>
    <w:rsid w:val="00816774"/>
    <w:rPr>
      <w:rFonts w:asciiTheme="majorHAnsi" w:eastAsiaTheme="majorEastAsia" w:hAnsiTheme="majorHAnsi" w:cstheme="majorBidi"/>
      <w:b/>
      <w:bCs/>
      <w:color w:val="4F81BD" w:themeColor="accent1"/>
    </w:rPr>
  </w:style>
  <w:style w:type="paragraph" w:styleId="ListNumber2">
    <w:name w:val="List Number 2"/>
    <w:basedOn w:val="Normal"/>
    <w:rsid w:val="00816774"/>
    <w:pPr>
      <w:numPr>
        <w:numId w:val="3"/>
      </w:numPr>
      <w:spacing w:after="220"/>
      <w:jc w:val="both"/>
    </w:pPr>
    <w:rPr>
      <w:sz w:val="22"/>
    </w:rPr>
  </w:style>
  <w:style w:type="paragraph" w:styleId="ListContinue">
    <w:name w:val="List Continue"/>
    <w:basedOn w:val="Normal"/>
    <w:rsid w:val="00816774"/>
    <w:pPr>
      <w:numPr>
        <w:numId w:val="2"/>
      </w:numPr>
      <w:spacing w:after="220"/>
      <w:jc w:val="both"/>
    </w:pPr>
    <w:rPr>
      <w:sz w:val="22"/>
    </w:rPr>
  </w:style>
  <w:style w:type="paragraph" w:styleId="NormalWeb">
    <w:name w:val="Normal (Web)"/>
    <w:basedOn w:val="Normal"/>
    <w:uiPriority w:val="99"/>
    <w:unhideWhenUsed/>
    <w:rsid w:val="0030091C"/>
    <w:pPr>
      <w:spacing w:after="150"/>
    </w:pPr>
    <w:rPr>
      <w:rFonts w:ascii="inherit" w:hAnsi="inherit"/>
    </w:rPr>
  </w:style>
  <w:style w:type="paragraph" w:styleId="BalloonText">
    <w:name w:val="Balloon Text"/>
    <w:basedOn w:val="Normal"/>
    <w:link w:val="BalloonTextChar"/>
    <w:uiPriority w:val="99"/>
    <w:semiHidden/>
    <w:unhideWhenUsed/>
    <w:rsid w:val="00107DE6"/>
    <w:rPr>
      <w:rFonts w:ascii="Tahoma" w:hAnsi="Tahoma" w:cs="Tahoma"/>
      <w:sz w:val="16"/>
      <w:szCs w:val="16"/>
    </w:rPr>
  </w:style>
  <w:style w:type="character" w:customStyle="1" w:styleId="BalloonTextChar">
    <w:name w:val="Balloon Text Char"/>
    <w:basedOn w:val="DefaultParagraphFont"/>
    <w:link w:val="BalloonText"/>
    <w:uiPriority w:val="99"/>
    <w:semiHidden/>
    <w:rsid w:val="00107DE6"/>
    <w:rPr>
      <w:rFonts w:ascii="Tahoma" w:hAnsi="Tahoma" w:cs="Tahoma"/>
      <w:sz w:val="16"/>
      <w:szCs w:val="16"/>
    </w:rPr>
  </w:style>
  <w:style w:type="paragraph" w:customStyle="1" w:styleId="FooterOdd">
    <w:name w:val="Footer Odd"/>
    <w:basedOn w:val="Normal"/>
    <w:rsid w:val="00E76532"/>
    <w:pPr>
      <w:tabs>
        <w:tab w:val="center" w:pos="5040"/>
        <w:tab w:val="right" w:pos="9360"/>
      </w:tabs>
      <w:spacing w:before="220"/>
      <w:jc w:val="both"/>
    </w:pPr>
    <w:rPr>
      <w:b/>
      <w:sz w:val="18"/>
    </w:rPr>
  </w:style>
  <w:style w:type="character" w:styleId="PageNumber">
    <w:name w:val="page number"/>
    <w:basedOn w:val="DefaultParagraphFont"/>
    <w:rsid w:val="00E76532"/>
  </w:style>
  <w:style w:type="paragraph" w:customStyle="1" w:styleId="Indent1">
    <w:name w:val="Indent 1&quot;"/>
    <w:basedOn w:val="Normal"/>
    <w:rsid w:val="00E76532"/>
    <w:pPr>
      <w:keepNext/>
      <w:spacing w:after="220"/>
      <w:ind w:left="1440"/>
      <w:jc w:val="both"/>
      <w:outlineLvl w:val="0"/>
    </w:pPr>
    <w:rPr>
      <w:sz w:val="22"/>
    </w:rPr>
  </w:style>
  <w:style w:type="character" w:customStyle="1" w:styleId="Heading4Char">
    <w:name w:val="Heading 4 Char"/>
    <w:basedOn w:val="DefaultParagraphFont"/>
    <w:link w:val="Heading4"/>
    <w:uiPriority w:val="9"/>
    <w:semiHidden/>
    <w:rsid w:val="00304EDB"/>
    <w:rPr>
      <w:rFonts w:asciiTheme="majorHAnsi" w:eastAsiaTheme="majorEastAsia" w:hAnsiTheme="majorHAnsi" w:cstheme="majorBidi"/>
      <w:b/>
      <w:bCs/>
      <w:i/>
      <w:iCs/>
      <w:color w:val="4F81BD" w:themeColor="accent1"/>
    </w:rPr>
  </w:style>
  <w:style w:type="character" w:customStyle="1" w:styleId="norm-text">
    <w:name w:val="norm-text"/>
    <w:basedOn w:val="DefaultParagraphFont"/>
    <w:rsid w:val="00304EDB"/>
  </w:style>
  <w:style w:type="character" w:customStyle="1" w:styleId="term">
    <w:name w:val="term"/>
    <w:basedOn w:val="DefaultParagraphFont"/>
    <w:rsid w:val="00DA3990"/>
  </w:style>
  <w:style w:type="paragraph" w:styleId="ListContinue2">
    <w:name w:val="List Continue 2"/>
    <w:basedOn w:val="Normal"/>
    <w:uiPriority w:val="99"/>
    <w:semiHidden/>
    <w:unhideWhenUsed/>
    <w:rsid w:val="007329BB"/>
    <w:pPr>
      <w:spacing w:after="120"/>
      <w:ind w:left="720"/>
      <w:contextualSpacing/>
    </w:pPr>
  </w:style>
  <w:style w:type="paragraph" w:styleId="ListContinue3">
    <w:name w:val="List Continue 3"/>
    <w:basedOn w:val="Normal"/>
    <w:uiPriority w:val="99"/>
    <w:semiHidden/>
    <w:unhideWhenUsed/>
    <w:rsid w:val="007329BB"/>
    <w:pPr>
      <w:spacing w:after="120"/>
      <w:ind w:left="1080"/>
      <w:contextualSpacing/>
    </w:pPr>
  </w:style>
  <w:style w:type="paragraph" w:styleId="ListBullet2">
    <w:name w:val="List Bullet 2"/>
    <w:basedOn w:val="Normal"/>
    <w:rsid w:val="00D21D9C"/>
    <w:pPr>
      <w:numPr>
        <w:numId w:val="6"/>
      </w:numPr>
      <w:spacing w:after="220"/>
      <w:jc w:val="both"/>
    </w:pPr>
    <w:rPr>
      <w:sz w:val="22"/>
    </w:rPr>
  </w:style>
  <w:style w:type="character" w:styleId="CommentReference">
    <w:name w:val="annotation reference"/>
    <w:basedOn w:val="DefaultParagraphFont"/>
    <w:uiPriority w:val="99"/>
    <w:semiHidden/>
    <w:unhideWhenUsed/>
    <w:rsid w:val="00D45085"/>
    <w:rPr>
      <w:sz w:val="16"/>
      <w:szCs w:val="16"/>
    </w:rPr>
  </w:style>
  <w:style w:type="paragraph" w:styleId="CommentText">
    <w:name w:val="annotation text"/>
    <w:basedOn w:val="Normal"/>
    <w:link w:val="CommentTextChar"/>
    <w:uiPriority w:val="99"/>
    <w:semiHidden/>
    <w:unhideWhenUsed/>
    <w:rsid w:val="00D45085"/>
  </w:style>
  <w:style w:type="character" w:customStyle="1" w:styleId="CommentTextChar">
    <w:name w:val="Comment Text Char"/>
    <w:basedOn w:val="DefaultParagraphFont"/>
    <w:link w:val="CommentText"/>
    <w:uiPriority w:val="99"/>
    <w:semiHidden/>
    <w:rsid w:val="00D45085"/>
  </w:style>
  <w:style w:type="paragraph" w:styleId="CommentSubject">
    <w:name w:val="annotation subject"/>
    <w:basedOn w:val="CommentText"/>
    <w:next w:val="CommentText"/>
    <w:link w:val="CommentSubjectChar"/>
    <w:uiPriority w:val="99"/>
    <w:semiHidden/>
    <w:unhideWhenUsed/>
    <w:rsid w:val="00D45085"/>
    <w:rPr>
      <w:b/>
      <w:bCs/>
    </w:rPr>
  </w:style>
  <w:style w:type="character" w:customStyle="1" w:styleId="CommentSubjectChar">
    <w:name w:val="Comment Subject Char"/>
    <w:basedOn w:val="CommentTextChar"/>
    <w:link w:val="CommentSubject"/>
    <w:uiPriority w:val="99"/>
    <w:semiHidden/>
    <w:rsid w:val="00D45085"/>
    <w:rPr>
      <w:b/>
      <w:bCs/>
    </w:rPr>
  </w:style>
  <w:style w:type="paragraph" w:styleId="Revision">
    <w:name w:val="Revision"/>
    <w:hidden/>
    <w:uiPriority w:val="99"/>
    <w:semiHidden/>
    <w:rsid w:val="00F3214D"/>
  </w:style>
  <w:style w:type="paragraph" w:styleId="ListBullet4">
    <w:name w:val="List Bullet 4"/>
    <w:basedOn w:val="Normal"/>
    <w:autoRedefine/>
    <w:rsid w:val="006200A0"/>
    <w:pPr>
      <w:numPr>
        <w:numId w:val="7"/>
      </w:numPr>
    </w:pPr>
    <w:rPr>
      <w:sz w:val="22"/>
      <w:szCs w:val="24"/>
    </w:rPr>
  </w:style>
  <w:style w:type="character" w:customStyle="1" w:styleId="Heading1Char">
    <w:name w:val="Heading 1 Char"/>
    <w:basedOn w:val="DefaultParagraphFont"/>
    <w:link w:val="Heading1"/>
    <w:uiPriority w:val="9"/>
    <w:rsid w:val="00E06950"/>
    <w:rPr>
      <w:rFonts w:asciiTheme="majorHAnsi" w:eastAsiaTheme="majorEastAsia" w:hAnsiTheme="majorHAnsi" w:cstheme="majorBidi"/>
      <w:b/>
      <w:bCs/>
      <w:color w:val="365F91" w:themeColor="accent1" w:themeShade="BF"/>
      <w:sz w:val="28"/>
      <w:szCs w:val="28"/>
    </w:rPr>
  </w:style>
  <w:style w:type="paragraph" w:customStyle="1" w:styleId="article-publishdate">
    <w:name w:val="article-publishdate"/>
    <w:basedOn w:val="Normal"/>
    <w:rsid w:val="00E06950"/>
    <w:pPr>
      <w:spacing w:before="100" w:beforeAutospacing="1" w:after="150"/>
    </w:pPr>
    <w:rPr>
      <w:rFonts w:ascii="inherit" w:hAnsi="inherit"/>
      <w:vanish/>
      <w:color w:val="273A56"/>
      <w:sz w:val="24"/>
      <w:szCs w:val="24"/>
    </w:rPr>
  </w:style>
  <w:style w:type="paragraph" w:customStyle="1" w:styleId="BodyH3">
    <w:name w:val="Body H3"/>
    <w:basedOn w:val="BlockText"/>
    <w:qFormat/>
    <w:rsid w:val="005A49AE"/>
    <w:pPr>
      <w:pBdr>
        <w:top w:val="none" w:sz="0" w:space="0" w:color="auto"/>
        <w:left w:val="none" w:sz="0" w:space="0" w:color="auto"/>
        <w:bottom w:val="none" w:sz="0" w:space="0" w:color="auto"/>
        <w:right w:val="none" w:sz="0" w:space="0" w:color="auto"/>
      </w:pBdr>
      <w:spacing w:after="120" w:line="276" w:lineRule="auto"/>
      <w:ind w:left="1714" w:right="0"/>
      <w:jc w:val="both"/>
    </w:pPr>
    <w:rPr>
      <w:rFonts w:ascii="Garamond" w:hAnsi="Garamond"/>
      <w:i w:val="0"/>
      <w:color w:val="auto"/>
      <w:sz w:val="24"/>
      <w:szCs w:val="24"/>
    </w:rPr>
  </w:style>
  <w:style w:type="paragraph" w:styleId="BlockText">
    <w:name w:val="Block Text"/>
    <w:basedOn w:val="Normal"/>
    <w:uiPriority w:val="99"/>
    <w:semiHidden/>
    <w:unhideWhenUsed/>
    <w:rsid w:val="005A49A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HTMLDefinition">
    <w:name w:val="HTML Definition"/>
    <w:basedOn w:val="DefaultParagraphFont"/>
    <w:uiPriority w:val="99"/>
    <w:semiHidden/>
    <w:unhideWhenUsed/>
    <w:rsid w:val="00F25F5D"/>
    <w:rPr>
      <w:i/>
      <w:iCs/>
    </w:rPr>
  </w:style>
  <w:style w:type="paragraph" w:customStyle="1" w:styleId="Subtitle1">
    <w:name w:val="Subtitle1"/>
    <w:basedOn w:val="Heading2"/>
    <w:rsid w:val="00A33EA5"/>
    <w:pPr>
      <w:spacing w:after="220"/>
    </w:pPr>
    <w:rPr>
      <w:b/>
      <w:sz w:val="22"/>
    </w:rPr>
  </w:style>
  <w:style w:type="character" w:customStyle="1" w:styleId="inlinewhereami">
    <w:name w:val="inlinewhereami"/>
    <w:basedOn w:val="DefaultParagraphFont"/>
    <w:rsid w:val="00150CE4"/>
  </w:style>
  <w:style w:type="character" w:styleId="Emphasis">
    <w:name w:val="Emphasis"/>
    <w:basedOn w:val="DefaultParagraphFont"/>
    <w:uiPriority w:val="20"/>
    <w:qFormat/>
    <w:rsid w:val="006C6A8A"/>
    <w:rPr>
      <w:i/>
      <w:iCs/>
    </w:rPr>
  </w:style>
  <w:style w:type="character" w:customStyle="1" w:styleId="definition">
    <w:name w:val="definition"/>
    <w:basedOn w:val="DefaultParagraphFont"/>
    <w:rsid w:val="002E45E2"/>
  </w:style>
  <w:style w:type="character" w:customStyle="1" w:styleId="hvr">
    <w:name w:val="hvr"/>
    <w:basedOn w:val="DefaultParagraphFont"/>
    <w:rsid w:val="00114E3C"/>
  </w:style>
  <w:style w:type="character" w:customStyle="1" w:styleId="searchmatch">
    <w:name w:val="search_match"/>
    <w:basedOn w:val="DefaultParagraphFont"/>
    <w:rsid w:val="006838FC"/>
  </w:style>
  <w:style w:type="paragraph" w:customStyle="1" w:styleId="odd">
    <w:name w:val="odd"/>
    <w:basedOn w:val="Normal"/>
    <w:rsid w:val="0046378D"/>
    <w:pPr>
      <w:spacing w:before="100" w:beforeAutospacing="1" w:after="100" w:afterAutospacing="1"/>
    </w:pPr>
    <w:rPr>
      <w:sz w:val="24"/>
      <w:szCs w:val="24"/>
    </w:rPr>
  </w:style>
  <w:style w:type="character" w:customStyle="1" w:styleId="topicslinks">
    <w:name w:val="topicslinks"/>
    <w:basedOn w:val="DefaultParagraphFont"/>
    <w:rsid w:val="0046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10731">
      <w:bodyDiv w:val="1"/>
      <w:marLeft w:val="0"/>
      <w:marRight w:val="0"/>
      <w:marTop w:val="0"/>
      <w:marBottom w:val="0"/>
      <w:divBdr>
        <w:top w:val="none" w:sz="0" w:space="0" w:color="auto"/>
        <w:left w:val="none" w:sz="0" w:space="0" w:color="auto"/>
        <w:bottom w:val="none" w:sz="0" w:space="0" w:color="auto"/>
        <w:right w:val="none" w:sz="0" w:space="0" w:color="auto"/>
      </w:divBdr>
    </w:div>
    <w:div w:id="125589276">
      <w:bodyDiv w:val="1"/>
      <w:marLeft w:val="0"/>
      <w:marRight w:val="0"/>
      <w:marTop w:val="0"/>
      <w:marBottom w:val="0"/>
      <w:divBdr>
        <w:top w:val="none" w:sz="0" w:space="0" w:color="auto"/>
        <w:left w:val="none" w:sz="0" w:space="0" w:color="auto"/>
        <w:bottom w:val="none" w:sz="0" w:space="0" w:color="auto"/>
        <w:right w:val="none" w:sz="0" w:space="0" w:color="auto"/>
      </w:divBdr>
      <w:divsChild>
        <w:div w:id="136800223">
          <w:marLeft w:val="0"/>
          <w:marRight w:val="0"/>
          <w:marTop w:val="0"/>
          <w:marBottom w:val="0"/>
          <w:divBdr>
            <w:top w:val="none" w:sz="0" w:space="0" w:color="auto"/>
            <w:left w:val="none" w:sz="0" w:space="0" w:color="auto"/>
            <w:bottom w:val="none" w:sz="0" w:space="0" w:color="auto"/>
            <w:right w:val="none" w:sz="0" w:space="0" w:color="auto"/>
          </w:divBdr>
          <w:divsChild>
            <w:div w:id="1740059640">
              <w:marLeft w:val="300"/>
              <w:marRight w:val="300"/>
              <w:marTop w:val="0"/>
              <w:marBottom w:val="0"/>
              <w:divBdr>
                <w:top w:val="none" w:sz="0" w:space="0" w:color="auto"/>
                <w:left w:val="none" w:sz="0" w:space="0" w:color="auto"/>
                <w:bottom w:val="none" w:sz="0" w:space="0" w:color="auto"/>
                <w:right w:val="none" w:sz="0" w:space="0" w:color="auto"/>
              </w:divBdr>
              <w:divsChild>
                <w:div w:id="1879198064">
                  <w:marLeft w:val="0"/>
                  <w:marRight w:val="0"/>
                  <w:marTop w:val="0"/>
                  <w:marBottom w:val="0"/>
                  <w:divBdr>
                    <w:top w:val="none" w:sz="0" w:space="0" w:color="auto"/>
                    <w:left w:val="none" w:sz="0" w:space="0" w:color="auto"/>
                    <w:bottom w:val="none" w:sz="0" w:space="0" w:color="auto"/>
                    <w:right w:val="none" w:sz="0" w:space="0" w:color="auto"/>
                  </w:divBdr>
                  <w:divsChild>
                    <w:div w:id="523517472">
                      <w:marLeft w:val="0"/>
                      <w:marRight w:val="0"/>
                      <w:marTop w:val="0"/>
                      <w:marBottom w:val="0"/>
                      <w:divBdr>
                        <w:top w:val="none" w:sz="0" w:space="0" w:color="auto"/>
                        <w:left w:val="none" w:sz="0" w:space="0" w:color="auto"/>
                        <w:bottom w:val="none" w:sz="0" w:space="0" w:color="auto"/>
                        <w:right w:val="none" w:sz="0" w:space="0" w:color="auto"/>
                      </w:divBdr>
                      <w:divsChild>
                        <w:div w:id="2074111325">
                          <w:marLeft w:val="0"/>
                          <w:marRight w:val="0"/>
                          <w:marTop w:val="0"/>
                          <w:marBottom w:val="0"/>
                          <w:divBdr>
                            <w:top w:val="none" w:sz="0" w:space="0" w:color="auto"/>
                            <w:left w:val="none" w:sz="0" w:space="0" w:color="auto"/>
                            <w:bottom w:val="none" w:sz="0" w:space="0" w:color="auto"/>
                            <w:right w:val="none" w:sz="0" w:space="0" w:color="auto"/>
                          </w:divBdr>
                        </w:div>
                      </w:divsChild>
                    </w:div>
                    <w:div w:id="677007502">
                      <w:marLeft w:val="0"/>
                      <w:marRight w:val="0"/>
                      <w:marTop w:val="0"/>
                      <w:marBottom w:val="0"/>
                      <w:divBdr>
                        <w:top w:val="none" w:sz="0" w:space="0" w:color="auto"/>
                        <w:left w:val="none" w:sz="0" w:space="0" w:color="auto"/>
                        <w:bottom w:val="none" w:sz="0" w:space="0" w:color="auto"/>
                        <w:right w:val="none" w:sz="0" w:space="0" w:color="auto"/>
                      </w:divBdr>
                      <w:divsChild>
                        <w:div w:id="194584107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2357517">
      <w:bodyDiv w:val="1"/>
      <w:marLeft w:val="0"/>
      <w:marRight w:val="0"/>
      <w:marTop w:val="0"/>
      <w:marBottom w:val="0"/>
      <w:divBdr>
        <w:top w:val="none" w:sz="0" w:space="0" w:color="auto"/>
        <w:left w:val="none" w:sz="0" w:space="0" w:color="auto"/>
        <w:bottom w:val="none" w:sz="0" w:space="0" w:color="auto"/>
        <w:right w:val="none" w:sz="0" w:space="0" w:color="auto"/>
      </w:divBdr>
      <w:divsChild>
        <w:div w:id="1382243139">
          <w:marLeft w:val="0"/>
          <w:marRight w:val="0"/>
          <w:marTop w:val="0"/>
          <w:marBottom w:val="240"/>
          <w:divBdr>
            <w:top w:val="none" w:sz="0" w:space="0" w:color="auto"/>
            <w:left w:val="none" w:sz="0" w:space="0" w:color="auto"/>
            <w:bottom w:val="none" w:sz="0" w:space="0" w:color="auto"/>
            <w:right w:val="none" w:sz="0" w:space="0" w:color="auto"/>
          </w:divBdr>
        </w:div>
        <w:div w:id="180515695">
          <w:marLeft w:val="0"/>
          <w:marRight w:val="0"/>
          <w:marTop w:val="0"/>
          <w:marBottom w:val="300"/>
          <w:divBdr>
            <w:top w:val="none" w:sz="0" w:space="0" w:color="auto"/>
            <w:left w:val="none" w:sz="0" w:space="0" w:color="auto"/>
            <w:bottom w:val="none" w:sz="0" w:space="0" w:color="auto"/>
            <w:right w:val="none" w:sz="0" w:space="0" w:color="auto"/>
          </w:divBdr>
          <w:divsChild>
            <w:div w:id="144519141">
              <w:marLeft w:val="0"/>
              <w:marRight w:val="0"/>
              <w:marTop w:val="240"/>
              <w:marBottom w:val="0"/>
              <w:divBdr>
                <w:top w:val="none" w:sz="0" w:space="0" w:color="auto"/>
                <w:left w:val="none" w:sz="0" w:space="0" w:color="auto"/>
                <w:bottom w:val="none" w:sz="0" w:space="0" w:color="auto"/>
                <w:right w:val="none" w:sz="0" w:space="0" w:color="auto"/>
              </w:divBdr>
              <w:divsChild>
                <w:div w:id="14639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86564">
      <w:bodyDiv w:val="1"/>
      <w:marLeft w:val="0"/>
      <w:marRight w:val="0"/>
      <w:marTop w:val="0"/>
      <w:marBottom w:val="0"/>
      <w:divBdr>
        <w:top w:val="none" w:sz="0" w:space="0" w:color="auto"/>
        <w:left w:val="none" w:sz="0" w:space="0" w:color="auto"/>
        <w:bottom w:val="none" w:sz="0" w:space="0" w:color="auto"/>
        <w:right w:val="none" w:sz="0" w:space="0" w:color="auto"/>
      </w:divBdr>
    </w:div>
    <w:div w:id="296835813">
      <w:bodyDiv w:val="1"/>
      <w:marLeft w:val="0"/>
      <w:marRight w:val="0"/>
      <w:marTop w:val="0"/>
      <w:marBottom w:val="0"/>
      <w:divBdr>
        <w:top w:val="none" w:sz="0" w:space="0" w:color="auto"/>
        <w:left w:val="none" w:sz="0" w:space="0" w:color="auto"/>
        <w:bottom w:val="none" w:sz="0" w:space="0" w:color="auto"/>
        <w:right w:val="none" w:sz="0" w:space="0" w:color="auto"/>
      </w:divBdr>
      <w:divsChild>
        <w:div w:id="1341853784">
          <w:marLeft w:val="0"/>
          <w:marRight w:val="0"/>
          <w:marTop w:val="0"/>
          <w:marBottom w:val="0"/>
          <w:divBdr>
            <w:top w:val="none" w:sz="0" w:space="0" w:color="auto"/>
            <w:left w:val="none" w:sz="0" w:space="0" w:color="auto"/>
            <w:bottom w:val="none" w:sz="0" w:space="0" w:color="auto"/>
            <w:right w:val="none" w:sz="0" w:space="0" w:color="auto"/>
          </w:divBdr>
          <w:divsChild>
            <w:div w:id="108595239">
              <w:marLeft w:val="0"/>
              <w:marRight w:val="0"/>
              <w:marTop w:val="0"/>
              <w:marBottom w:val="0"/>
              <w:divBdr>
                <w:top w:val="none" w:sz="0" w:space="0" w:color="auto"/>
                <w:left w:val="none" w:sz="0" w:space="0" w:color="auto"/>
                <w:bottom w:val="none" w:sz="0" w:space="0" w:color="auto"/>
                <w:right w:val="none" w:sz="0" w:space="0" w:color="auto"/>
              </w:divBdr>
              <w:divsChild>
                <w:div w:id="666792254">
                  <w:marLeft w:val="0"/>
                  <w:marRight w:val="0"/>
                  <w:marTop w:val="360"/>
                  <w:marBottom w:val="0"/>
                  <w:divBdr>
                    <w:top w:val="none" w:sz="0" w:space="0" w:color="auto"/>
                    <w:left w:val="none" w:sz="0" w:space="0" w:color="auto"/>
                    <w:bottom w:val="none" w:sz="0" w:space="0" w:color="auto"/>
                    <w:right w:val="none" w:sz="0" w:space="0" w:color="auto"/>
                  </w:divBdr>
                  <w:divsChild>
                    <w:div w:id="1268077378">
                      <w:marLeft w:val="0"/>
                      <w:marRight w:val="0"/>
                      <w:marTop w:val="360"/>
                      <w:marBottom w:val="0"/>
                      <w:divBdr>
                        <w:top w:val="none" w:sz="0" w:space="0" w:color="auto"/>
                        <w:left w:val="none" w:sz="0" w:space="0" w:color="auto"/>
                        <w:bottom w:val="none" w:sz="0" w:space="0" w:color="auto"/>
                        <w:right w:val="none" w:sz="0" w:space="0" w:color="auto"/>
                      </w:divBdr>
                      <w:divsChild>
                        <w:div w:id="266819330">
                          <w:marLeft w:val="0"/>
                          <w:marRight w:val="0"/>
                          <w:marTop w:val="0"/>
                          <w:marBottom w:val="240"/>
                          <w:divBdr>
                            <w:top w:val="none" w:sz="0" w:space="0" w:color="auto"/>
                            <w:left w:val="none" w:sz="0" w:space="0" w:color="auto"/>
                            <w:bottom w:val="none" w:sz="0" w:space="0" w:color="auto"/>
                            <w:right w:val="none" w:sz="0" w:space="0" w:color="auto"/>
                          </w:divBdr>
                        </w:div>
                        <w:div w:id="2071028079">
                          <w:marLeft w:val="0"/>
                          <w:marRight w:val="0"/>
                          <w:marTop w:val="0"/>
                          <w:marBottom w:val="240"/>
                          <w:divBdr>
                            <w:top w:val="none" w:sz="0" w:space="0" w:color="auto"/>
                            <w:left w:val="none" w:sz="0" w:space="0" w:color="auto"/>
                            <w:bottom w:val="none" w:sz="0" w:space="0" w:color="auto"/>
                            <w:right w:val="none" w:sz="0" w:space="0" w:color="auto"/>
                          </w:divBdr>
                        </w:div>
                        <w:div w:id="1937319767">
                          <w:marLeft w:val="0"/>
                          <w:marRight w:val="0"/>
                          <w:marTop w:val="0"/>
                          <w:marBottom w:val="240"/>
                          <w:divBdr>
                            <w:top w:val="none" w:sz="0" w:space="0" w:color="auto"/>
                            <w:left w:val="none" w:sz="0" w:space="0" w:color="auto"/>
                            <w:bottom w:val="none" w:sz="0" w:space="0" w:color="auto"/>
                            <w:right w:val="none" w:sz="0" w:space="0" w:color="auto"/>
                          </w:divBdr>
                          <w:divsChild>
                            <w:div w:id="1397782508">
                              <w:marLeft w:val="0"/>
                              <w:marRight w:val="0"/>
                              <w:marTop w:val="0"/>
                              <w:marBottom w:val="0"/>
                              <w:divBdr>
                                <w:top w:val="none" w:sz="0" w:space="0" w:color="auto"/>
                                <w:left w:val="none" w:sz="0" w:space="0" w:color="auto"/>
                                <w:bottom w:val="none" w:sz="0" w:space="0" w:color="auto"/>
                                <w:right w:val="none" w:sz="0" w:space="0" w:color="auto"/>
                              </w:divBdr>
                              <w:divsChild>
                                <w:div w:id="1827940195">
                                  <w:marLeft w:val="0"/>
                                  <w:marRight w:val="0"/>
                                  <w:marTop w:val="0"/>
                                  <w:marBottom w:val="0"/>
                                  <w:divBdr>
                                    <w:top w:val="none" w:sz="0" w:space="0" w:color="auto"/>
                                    <w:left w:val="none" w:sz="0" w:space="0" w:color="auto"/>
                                    <w:bottom w:val="none" w:sz="0" w:space="0" w:color="auto"/>
                                    <w:right w:val="none" w:sz="0" w:space="0" w:color="auto"/>
                                  </w:divBdr>
                                </w:div>
                                <w:div w:id="443886774">
                                  <w:marLeft w:val="0"/>
                                  <w:marRight w:val="0"/>
                                  <w:marTop w:val="0"/>
                                  <w:marBottom w:val="0"/>
                                  <w:divBdr>
                                    <w:top w:val="none" w:sz="0" w:space="0" w:color="auto"/>
                                    <w:left w:val="none" w:sz="0" w:space="0" w:color="auto"/>
                                    <w:bottom w:val="none" w:sz="0" w:space="0" w:color="auto"/>
                                    <w:right w:val="none" w:sz="0" w:space="0" w:color="auto"/>
                                  </w:divBdr>
                                </w:div>
                              </w:divsChild>
                            </w:div>
                            <w:div w:id="864371750">
                              <w:marLeft w:val="0"/>
                              <w:marRight w:val="0"/>
                              <w:marTop w:val="0"/>
                              <w:marBottom w:val="0"/>
                              <w:divBdr>
                                <w:top w:val="none" w:sz="0" w:space="0" w:color="auto"/>
                                <w:left w:val="none" w:sz="0" w:space="0" w:color="auto"/>
                                <w:bottom w:val="none" w:sz="0" w:space="0" w:color="auto"/>
                                <w:right w:val="none" w:sz="0" w:space="0" w:color="auto"/>
                              </w:divBdr>
                            </w:div>
                          </w:divsChild>
                        </w:div>
                        <w:div w:id="1832327944">
                          <w:marLeft w:val="0"/>
                          <w:marRight w:val="0"/>
                          <w:marTop w:val="0"/>
                          <w:marBottom w:val="240"/>
                          <w:divBdr>
                            <w:top w:val="none" w:sz="0" w:space="0" w:color="auto"/>
                            <w:left w:val="none" w:sz="0" w:space="0" w:color="auto"/>
                            <w:bottom w:val="none" w:sz="0" w:space="0" w:color="auto"/>
                            <w:right w:val="none" w:sz="0" w:space="0" w:color="auto"/>
                          </w:divBdr>
                          <w:divsChild>
                            <w:div w:id="1007097739">
                              <w:marLeft w:val="0"/>
                              <w:marRight w:val="0"/>
                              <w:marTop w:val="0"/>
                              <w:marBottom w:val="0"/>
                              <w:divBdr>
                                <w:top w:val="none" w:sz="0" w:space="0" w:color="auto"/>
                                <w:left w:val="none" w:sz="0" w:space="0" w:color="auto"/>
                                <w:bottom w:val="none" w:sz="0" w:space="0" w:color="auto"/>
                                <w:right w:val="none" w:sz="0" w:space="0" w:color="auto"/>
                              </w:divBdr>
                            </w:div>
                            <w:div w:id="733503899">
                              <w:marLeft w:val="0"/>
                              <w:marRight w:val="0"/>
                              <w:marTop w:val="0"/>
                              <w:marBottom w:val="0"/>
                              <w:divBdr>
                                <w:top w:val="none" w:sz="0" w:space="0" w:color="auto"/>
                                <w:left w:val="none" w:sz="0" w:space="0" w:color="auto"/>
                                <w:bottom w:val="none" w:sz="0" w:space="0" w:color="auto"/>
                                <w:right w:val="none" w:sz="0" w:space="0" w:color="auto"/>
                              </w:divBdr>
                            </w:div>
                            <w:div w:id="459957171">
                              <w:marLeft w:val="0"/>
                              <w:marRight w:val="0"/>
                              <w:marTop w:val="0"/>
                              <w:marBottom w:val="0"/>
                              <w:divBdr>
                                <w:top w:val="none" w:sz="0" w:space="0" w:color="auto"/>
                                <w:left w:val="none" w:sz="0" w:space="0" w:color="auto"/>
                                <w:bottom w:val="none" w:sz="0" w:space="0" w:color="auto"/>
                                <w:right w:val="none" w:sz="0" w:space="0" w:color="auto"/>
                              </w:divBdr>
                            </w:div>
                            <w:div w:id="1994751887">
                              <w:marLeft w:val="0"/>
                              <w:marRight w:val="0"/>
                              <w:marTop w:val="0"/>
                              <w:marBottom w:val="0"/>
                              <w:divBdr>
                                <w:top w:val="none" w:sz="0" w:space="0" w:color="auto"/>
                                <w:left w:val="none" w:sz="0" w:space="0" w:color="auto"/>
                                <w:bottom w:val="none" w:sz="0" w:space="0" w:color="auto"/>
                                <w:right w:val="none" w:sz="0" w:space="0" w:color="auto"/>
                              </w:divBdr>
                            </w:div>
                            <w:div w:id="1027410157">
                              <w:marLeft w:val="0"/>
                              <w:marRight w:val="0"/>
                              <w:marTop w:val="0"/>
                              <w:marBottom w:val="0"/>
                              <w:divBdr>
                                <w:top w:val="none" w:sz="0" w:space="0" w:color="auto"/>
                                <w:left w:val="none" w:sz="0" w:space="0" w:color="auto"/>
                                <w:bottom w:val="none" w:sz="0" w:space="0" w:color="auto"/>
                                <w:right w:val="none" w:sz="0" w:space="0" w:color="auto"/>
                              </w:divBdr>
                            </w:div>
                          </w:divsChild>
                        </w:div>
                        <w:div w:id="341779286">
                          <w:marLeft w:val="0"/>
                          <w:marRight w:val="0"/>
                          <w:marTop w:val="0"/>
                          <w:marBottom w:val="240"/>
                          <w:divBdr>
                            <w:top w:val="none" w:sz="0" w:space="0" w:color="auto"/>
                            <w:left w:val="none" w:sz="0" w:space="0" w:color="auto"/>
                            <w:bottom w:val="none" w:sz="0" w:space="0" w:color="auto"/>
                            <w:right w:val="none" w:sz="0" w:space="0" w:color="auto"/>
                          </w:divBdr>
                        </w:div>
                        <w:div w:id="7337412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08826066">
      <w:bodyDiv w:val="1"/>
      <w:marLeft w:val="0"/>
      <w:marRight w:val="0"/>
      <w:marTop w:val="0"/>
      <w:marBottom w:val="0"/>
      <w:divBdr>
        <w:top w:val="none" w:sz="0" w:space="0" w:color="auto"/>
        <w:left w:val="none" w:sz="0" w:space="0" w:color="auto"/>
        <w:bottom w:val="none" w:sz="0" w:space="0" w:color="auto"/>
        <w:right w:val="none" w:sz="0" w:space="0" w:color="auto"/>
      </w:divBdr>
    </w:div>
    <w:div w:id="317999457">
      <w:bodyDiv w:val="1"/>
      <w:marLeft w:val="0"/>
      <w:marRight w:val="0"/>
      <w:marTop w:val="0"/>
      <w:marBottom w:val="0"/>
      <w:divBdr>
        <w:top w:val="none" w:sz="0" w:space="0" w:color="auto"/>
        <w:left w:val="none" w:sz="0" w:space="0" w:color="auto"/>
        <w:bottom w:val="none" w:sz="0" w:space="0" w:color="auto"/>
        <w:right w:val="none" w:sz="0" w:space="0" w:color="auto"/>
      </w:divBdr>
    </w:div>
    <w:div w:id="546727015">
      <w:bodyDiv w:val="1"/>
      <w:marLeft w:val="0"/>
      <w:marRight w:val="0"/>
      <w:marTop w:val="0"/>
      <w:marBottom w:val="0"/>
      <w:divBdr>
        <w:top w:val="none" w:sz="0" w:space="0" w:color="auto"/>
        <w:left w:val="none" w:sz="0" w:space="0" w:color="auto"/>
        <w:bottom w:val="none" w:sz="0" w:space="0" w:color="auto"/>
        <w:right w:val="none" w:sz="0" w:space="0" w:color="auto"/>
      </w:divBdr>
      <w:divsChild>
        <w:div w:id="1424379091">
          <w:marLeft w:val="0"/>
          <w:marRight w:val="0"/>
          <w:marTop w:val="0"/>
          <w:marBottom w:val="240"/>
          <w:divBdr>
            <w:top w:val="none" w:sz="0" w:space="0" w:color="auto"/>
            <w:left w:val="none" w:sz="0" w:space="0" w:color="auto"/>
            <w:bottom w:val="none" w:sz="0" w:space="0" w:color="auto"/>
            <w:right w:val="none" w:sz="0" w:space="0" w:color="auto"/>
          </w:divBdr>
        </w:div>
        <w:div w:id="1187334170">
          <w:marLeft w:val="0"/>
          <w:marRight w:val="0"/>
          <w:marTop w:val="240"/>
          <w:marBottom w:val="0"/>
          <w:divBdr>
            <w:top w:val="none" w:sz="0" w:space="0" w:color="auto"/>
            <w:left w:val="none" w:sz="0" w:space="0" w:color="auto"/>
            <w:bottom w:val="none" w:sz="0" w:space="0" w:color="auto"/>
            <w:right w:val="none" w:sz="0" w:space="0" w:color="auto"/>
          </w:divBdr>
          <w:divsChild>
            <w:div w:id="107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5880">
      <w:bodyDiv w:val="1"/>
      <w:marLeft w:val="0"/>
      <w:marRight w:val="0"/>
      <w:marTop w:val="0"/>
      <w:marBottom w:val="0"/>
      <w:divBdr>
        <w:top w:val="none" w:sz="0" w:space="0" w:color="auto"/>
        <w:left w:val="none" w:sz="0" w:space="0" w:color="auto"/>
        <w:bottom w:val="none" w:sz="0" w:space="0" w:color="auto"/>
        <w:right w:val="none" w:sz="0" w:space="0" w:color="auto"/>
      </w:divBdr>
      <w:divsChild>
        <w:div w:id="2005621937">
          <w:marLeft w:val="0"/>
          <w:marRight w:val="0"/>
          <w:marTop w:val="0"/>
          <w:marBottom w:val="0"/>
          <w:divBdr>
            <w:top w:val="none" w:sz="0" w:space="0" w:color="auto"/>
            <w:left w:val="none" w:sz="0" w:space="0" w:color="auto"/>
            <w:bottom w:val="none" w:sz="0" w:space="0" w:color="auto"/>
            <w:right w:val="none" w:sz="0" w:space="0" w:color="auto"/>
          </w:divBdr>
          <w:divsChild>
            <w:div w:id="776339866">
              <w:marLeft w:val="0"/>
              <w:marRight w:val="0"/>
              <w:marTop w:val="0"/>
              <w:marBottom w:val="0"/>
              <w:divBdr>
                <w:top w:val="none" w:sz="0" w:space="0" w:color="auto"/>
                <w:left w:val="none" w:sz="0" w:space="0" w:color="auto"/>
                <w:bottom w:val="none" w:sz="0" w:space="0" w:color="auto"/>
                <w:right w:val="none" w:sz="0" w:space="0" w:color="auto"/>
              </w:divBdr>
              <w:divsChild>
                <w:div w:id="1492258001">
                  <w:marLeft w:val="0"/>
                  <w:marRight w:val="0"/>
                  <w:marTop w:val="0"/>
                  <w:marBottom w:val="0"/>
                  <w:divBdr>
                    <w:top w:val="none" w:sz="0" w:space="0" w:color="auto"/>
                    <w:left w:val="none" w:sz="0" w:space="0" w:color="auto"/>
                    <w:bottom w:val="none" w:sz="0" w:space="0" w:color="auto"/>
                    <w:right w:val="none" w:sz="0" w:space="0" w:color="auto"/>
                  </w:divBdr>
                  <w:divsChild>
                    <w:div w:id="490341081">
                      <w:marLeft w:val="0"/>
                      <w:marRight w:val="0"/>
                      <w:marTop w:val="0"/>
                      <w:marBottom w:val="0"/>
                      <w:divBdr>
                        <w:top w:val="none" w:sz="0" w:space="0" w:color="auto"/>
                        <w:left w:val="none" w:sz="0" w:space="0" w:color="auto"/>
                        <w:bottom w:val="none" w:sz="0" w:space="0" w:color="auto"/>
                        <w:right w:val="none" w:sz="0" w:space="0" w:color="auto"/>
                      </w:divBdr>
                      <w:divsChild>
                        <w:div w:id="537199770">
                          <w:marLeft w:val="0"/>
                          <w:marRight w:val="0"/>
                          <w:marTop w:val="0"/>
                          <w:marBottom w:val="0"/>
                          <w:divBdr>
                            <w:top w:val="none" w:sz="0" w:space="0" w:color="auto"/>
                            <w:left w:val="none" w:sz="0" w:space="0" w:color="auto"/>
                            <w:bottom w:val="none" w:sz="0" w:space="0" w:color="auto"/>
                            <w:right w:val="none" w:sz="0" w:space="0" w:color="auto"/>
                          </w:divBdr>
                          <w:divsChild>
                            <w:div w:id="1703704058">
                              <w:marLeft w:val="0"/>
                              <w:marRight w:val="0"/>
                              <w:marTop w:val="0"/>
                              <w:marBottom w:val="0"/>
                              <w:divBdr>
                                <w:top w:val="none" w:sz="0" w:space="0" w:color="auto"/>
                                <w:left w:val="none" w:sz="0" w:space="0" w:color="auto"/>
                                <w:bottom w:val="none" w:sz="0" w:space="0" w:color="auto"/>
                                <w:right w:val="none" w:sz="0" w:space="0" w:color="auto"/>
                              </w:divBdr>
                              <w:divsChild>
                                <w:div w:id="425926904">
                                  <w:marLeft w:val="0"/>
                                  <w:marRight w:val="0"/>
                                  <w:marTop w:val="0"/>
                                  <w:marBottom w:val="0"/>
                                  <w:divBdr>
                                    <w:top w:val="none" w:sz="0" w:space="0" w:color="auto"/>
                                    <w:left w:val="none" w:sz="0" w:space="0" w:color="auto"/>
                                    <w:bottom w:val="none" w:sz="0" w:space="0" w:color="auto"/>
                                    <w:right w:val="none" w:sz="0" w:space="0" w:color="auto"/>
                                  </w:divBdr>
                                  <w:divsChild>
                                    <w:div w:id="1581057365">
                                      <w:marLeft w:val="0"/>
                                      <w:marRight w:val="0"/>
                                      <w:marTop w:val="0"/>
                                      <w:marBottom w:val="0"/>
                                      <w:divBdr>
                                        <w:top w:val="none" w:sz="0" w:space="0" w:color="auto"/>
                                        <w:left w:val="none" w:sz="0" w:space="0" w:color="auto"/>
                                        <w:bottom w:val="none" w:sz="0" w:space="0" w:color="auto"/>
                                        <w:right w:val="none" w:sz="0" w:space="0" w:color="auto"/>
                                      </w:divBdr>
                                      <w:divsChild>
                                        <w:div w:id="627587899">
                                          <w:marLeft w:val="0"/>
                                          <w:marRight w:val="0"/>
                                          <w:marTop w:val="0"/>
                                          <w:marBottom w:val="0"/>
                                          <w:divBdr>
                                            <w:top w:val="none" w:sz="0" w:space="0" w:color="auto"/>
                                            <w:left w:val="none" w:sz="0" w:space="0" w:color="auto"/>
                                            <w:bottom w:val="none" w:sz="0" w:space="0" w:color="auto"/>
                                            <w:right w:val="none" w:sz="0" w:space="0" w:color="auto"/>
                                          </w:divBdr>
                                          <w:divsChild>
                                            <w:div w:id="740907302">
                                              <w:marLeft w:val="0"/>
                                              <w:marRight w:val="0"/>
                                              <w:marTop w:val="0"/>
                                              <w:marBottom w:val="0"/>
                                              <w:divBdr>
                                                <w:top w:val="none" w:sz="0" w:space="0" w:color="auto"/>
                                                <w:left w:val="none" w:sz="0" w:space="0" w:color="auto"/>
                                                <w:bottom w:val="none" w:sz="0" w:space="0" w:color="auto"/>
                                                <w:right w:val="none" w:sz="0" w:space="0" w:color="auto"/>
                                              </w:divBdr>
                                              <w:divsChild>
                                                <w:div w:id="973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3187806">
      <w:bodyDiv w:val="1"/>
      <w:marLeft w:val="0"/>
      <w:marRight w:val="0"/>
      <w:marTop w:val="0"/>
      <w:marBottom w:val="0"/>
      <w:divBdr>
        <w:top w:val="none" w:sz="0" w:space="0" w:color="auto"/>
        <w:left w:val="none" w:sz="0" w:space="0" w:color="auto"/>
        <w:bottom w:val="none" w:sz="0" w:space="0" w:color="auto"/>
        <w:right w:val="none" w:sz="0" w:space="0" w:color="auto"/>
      </w:divBdr>
      <w:divsChild>
        <w:div w:id="1914467564">
          <w:marLeft w:val="0"/>
          <w:marRight w:val="0"/>
          <w:marTop w:val="0"/>
          <w:marBottom w:val="0"/>
          <w:divBdr>
            <w:top w:val="none" w:sz="0" w:space="0" w:color="auto"/>
            <w:left w:val="none" w:sz="0" w:space="0" w:color="auto"/>
            <w:bottom w:val="none" w:sz="0" w:space="0" w:color="auto"/>
            <w:right w:val="none" w:sz="0" w:space="0" w:color="auto"/>
          </w:divBdr>
          <w:divsChild>
            <w:div w:id="454176070">
              <w:marLeft w:val="0"/>
              <w:marRight w:val="0"/>
              <w:marTop w:val="0"/>
              <w:marBottom w:val="0"/>
              <w:divBdr>
                <w:top w:val="none" w:sz="0" w:space="0" w:color="auto"/>
                <w:left w:val="none" w:sz="0" w:space="0" w:color="auto"/>
                <w:bottom w:val="none" w:sz="0" w:space="0" w:color="auto"/>
                <w:right w:val="none" w:sz="0" w:space="0" w:color="auto"/>
              </w:divBdr>
              <w:divsChild>
                <w:div w:id="936717823">
                  <w:marLeft w:val="0"/>
                  <w:marRight w:val="0"/>
                  <w:marTop w:val="360"/>
                  <w:marBottom w:val="0"/>
                  <w:divBdr>
                    <w:top w:val="none" w:sz="0" w:space="0" w:color="auto"/>
                    <w:left w:val="none" w:sz="0" w:space="0" w:color="auto"/>
                    <w:bottom w:val="none" w:sz="0" w:space="0" w:color="auto"/>
                    <w:right w:val="none" w:sz="0" w:space="0" w:color="auto"/>
                  </w:divBdr>
                  <w:divsChild>
                    <w:div w:id="489561035">
                      <w:marLeft w:val="0"/>
                      <w:marRight w:val="0"/>
                      <w:marTop w:val="360"/>
                      <w:marBottom w:val="0"/>
                      <w:divBdr>
                        <w:top w:val="none" w:sz="0" w:space="0" w:color="auto"/>
                        <w:left w:val="none" w:sz="0" w:space="0" w:color="auto"/>
                        <w:bottom w:val="none" w:sz="0" w:space="0" w:color="auto"/>
                        <w:right w:val="none" w:sz="0" w:space="0" w:color="auto"/>
                      </w:divBdr>
                      <w:divsChild>
                        <w:div w:id="856575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7141000">
      <w:bodyDiv w:val="1"/>
      <w:marLeft w:val="0"/>
      <w:marRight w:val="0"/>
      <w:marTop w:val="0"/>
      <w:marBottom w:val="0"/>
      <w:divBdr>
        <w:top w:val="none" w:sz="0" w:space="0" w:color="auto"/>
        <w:left w:val="none" w:sz="0" w:space="0" w:color="auto"/>
        <w:bottom w:val="none" w:sz="0" w:space="0" w:color="auto"/>
        <w:right w:val="none" w:sz="0" w:space="0" w:color="auto"/>
      </w:divBdr>
      <w:divsChild>
        <w:div w:id="592052952">
          <w:marLeft w:val="0"/>
          <w:marRight w:val="0"/>
          <w:marTop w:val="0"/>
          <w:marBottom w:val="0"/>
          <w:divBdr>
            <w:top w:val="none" w:sz="0" w:space="0" w:color="auto"/>
            <w:left w:val="none" w:sz="0" w:space="0" w:color="auto"/>
            <w:bottom w:val="none" w:sz="0" w:space="0" w:color="auto"/>
            <w:right w:val="none" w:sz="0" w:space="0" w:color="auto"/>
          </w:divBdr>
          <w:divsChild>
            <w:div w:id="191381853">
              <w:marLeft w:val="0"/>
              <w:marRight w:val="0"/>
              <w:marTop w:val="0"/>
              <w:marBottom w:val="0"/>
              <w:divBdr>
                <w:top w:val="none" w:sz="0" w:space="0" w:color="auto"/>
                <w:left w:val="none" w:sz="0" w:space="0" w:color="auto"/>
                <w:bottom w:val="none" w:sz="0" w:space="0" w:color="auto"/>
                <w:right w:val="none" w:sz="0" w:space="0" w:color="auto"/>
              </w:divBdr>
              <w:divsChild>
                <w:div w:id="1469784984">
                  <w:marLeft w:val="0"/>
                  <w:marRight w:val="0"/>
                  <w:marTop w:val="360"/>
                  <w:marBottom w:val="0"/>
                  <w:divBdr>
                    <w:top w:val="none" w:sz="0" w:space="0" w:color="auto"/>
                    <w:left w:val="none" w:sz="0" w:space="0" w:color="auto"/>
                    <w:bottom w:val="none" w:sz="0" w:space="0" w:color="auto"/>
                    <w:right w:val="none" w:sz="0" w:space="0" w:color="auto"/>
                  </w:divBdr>
                  <w:divsChild>
                    <w:div w:id="806043911">
                      <w:marLeft w:val="0"/>
                      <w:marRight w:val="0"/>
                      <w:marTop w:val="0"/>
                      <w:marBottom w:val="0"/>
                      <w:divBdr>
                        <w:top w:val="none" w:sz="0" w:space="0" w:color="auto"/>
                        <w:left w:val="none" w:sz="0" w:space="0" w:color="auto"/>
                        <w:bottom w:val="none" w:sz="0" w:space="0" w:color="auto"/>
                        <w:right w:val="none" w:sz="0" w:space="0" w:color="auto"/>
                      </w:divBdr>
                      <w:divsChild>
                        <w:div w:id="13296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519924">
      <w:bodyDiv w:val="1"/>
      <w:marLeft w:val="0"/>
      <w:marRight w:val="0"/>
      <w:marTop w:val="0"/>
      <w:marBottom w:val="0"/>
      <w:divBdr>
        <w:top w:val="none" w:sz="0" w:space="0" w:color="auto"/>
        <w:left w:val="none" w:sz="0" w:space="0" w:color="auto"/>
        <w:bottom w:val="none" w:sz="0" w:space="0" w:color="auto"/>
        <w:right w:val="none" w:sz="0" w:space="0" w:color="auto"/>
      </w:divBdr>
      <w:divsChild>
        <w:div w:id="732508198">
          <w:marLeft w:val="0"/>
          <w:marRight w:val="0"/>
          <w:marTop w:val="0"/>
          <w:marBottom w:val="60"/>
          <w:divBdr>
            <w:top w:val="none" w:sz="0" w:space="0" w:color="auto"/>
            <w:left w:val="none" w:sz="0" w:space="0" w:color="auto"/>
            <w:bottom w:val="none" w:sz="0" w:space="0" w:color="auto"/>
            <w:right w:val="none" w:sz="0" w:space="0" w:color="auto"/>
          </w:divBdr>
          <w:divsChild>
            <w:div w:id="400325989">
              <w:marLeft w:val="0"/>
              <w:marRight w:val="0"/>
              <w:marTop w:val="0"/>
              <w:marBottom w:val="0"/>
              <w:divBdr>
                <w:top w:val="none" w:sz="0" w:space="0" w:color="auto"/>
                <w:left w:val="none" w:sz="0" w:space="0" w:color="auto"/>
                <w:bottom w:val="none" w:sz="0" w:space="0" w:color="auto"/>
                <w:right w:val="single" w:sz="6" w:space="8" w:color="000000"/>
              </w:divBdr>
            </w:div>
            <w:div w:id="774399148">
              <w:marLeft w:val="0"/>
              <w:marRight w:val="0"/>
              <w:marTop w:val="0"/>
              <w:marBottom w:val="0"/>
              <w:divBdr>
                <w:top w:val="none" w:sz="0" w:space="0" w:color="auto"/>
                <w:left w:val="none" w:sz="0" w:space="0" w:color="auto"/>
                <w:bottom w:val="none" w:sz="0" w:space="0" w:color="auto"/>
                <w:right w:val="none" w:sz="0" w:space="0" w:color="auto"/>
              </w:divBdr>
            </w:div>
            <w:div w:id="801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57460">
      <w:bodyDiv w:val="1"/>
      <w:marLeft w:val="0"/>
      <w:marRight w:val="0"/>
      <w:marTop w:val="0"/>
      <w:marBottom w:val="0"/>
      <w:divBdr>
        <w:top w:val="none" w:sz="0" w:space="0" w:color="auto"/>
        <w:left w:val="none" w:sz="0" w:space="0" w:color="auto"/>
        <w:bottom w:val="none" w:sz="0" w:space="0" w:color="auto"/>
        <w:right w:val="none" w:sz="0" w:space="0" w:color="auto"/>
      </w:divBdr>
      <w:divsChild>
        <w:div w:id="1341395387">
          <w:marLeft w:val="0"/>
          <w:marRight w:val="0"/>
          <w:marTop w:val="0"/>
          <w:marBottom w:val="0"/>
          <w:divBdr>
            <w:top w:val="none" w:sz="0" w:space="0" w:color="auto"/>
            <w:left w:val="none" w:sz="0" w:space="0" w:color="auto"/>
            <w:bottom w:val="none" w:sz="0" w:space="0" w:color="auto"/>
            <w:right w:val="none" w:sz="0" w:space="0" w:color="auto"/>
          </w:divBdr>
          <w:divsChild>
            <w:div w:id="271984188">
              <w:marLeft w:val="0"/>
              <w:marRight w:val="0"/>
              <w:marTop w:val="0"/>
              <w:marBottom w:val="0"/>
              <w:divBdr>
                <w:top w:val="none" w:sz="0" w:space="0" w:color="auto"/>
                <w:left w:val="none" w:sz="0" w:space="0" w:color="auto"/>
                <w:bottom w:val="none" w:sz="0" w:space="0" w:color="auto"/>
                <w:right w:val="none" w:sz="0" w:space="0" w:color="auto"/>
              </w:divBdr>
              <w:divsChild>
                <w:div w:id="747115845">
                  <w:marLeft w:val="0"/>
                  <w:marRight w:val="0"/>
                  <w:marTop w:val="360"/>
                  <w:marBottom w:val="0"/>
                  <w:divBdr>
                    <w:top w:val="none" w:sz="0" w:space="0" w:color="auto"/>
                    <w:left w:val="none" w:sz="0" w:space="0" w:color="auto"/>
                    <w:bottom w:val="none" w:sz="0" w:space="0" w:color="auto"/>
                    <w:right w:val="none" w:sz="0" w:space="0" w:color="auto"/>
                  </w:divBdr>
                  <w:divsChild>
                    <w:div w:id="2143842503">
                      <w:marLeft w:val="0"/>
                      <w:marRight w:val="0"/>
                      <w:marTop w:val="0"/>
                      <w:marBottom w:val="240"/>
                      <w:divBdr>
                        <w:top w:val="none" w:sz="0" w:space="0" w:color="auto"/>
                        <w:left w:val="none" w:sz="0" w:space="0" w:color="auto"/>
                        <w:bottom w:val="none" w:sz="0" w:space="0" w:color="auto"/>
                        <w:right w:val="none" w:sz="0" w:space="0" w:color="auto"/>
                      </w:divBdr>
                    </w:div>
                    <w:div w:id="937180885">
                      <w:marLeft w:val="0"/>
                      <w:marRight w:val="0"/>
                      <w:marTop w:val="0"/>
                      <w:marBottom w:val="240"/>
                      <w:divBdr>
                        <w:top w:val="none" w:sz="0" w:space="0" w:color="auto"/>
                        <w:left w:val="none" w:sz="0" w:space="0" w:color="auto"/>
                        <w:bottom w:val="none" w:sz="0" w:space="0" w:color="auto"/>
                        <w:right w:val="none" w:sz="0" w:space="0" w:color="auto"/>
                      </w:divBdr>
                    </w:div>
                    <w:div w:id="439376651">
                      <w:marLeft w:val="0"/>
                      <w:marRight w:val="0"/>
                      <w:marTop w:val="0"/>
                      <w:marBottom w:val="240"/>
                      <w:divBdr>
                        <w:top w:val="none" w:sz="0" w:space="0" w:color="auto"/>
                        <w:left w:val="none" w:sz="0" w:space="0" w:color="auto"/>
                        <w:bottom w:val="none" w:sz="0" w:space="0" w:color="auto"/>
                        <w:right w:val="none" w:sz="0" w:space="0" w:color="auto"/>
                      </w:divBdr>
                    </w:div>
                    <w:div w:id="736822964">
                      <w:marLeft w:val="0"/>
                      <w:marRight w:val="0"/>
                      <w:marTop w:val="0"/>
                      <w:marBottom w:val="240"/>
                      <w:divBdr>
                        <w:top w:val="none" w:sz="0" w:space="0" w:color="auto"/>
                        <w:left w:val="none" w:sz="0" w:space="0" w:color="auto"/>
                        <w:bottom w:val="none" w:sz="0" w:space="0" w:color="auto"/>
                        <w:right w:val="none" w:sz="0" w:space="0" w:color="auto"/>
                      </w:divBdr>
                      <w:divsChild>
                        <w:div w:id="1437558972">
                          <w:marLeft w:val="0"/>
                          <w:marRight w:val="0"/>
                          <w:marTop w:val="0"/>
                          <w:marBottom w:val="0"/>
                          <w:divBdr>
                            <w:top w:val="none" w:sz="0" w:space="0" w:color="auto"/>
                            <w:left w:val="none" w:sz="0" w:space="0" w:color="auto"/>
                            <w:bottom w:val="none" w:sz="0" w:space="0" w:color="auto"/>
                            <w:right w:val="none" w:sz="0" w:space="0" w:color="auto"/>
                          </w:divBdr>
                        </w:div>
                        <w:div w:id="677854013">
                          <w:marLeft w:val="0"/>
                          <w:marRight w:val="0"/>
                          <w:marTop w:val="0"/>
                          <w:marBottom w:val="0"/>
                          <w:divBdr>
                            <w:top w:val="none" w:sz="0" w:space="0" w:color="auto"/>
                            <w:left w:val="none" w:sz="0" w:space="0" w:color="auto"/>
                            <w:bottom w:val="none" w:sz="0" w:space="0" w:color="auto"/>
                            <w:right w:val="none" w:sz="0" w:space="0" w:color="auto"/>
                          </w:divBdr>
                        </w:div>
                        <w:div w:id="1013146581">
                          <w:marLeft w:val="0"/>
                          <w:marRight w:val="0"/>
                          <w:marTop w:val="0"/>
                          <w:marBottom w:val="0"/>
                          <w:divBdr>
                            <w:top w:val="none" w:sz="0" w:space="0" w:color="auto"/>
                            <w:left w:val="none" w:sz="0" w:space="0" w:color="auto"/>
                            <w:bottom w:val="none" w:sz="0" w:space="0" w:color="auto"/>
                            <w:right w:val="none" w:sz="0" w:space="0" w:color="auto"/>
                          </w:divBdr>
                        </w:div>
                        <w:div w:id="241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92140">
      <w:bodyDiv w:val="1"/>
      <w:marLeft w:val="0"/>
      <w:marRight w:val="0"/>
      <w:marTop w:val="0"/>
      <w:marBottom w:val="0"/>
      <w:divBdr>
        <w:top w:val="none" w:sz="0" w:space="0" w:color="auto"/>
        <w:left w:val="none" w:sz="0" w:space="0" w:color="auto"/>
        <w:bottom w:val="none" w:sz="0" w:space="0" w:color="auto"/>
        <w:right w:val="none" w:sz="0" w:space="0" w:color="auto"/>
      </w:divBdr>
      <w:divsChild>
        <w:div w:id="1617366602">
          <w:marLeft w:val="0"/>
          <w:marRight w:val="0"/>
          <w:marTop w:val="0"/>
          <w:marBottom w:val="0"/>
          <w:divBdr>
            <w:top w:val="none" w:sz="0" w:space="0" w:color="auto"/>
            <w:left w:val="none" w:sz="0" w:space="0" w:color="auto"/>
            <w:bottom w:val="none" w:sz="0" w:space="0" w:color="auto"/>
            <w:right w:val="none" w:sz="0" w:space="0" w:color="auto"/>
          </w:divBdr>
          <w:divsChild>
            <w:div w:id="1290745385">
              <w:marLeft w:val="0"/>
              <w:marRight w:val="0"/>
              <w:marTop w:val="0"/>
              <w:marBottom w:val="0"/>
              <w:divBdr>
                <w:top w:val="none" w:sz="0" w:space="0" w:color="auto"/>
                <w:left w:val="none" w:sz="0" w:space="0" w:color="auto"/>
                <w:bottom w:val="none" w:sz="0" w:space="0" w:color="auto"/>
                <w:right w:val="none" w:sz="0" w:space="0" w:color="auto"/>
              </w:divBdr>
              <w:divsChild>
                <w:div w:id="1162235815">
                  <w:marLeft w:val="0"/>
                  <w:marRight w:val="0"/>
                  <w:marTop w:val="0"/>
                  <w:marBottom w:val="0"/>
                  <w:divBdr>
                    <w:top w:val="none" w:sz="0" w:space="0" w:color="auto"/>
                    <w:left w:val="none" w:sz="0" w:space="0" w:color="auto"/>
                    <w:bottom w:val="none" w:sz="0" w:space="0" w:color="auto"/>
                    <w:right w:val="none" w:sz="0" w:space="0" w:color="auto"/>
                  </w:divBdr>
                  <w:divsChild>
                    <w:div w:id="1874919843">
                      <w:marLeft w:val="0"/>
                      <w:marRight w:val="0"/>
                      <w:marTop w:val="0"/>
                      <w:marBottom w:val="0"/>
                      <w:divBdr>
                        <w:top w:val="none" w:sz="0" w:space="0" w:color="auto"/>
                        <w:left w:val="none" w:sz="0" w:space="0" w:color="auto"/>
                        <w:bottom w:val="none" w:sz="0" w:space="0" w:color="auto"/>
                        <w:right w:val="none" w:sz="0" w:space="0" w:color="auto"/>
                      </w:divBdr>
                      <w:divsChild>
                        <w:div w:id="207687697">
                          <w:marLeft w:val="0"/>
                          <w:marRight w:val="0"/>
                          <w:marTop w:val="0"/>
                          <w:marBottom w:val="0"/>
                          <w:divBdr>
                            <w:top w:val="none" w:sz="0" w:space="0" w:color="auto"/>
                            <w:left w:val="none" w:sz="0" w:space="0" w:color="auto"/>
                            <w:bottom w:val="none" w:sz="0" w:space="0" w:color="auto"/>
                            <w:right w:val="none" w:sz="0" w:space="0" w:color="auto"/>
                          </w:divBdr>
                          <w:divsChild>
                            <w:div w:id="896474685">
                              <w:marLeft w:val="0"/>
                              <w:marRight w:val="0"/>
                              <w:marTop w:val="0"/>
                              <w:marBottom w:val="0"/>
                              <w:divBdr>
                                <w:top w:val="none" w:sz="0" w:space="0" w:color="auto"/>
                                <w:left w:val="none" w:sz="0" w:space="0" w:color="auto"/>
                                <w:bottom w:val="none" w:sz="0" w:space="0" w:color="auto"/>
                                <w:right w:val="none" w:sz="0" w:space="0" w:color="auto"/>
                              </w:divBdr>
                              <w:divsChild>
                                <w:div w:id="1613391870">
                                  <w:marLeft w:val="0"/>
                                  <w:marRight w:val="0"/>
                                  <w:marTop w:val="0"/>
                                  <w:marBottom w:val="0"/>
                                  <w:divBdr>
                                    <w:top w:val="none" w:sz="0" w:space="0" w:color="auto"/>
                                    <w:left w:val="none" w:sz="0" w:space="0" w:color="auto"/>
                                    <w:bottom w:val="none" w:sz="0" w:space="0" w:color="auto"/>
                                    <w:right w:val="none" w:sz="0" w:space="0" w:color="auto"/>
                                  </w:divBdr>
                                  <w:divsChild>
                                    <w:div w:id="1635209718">
                                      <w:marLeft w:val="0"/>
                                      <w:marRight w:val="0"/>
                                      <w:marTop w:val="0"/>
                                      <w:marBottom w:val="0"/>
                                      <w:divBdr>
                                        <w:top w:val="none" w:sz="0" w:space="0" w:color="auto"/>
                                        <w:left w:val="none" w:sz="0" w:space="0" w:color="auto"/>
                                        <w:bottom w:val="none" w:sz="0" w:space="0" w:color="auto"/>
                                        <w:right w:val="none" w:sz="0" w:space="0" w:color="auto"/>
                                      </w:divBdr>
                                      <w:divsChild>
                                        <w:div w:id="1977758142">
                                          <w:marLeft w:val="0"/>
                                          <w:marRight w:val="0"/>
                                          <w:marTop w:val="0"/>
                                          <w:marBottom w:val="0"/>
                                          <w:divBdr>
                                            <w:top w:val="none" w:sz="0" w:space="0" w:color="auto"/>
                                            <w:left w:val="none" w:sz="0" w:space="0" w:color="auto"/>
                                            <w:bottom w:val="none" w:sz="0" w:space="0" w:color="auto"/>
                                            <w:right w:val="none" w:sz="0" w:space="0" w:color="auto"/>
                                          </w:divBdr>
                                          <w:divsChild>
                                            <w:div w:id="1090470099">
                                              <w:marLeft w:val="0"/>
                                              <w:marRight w:val="0"/>
                                              <w:marTop w:val="0"/>
                                              <w:marBottom w:val="0"/>
                                              <w:divBdr>
                                                <w:top w:val="none" w:sz="0" w:space="0" w:color="auto"/>
                                                <w:left w:val="none" w:sz="0" w:space="0" w:color="auto"/>
                                                <w:bottom w:val="none" w:sz="0" w:space="0" w:color="auto"/>
                                                <w:right w:val="none" w:sz="0" w:space="0" w:color="auto"/>
                                              </w:divBdr>
                                              <w:divsChild>
                                                <w:div w:id="14547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405659">
      <w:bodyDiv w:val="1"/>
      <w:marLeft w:val="0"/>
      <w:marRight w:val="0"/>
      <w:marTop w:val="0"/>
      <w:marBottom w:val="0"/>
      <w:divBdr>
        <w:top w:val="none" w:sz="0" w:space="0" w:color="auto"/>
        <w:left w:val="none" w:sz="0" w:space="0" w:color="auto"/>
        <w:bottom w:val="none" w:sz="0" w:space="0" w:color="auto"/>
        <w:right w:val="none" w:sz="0" w:space="0" w:color="auto"/>
      </w:divBdr>
      <w:divsChild>
        <w:div w:id="1755660417">
          <w:marLeft w:val="0"/>
          <w:marRight w:val="0"/>
          <w:marTop w:val="0"/>
          <w:marBottom w:val="0"/>
          <w:divBdr>
            <w:top w:val="none" w:sz="0" w:space="0" w:color="auto"/>
            <w:left w:val="none" w:sz="0" w:space="0" w:color="auto"/>
            <w:bottom w:val="none" w:sz="0" w:space="0" w:color="auto"/>
            <w:right w:val="none" w:sz="0" w:space="0" w:color="auto"/>
          </w:divBdr>
          <w:divsChild>
            <w:div w:id="559708314">
              <w:marLeft w:val="300"/>
              <w:marRight w:val="300"/>
              <w:marTop w:val="0"/>
              <w:marBottom w:val="0"/>
              <w:divBdr>
                <w:top w:val="none" w:sz="0" w:space="0" w:color="auto"/>
                <w:left w:val="none" w:sz="0" w:space="0" w:color="auto"/>
                <w:bottom w:val="none" w:sz="0" w:space="0" w:color="auto"/>
                <w:right w:val="none" w:sz="0" w:space="0" w:color="auto"/>
              </w:divBdr>
              <w:divsChild>
                <w:div w:id="1997488987">
                  <w:marLeft w:val="0"/>
                  <w:marRight w:val="0"/>
                  <w:marTop w:val="0"/>
                  <w:marBottom w:val="0"/>
                  <w:divBdr>
                    <w:top w:val="none" w:sz="0" w:space="0" w:color="auto"/>
                    <w:left w:val="none" w:sz="0" w:space="0" w:color="auto"/>
                    <w:bottom w:val="none" w:sz="0" w:space="0" w:color="auto"/>
                    <w:right w:val="none" w:sz="0" w:space="0" w:color="auto"/>
                  </w:divBdr>
                  <w:divsChild>
                    <w:div w:id="794758295">
                      <w:marLeft w:val="0"/>
                      <w:marRight w:val="0"/>
                      <w:marTop w:val="0"/>
                      <w:marBottom w:val="0"/>
                      <w:divBdr>
                        <w:top w:val="none" w:sz="0" w:space="0" w:color="auto"/>
                        <w:left w:val="none" w:sz="0" w:space="0" w:color="auto"/>
                        <w:bottom w:val="none" w:sz="0" w:space="0" w:color="auto"/>
                        <w:right w:val="none" w:sz="0" w:space="0" w:color="auto"/>
                      </w:divBdr>
                      <w:divsChild>
                        <w:div w:id="917791889">
                          <w:marLeft w:val="0"/>
                          <w:marRight w:val="0"/>
                          <w:marTop w:val="150"/>
                          <w:marBottom w:val="225"/>
                          <w:divBdr>
                            <w:top w:val="none" w:sz="0" w:space="0" w:color="auto"/>
                            <w:left w:val="none" w:sz="0" w:space="0" w:color="auto"/>
                            <w:bottom w:val="none" w:sz="0" w:space="0" w:color="auto"/>
                            <w:right w:val="none" w:sz="0" w:space="0" w:color="auto"/>
                          </w:divBdr>
                          <w:divsChild>
                            <w:div w:id="246158679">
                              <w:marLeft w:val="0"/>
                              <w:marRight w:val="0"/>
                              <w:marTop w:val="0"/>
                              <w:marBottom w:val="0"/>
                              <w:divBdr>
                                <w:top w:val="none" w:sz="0" w:space="0" w:color="auto"/>
                                <w:left w:val="none" w:sz="0" w:space="0" w:color="auto"/>
                                <w:bottom w:val="none" w:sz="0" w:space="0" w:color="auto"/>
                                <w:right w:val="none" w:sz="0" w:space="0" w:color="auto"/>
                              </w:divBdr>
                            </w:div>
                            <w:div w:id="1128662909">
                              <w:marLeft w:val="0"/>
                              <w:marRight w:val="0"/>
                              <w:marTop w:val="0"/>
                              <w:marBottom w:val="0"/>
                              <w:divBdr>
                                <w:top w:val="none" w:sz="0" w:space="0" w:color="auto"/>
                                <w:left w:val="none" w:sz="0" w:space="0" w:color="auto"/>
                                <w:bottom w:val="none" w:sz="0" w:space="0" w:color="auto"/>
                                <w:right w:val="none" w:sz="0" w:space="0" w:color="auto"/>
                              </w:divBdr>
                            </w:div>
                            <w:div w:id="1162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060059">
      <w:bodyDiv w:val="1"/>
      <w:marLeft w:val="0"/>
      <w:marRight w:val="0"/>
      <w:marTop w:val="0"/>
      <w:marBottom w:val="0"/>
      <w:divBdr>
        <w:top w:val="none" w:sz="0" w:space="0" w:color="auto"/>
        <w:left w:val="none" w:sz="0" w:space="0" w:color="auto"/>
        <w:bottom w:val="none" w:sz="0" w:space="0" w:color="auto"/>
        <w:right w:val="none" w:sz="0" w:space="0" w:color="auto"/>
      </w:divBdr>
    </w:div>
    <w:div w:id="1080063852">
      <w:bodyDiv w:val="1"/>
      <w:marLeft w:val="0"/>
      <w:marRight w:val="0"/>
      <w:marTop w:val="0"/>
      <w:marBottom w:val="0"/>
      <w:divBdr>
        <w:top w:val="none" w:sz="0" w:space="0" w:color="auto"/>
        <w:left w:val="none" w:sz="0" w:space="0" w:color="auto"/>
        <w:bottom w:val="none" w:sz="0" w:space="0" w:color="auto"/>
        <w:right w:val="none" w:sz="0" w:space="0" w:color="auto"/>
      </w:divBdr>
      <w:divsChild>
        <w:div w:id="1860583367">
          <w:marLeft w:val="0"/>
          <w:marRight w:val="0"/>
          <w:marTop w:val="0"/>
          <w:marBottom w:val="0"/>
          <w:divBdr>
            <w:top w:val="none" w:sz="0" w:space="0" w:color="auto"/>
            <w:left w:val="none" w:sz="0" w:space="0" w:color="auto"/>
            <w:bottom w:val="none" w:sz="0" w:space="0" w:color="auto"/>
            <w:right w:val="none" w:sz="0" w:space="0" w:color="auto"/>
          </w:divBdr>
          <w:divsChild>
            <w:div w:id="1092048558">
              <w:marLeft w:val="0"/>
              <w:marRight w:val="0"/>
              <w:marTop w:val="0"/>
              <w:marBottom w:val="0"/>
              <w:divBdr>
                <w:top w:val="none" w:sz="0" w:space="0" w:color="auto"/>
                <w:left w:val="none" w:sz="0" w:space="0" w:color="auto"/>
                <w:bottom w:val="none" w:sz="0" w:space="0" w:color="auto"/>
                <w:right w:val="none" w:sz="0" w:space="0" w:color="auto"/>
              </w:divBdr>
              <w:divsChild>
                <w:div w:id="97799695">
                  <w:marLeft w:val="0"/>
                  <w:marRight w:val="0"/>
                  <w:marTop w:val="0"/>
                  <w:marBottom w:val="0"/>
                  <w:divBdr>
                    <w:top w:val="none" w:sz="0" w:space="0" w:color="auto"/>
                    <w:left w:val="none" w:sz="0" w:space="0" w:color="auto"/>
                    <w:bottom w:val="none" w:sz="0" w:space="0" w:color="auto"/>
                    <w:right w:val="none" w:sz="0" w:space="0" w:color="auto"/>
                  </w:divBdr>
                  <w:divsChild>
                    <w:div w:id="829449583">
                      <w:marLeft w:val="0"/>
                      <w:marRight w:val="0"/>
                      <w:marTop w:val="0"/>
                      <w:marBottom w:val="0"/>
                      <w:divBdr>
                        <w:top w:val="none" w:sz="0" w:space="0" w:color="auto"/>
                        <w:left w:val="none" w:sz="0" w:space="0" w:color="auto"/>
                        <w:bottom w:val="none" w:sz="0" w:space="0" w:color="auto"/>
                        <w:right w:val="none" w:sz="0" w:space="0" w:color="auto"/>
                      </w:divBdr>
                      <w:divsChild>
                        <w:div w:id="1020936721">
                          <w:marLeft w:val="0"/>
                          <w:marRight w:val="0"/>
                          <w:marTop w:val="0"/>
                          <w:marBottom w:val="0"/>
                          <w:divBdr>
                            <w:top w:val="none" w:sz="0" w:space="0" w:color="auto"/>
                            <w:left w:val="none" w:sz="0" w:space="0" w:color="auto"/>
                            <w:bottom w:val="none" w:sz="0" w:space="0" w:color="auto"/>
                            <w:right w:val="none" w:sz="0" w:space="0" w:color="auto"/>
                          </w:divBdr>
                          <w:divsChild>
                            <w:div w:id="313026615">
                              <w:marLeft w:val="0"/>
                              <w:marRight w:val="0"/>
                              <w:marTop w:val="0"/>
                              <w:marBottom w:val="300"/>
                              <w:divBdr>
                                <w:top w:val="none" w:sz="0" w:space="0" w:color="auto"/>
                                <w:left w:val="none" w:sz="0" w:space="0" w:color="auto"/>
                                <w:bottom w:val="none" w:sz="0" w:space="0" w:color="auto"/>
                                <w:right w:val="none" w:sz="0" w:space="0" w:color="auto"/>
                              </w:divBdr>
                              <w:divsChild>
                                <w:div w:id="97257540">
                                  <w:marLeft w:val="0"/>
                                  <w:marRight w:val="0"/>
                                  <w:marTop w:val="0"/>
                                  <w:marBottom w:val="0"/>
                                  <w:divBdr>
                                    <w:top w:val="none" w:sz="0" w:space="0" w:color="auto"/>
                                    <w:left w:val="none" w:sz="0" w:space="0" w:color="auto"/>
                                    <w:bottom w:val="none" w:sz="0" w:space="0" w:color="auto"/>
                                    <w:right w:val="none" w:sz="0" w:space="0" w:color="auto"/>
                                  </w:divBdr>
                                  <w:divsChild>
                                    <w:div w:id="917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588459">
      <w:bodyDiv w:val="1"/>
      <w:marLeft w:val="0"/>
      <w:marRight w:val="0"/>
      <w:marTop w:val="0"/>
      <w:marBottom w:val="0"/>
      <w:divBdr>
        <w:top w:val="none" w:sz="0" w:space="0" w:color="auto"/>
        <w:left w:val="none" w:sz="0" w:space="0" w:color="auto"/>
        <w:bottom w:val="none" w:sz="0" w:space="0" w:color="auto"/>
        <w:right w:val="none" w:sz="0" w:space="0" w:color="auto"/>
      </w:divBdr>
    </w:div>
    <w:div w:id="1100877696">
      <w:bodyDiv w:val="1"/>
      <w:marLeft w:val="0"/>
      <w:marRight w:val="0"/>
      <w:marTop w:val="0"/>
      <w:marBottom w:val="0"/>
      <w:divBdr>
        <w:top w:val="none" w:sz="0" w:space="0" w:color="auto"/>
        <w:left w:val="none" w:sz="0" w:space="0" w:color="auto"/>
        <w:bottom w:val="none" w:sz="0" w:space="0" w:color="auto"/>
        <w:right w:val="none" w:sz="0" w:space="0" w:color="auto"/>
      </w:divBdr>
    </w:div>
    <w:div w:id="1134828309">
      <w:bodyDiv w:val="1"/>
      <w:marLeft w:val="0"/>
      <w:marRight w:val="0"/>
      <w:marTop w:val="0"/>
      <w:marBottom w:val="0"/>
      <w:divBdr>
        <w:top w:val="none" w:sz="0" w:space="0" w:color="auto"/>
        <w:left w:val="none" w:sz="0" w:space="0" w:color="auto"/>
        <w:bottom w:val="none" w:sz="0" w:space="0" w:color="auto"/>
        <w:right w:val="none" w:sz="0" w:space="0" w:color="auto"/>
      </w:divBdr>
    </w:div>
    <w:div w:id="1257447801">
      <w:bodyDiv w:val="1"/>
      <w:marLeft w:val="0"/>
      <w:marRight w:val="0"/>
      <w:marTop w:val="0"/>
      <w:marBottom w:val="0"/>
      <w:divBdr>
        <w:top w:val="none" w:sz="0" w:space="0" w:color="auto"/>
        <w:left w:val="none" w:sz="0" w:space="0" w:color="auto"/>
        <w:bottom w:val="none" w:sz="0" w:space="0" w:color="auto"/>
        <w:right w:val="none" w:sz="0" w:space="0" w:color="auto"/>
      </w:divBdr>
      <w:divsChild>
        <w:div w:id="237595003">
          <w:marLeft w:val="0"/>
          <w:marRight w:val="0"/>
          <w:marTop w:val="0"/>
          <w:marBottom w:val="0"/>
          <w:divBdr>
            <w:top w:val="none" w:sz="0" w:space="0" w:color="auto"/>
            <w:left w:val="none" w:sz="0" w:space="0" w:color="auto"/>
            <w:bottom w:val="none" w:sz="0" w:space="0" w:color="auto"/>
            <w:right w:val="none" w:sz="0" w:space="0" w:color="auto"/>
          </w:divBdr>
          <w:divsChild>
            <w:div w:id="654575460">
              <w:marLeft w:val="0"/>
              <w:marRight w:val="0"/>
              <w:marTop w:val="0"/>
              <w:marBottom w:val="0"/>
              <w:divBdr>
                <w:top w:val="none" w:sz="0" w:space="0" w:color="auto"/>
                <w:left w:val="none" w:sz="0" w:space="0" w:color="auto"/>
                <w:bottom w:val="none" w:sz="0" w:space="0" w:color="auto"/>
                <w:right w:val="none" w:sz="0" w:space="0" w:color="auto"/>
              </w:divBdr>
              <w:divsChild>
                <w:div w:id="1784877952">
                  <w:marLeft w:val="0"/>
                  <w:marRight w:val="0"/>
                  <w:marTop w:val="360"/>
                  <w:marBottom w:val="0"/>
                  <w:divBdr>
                    <w:top w:val="none" w:sz="0" w:space="0" w:color="auto"/>
                    <w:left w:val="none" w:sz="0" w:space="0" w:color="auto"/>
                    <w:bottom w:val="none" w:sz="0" w:space="0" w:color="auto"/>
                    <w:right w:val="none" w:sz="0" w:space="0" w:color="auto"/>
                  </w:divBdr>
                  <w:divsChild>
                    <w:div w:id="248975123">
                      <w:marLeft w:val="0"/>
                      <w:marRight w:val="0"/>
                      <w:marTop w:val="0"/>
                      <w:marBottom w:val="240"/>
                      <w:divBdr>
                        <w:top w:val="none" w:sz="0" w:space="0" w:color="auto"/>
                        <w:left w:val="none" w:sz="0" w:space="0" w:color="auto"/>
                        <w:bottom w:val="none" w:sz="0" w:space="0" w:color="auto"/>
                        <w:right w:val="none" w:sz="0" w:space="0" w:color="auto"/>
                      </w:divBdr>
                      <w:divsChild>
                        <w:div w:id="1870025290">
                          <w:marLeft w:val="0"/>
                          <w:marRight w:val="0"/>
                          <w:marTop w:val="0"/>
                          <w:marBottom w:val="0"/>
                          <w:divBdr>
                            <w:top w:val="none" w:sz="0" w:space="0" w:color="auto"/>
                            <w:left w:val="none" w:sz="0" w:space="0" w:color="auto"/>
                            <w:bottom w:val="none" w:sz="0" w:space="0" w:color="auto"/>
                            <w:right w:val="none" w:sz="0" w:space="0" w:color="auto"/>
                          </w:divBdr>
                          <w:divsChild>
                            <w:div w:id="840774891">
                              <w:marLeft w:val="0"/>
                              <w:marRight w:val="0"/>
                              <w:marTop w:val="0"/>
                              <w:marBottom w:val="0"/>
                              <w:divBdr>
                                <w:top w:val="none" w:sz="0" w:space="0" w:color="auto"/>
                                <w:left w:val="none" w:sz="0" w:space="0" w:color="auto"/>
                                <w:bottom w:val="none" w:sz="0" w:space="0" w:color="auto"/>
                                <w:right w:val="none" w:sz="0" w:space="0" w:color="auto"/>
                              </w:divBdr>
                            </w:div>
                            <w:div w:id="991106096">
                              <w:marLeft w:val="0"/>
                              <w:marRight w:val="0"/>
                              <w:marTop w:val="0"/>
                              <w:marBottom w:val="0"/>
                              <w:divBdr>
                                <w:top w:val="none" w:sz="0" w:space="0" w:color="auto"/>
                                <w:left w:val="none" w:sz="0" w:space="0" w:color="auto"/>
                                <w:bottom w:val="none" w:sz="0" w:space="0" w:color="auto"/>
                                <w:right w:val="none" w:sz="0" w:space="0" w:color="auto"/>
                              </w:divBdr>
                            </w:div>
                            <w:div w:id="27149710">
                              <w:marLeft w:val="0"/>
                              <w:marRight w:val="0"/>
                              <w:marTop w:val="0"/>
                              <w:marBottom w:val="0"/>
                              <w:divBdr>
                                <w:top w:val="none" w:sz="0" w:space="0" w:color="auto"/>
                                <w:left w:val="none" w:sz="0" w:space="0" w:color="auto"/>
                                <w:bottom w:val="none" w:sz="0" w:space="0" w:color="auto"/>
                                <w:right w:val="none" w:sz="0" w:space="0" w:color="auto"/>
                              </w:divBdr>
                            </w:div>
                            <w:div w:id="1719696856">
                              <w:marLeft w:val="0"/>
                              <w:marRight w:val="0"/>
                              <w:marTop w:val="0"/>
                              <w:marBottom w:val="0"/>
                              <w:divBdr>
                                <w:top w:val="none" w:sz="0" w:space="0" w:color="auto"/>
                                <w:left w:val="none" w:sz="0" w:space="0" w:color="auto"/>
                                <w:bottom w:val="none" w:sz="0" w:space="0" w:color="auto"/>
                                <w:right w:val="none" w:sz="0" w:space="0" w:color="auto"/>
                              </w:divBdr>
                            </w:div>
                            <w:div w:id="40832808">
                              <w:marLeft w:val="0"/>
                              <w:marRight w:val="0"/>
                              <w:marTop w:val="0"/>
                              <w:marBottom w:val="0"/>
                              <w:divBdr>
                                <w:top w:val="none" w:sz="0" w:space="0" w:color="auto"/>
                                <w:left w:val="none" w:sz="0" w:space="0" w:color="auto"/>
                                <w:bottom w:val="none" w:sz="0" w:space="0" w:color="auto"/>
                                <w:right w:val="none" w:sz="0" w:space="0" w:color="auto"/>
                              </w:divBdr>
                            </w:div>
                            <w:div w:id="2140682389">
                              <w:marLeft w:val="0"/>
                              <w:marRight w:val="0"/>
                              <w:marTop w:val="0"/>
                              <w:marBottom w:val="0"/>
                              <w:divBdr>
                                <w:top w:val="none" w:sz="0" w:space="0" w:color="auto"/>
                                <w:left w:val="none" w:sz="0" w:space="0" w:color="auto"/>
                                <w:bottom w:val="none" w:sz="0" w:space="0" w:color="auto"/>
                                <w:right w:val="none" w:sz="0" w:space="0" w:color="auto"/>
                              </w:divBdr>
                            </w:div>
                            <w:div w:id="1164248116">
                              <w:marLeft w:val="0"/>
                              <w:marRight w:val="0"/>
                              <w:marTop w:val="0"/>
                              <w:marBottom w:val="0"/>
                              <w:divBdr>
                                <w:top w:val="none" w:sz="0" w:space="0" w:color="auto"/>
                                <w:left w:val="none" w:sz="0" w:space="0" w:color="auto"/>
                                <w:bottom w:val="none" w:sz="0" w:space="0" w:color="auto"/>
                                <w:right w:val="none" w:sz="0" w:space="0" w:color="auto"/>
                              </w:divBdr>
                            </w:div>
                            <w:div w:id="11791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1330">
      <w:bodyDiv w:val="1"/>
      <w:marLeft w:val="0"/>
      <w:marRight w:val="0"/>
      <w:marTop w:val="0"/>
      <w:marBottom w:val="0"/>
      <w:divBdr>
        <w:top w:val="none" w:sz="0" w:space="0" w:color="auto"/>
        <w:left w:val="none" w:sz="0" w:space="0" w:color="auto"/>
        <w:bottom w:val="none" w:sz="0" w:space="0" w:color="auto"/>
        <w:right w:val="none" w:sz="0" w:space="0" w:color="auto"/>
      </w:divBdr>
      <w:divsChild>
        <w:div w:id="1090009160">
          <w:marLeft w:val="0"/>
          <w:marRight w:val="0"/>
          <w:marTop w:val="0"/>
          <w:marBottom w:val="0"/>
          <w:divBdr>
            <w:top w:val="none" w:sz="0" w:space="0" w:color="auto"/>
            <w:left w:val="none" w:sz="0" w:space="0" w:color="auto"/>
            <w:bottom w:val="none" w:sz="0" w:space="0" w:color="auto"/>
            <w:right w:val="none" w:sz="0" w:space="0" w:color="auto"/>
          </w:divBdr>
          <w:divsChild>
            <w:div w:id="1612736264">
              <w:marLeft w:val="0"/>
              <w:marRight w:val="0"/>
              <w:marTop w:val="0"/>
              <w:marBottom w:val="0"/>
              <w:divBdr>
                <w:top w:val="none" w:sz="0" w:space="0" w:color="auto"/>
                <w:left w:val="none" w:sz="0" w:space="0" w:color="auto"/>
                <w:bottom w:val="none" w:sz="0" w:space="0" w:color="auto"/>
                <w:right w:val="none" w:sz="0" w:space="0" w:color="auto"/>
              </w:divBdr>
              <w:divsChild>
                <w:div w:id="1217276730">
                  <w:marLeft w:val="0"/>
                  <w:marRight w:val="0"/>
                  <w:marTop w:val="360"/>
                  <w:marBottom w:val="0"/>
                  <w:divBdr>
                    <w:top w:val="none" w:sz="0" w:space="0" w:color="auto"/>
                    <w:left w:val="none" w:sz="0" w:space="0" w:color="auto"/>
                    <w:bottom w:val="none" w:sz="0" w:space="0" w:color="auto"/>
                    <w:right w:val="none" w:sz="0" w:space="0" w:color="auto"/>
                  </w:divBdr>
                  <w:divsChild>
                    <w:div w:id="868418345">
                      <w:marLeft w:val="0"/>
                      <w:marRight w:val="0"/>
                      <w:marTop w:val="0"/>
                      <w:marBottom w:val="0"/>
                      <w:divBdr>
                        <w:top w:val="none" w:sz="0" w:space="0" w:color="auto"/>
                        <w:left w:val="none" w:sz="0" w:space="0" w:color="auto"/>
                        <w:bottom w:val="none" w:sz="0" w:space="0" w:color="auto"/>
                        <w:right w:val="none" w:sz="0" w:space="0" w:color="auto"/>
                      </w:divBdr>
                      <w:divsChild>
                        <w:div w:id="4883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281">
      <w:bodyDiv w:val="1"/>
      <w:marLeft w:val="0"/>
      <w:marRight w:val="0"/>
      <w:marTop w:val="0"/>
      <w:marBottom w:val="0"/>
      <w:divBdr>
        <w:top w:val="none" w:sz="0" w:space="0" w:color="auto"/>
        <w:left w:val="none" w:sz="0" w:space="0" w:color="auto"/>
        <w:bottom w:val="none" w:sz="0" w:space="0" w:color="auto"/>
        <w:right w:val="none" w:sz="0" w:space="0" w:color="auto"/>
      </w:divBdr>
      <w:divsChild>
        <w:div w:id="1217594457">
          <w:marLeft w:val="0"/>
          <w:marRight w:val="0"/>
          <w:marTop w:val="0"/>
          <w:marBottom w:val="0"/>
          <w:divBdr>
            <w:top w:val="none" w:sz="0" w:space="0" w:color="auto"/>
            <w:left w:val="none" w:sz="0" w:space="0" w:color="auto"/>
            <w:bottom w:val="none" w:sz="0" w:space="0" w:color="auto"/>
            <w:right w:val="none" w:sz="0" w:space="0" w:color="auto"/>
          </w:divBdr>
          <w:divsChild>
            <w:div w:id="259417324">
              <w:marLeft w:val="0"/>
              <w:marRight w:val="0"/>
              <w:marTop w:val="0"/>
              <w:marBottom w:val="0"/>
              <w:divBdr>
                <w:top w:val="none" w:sz="0" w:space="0" w:color="auto"/>
                <w:left w:val="none" w:sz="0" w:space="0" w:color="auto"/>
                <w:bottom w:val="none" w:sz="0" w:space="0" w:color="auto"/>
                <w:right w:val="none" w:sz="0" w:space="0" w:color="auto"/>
              </w:divBdr>
              <w:divsChild>
                <w:div w:id="2060013757">
                  <w:marLeft w:val="0"/>
                  <w:marRight w:val="0"/>
                  <w:marTop w:val="360"/>
                  <w:marBottom w:val="0"/>
                  <w:divBdr>
                    <w:top w:val="none" w:sz="0" w:space="0" w:color="auto"/>
                    <w:left w:val="none" w:sz="0" w:space="0" w:color="auto"/>
                    <w:bottom w:val="none" w:sz="0" w:space="0" w:color="auto"/>
                    <w:right w:val="none" w:sz="0" w:space="0" w:color="auto"/>
                  </w:divBdr>
                  <w:divsChild>
                    <w:div w:id="870187343">
                      <w:marLeft w:val="0"/>
                      <w:marRight w:val="0"/>
                      <w:marTop w:val="0"/>
                      <w:marBottom w:val="240"/>
                      <w:divBdr>
                        <w:top w:val="none" w:sz="0" w:space="0" w:color="auto"/>
                        <w:left w:val="none" w:sz="0" w:space="0" w:color="auto"/>
                        <w:bottom w:val="none" w:sz="0" w:space="0" w:color="auto"/>
                        <w:right w:val="none" w:sz="0" w:space="0" w:color="auto"/>
                      </w:divBdr>
                      <w:divsChild>
                        <w:div w:id="1508986003">
                          <w:marLeft w:val="0"/>
                          <w:marRight w:val="0"/>
                          <w:marTop w:val="0"/>
                          <w:marBottom w:val="0"/>
                          <w:divBdr>
                            <w:top w:val="none" w:sz="0" w:space="0" w:color="auto"/>
                            <w:left w:val="none" w:sz="0" w:space="0" w:color="auto"/>
                            <w:bottom w:val="none" w:sz="0" w:space="0" w:color="auto"/>
                            <w:right w:val="none" w:sz="0" w:space="0" w:color="auto"/>
                          </w:divBdr>
                          <w:divsChild>
                            <w:div w:id="842818946">
                              <w:marLeft w:val="0"/>
                              <w:marRight w:val="0"/>
                              <w:marTop w:val="0"/>
                              <w:marBottom w:val="0"/>
                              <w:divBdr>
                                <w:top w:val="none" w:sz="0" w:space="0" w:color="auto"/>
                                <w:left w:val="none" w:sz="0" w:space="0" w:color="auto"/>
                                <w:bottom w:val="none" w:sz="0" w:space="0" w:color="auto"/>
                                <w:right w:val="none" w:sz="0" w:space="0" w:color="auto"/>
                              </w:divBdr>
                              <w:divsChild>
                                <w:div w:id="11514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0055">
                      <w:marLeft w:val="0"/>
                      <w:marRight w:val="0"/>
                      <w:marTop w:val="360"/>
                      <w:marBottom w:val="0"/>
                      <w:divBdr>
                        <w:top w:val="none" w:sz="0" w:space="0" w:color="auto"/>
                        <w:left w:val="none" w:sz="0" w:space="0" w:color="auto"/>
                        <w:bottom w:val="none" w:sz="0" w:space="0" w:color="auto"/>
                        <w:right w:val="none" w:sz="0" w:space="0" w:color="auto"/>
                      </w:divBdr>
                      <w:divsChild>
                        <w:div w:id="727388223">
                          <w:marLeft w:val="0"/>
                          <w:marRight w:val="0"/>
                          <w:marTop w:val="0"/>
                          <w:marBottom w:val="240"/>
                          <w:divBdr>
                            <w:top w:val="none" w:sz="0" w:space="0" w:color="auto"/>
                            <w:left w:val="none" w:sz="0" w:space="0" w:color="auto"/>
                            <w:bottom w:val="none" w:sz="0" w:space="0" w:color="auto"/>
                            <w:right w:val="none" w:sz="0" w:space="0" w:color="auto"/>
                          </w:divBdr>
                          <w:divsChild>
                            <w:div w:id="1780953999">
                              <w:marLeft w:val="0"/>
                              <w:marRight w:val="0"/>
                              <w:marTop w:val="0"/>
                              <w:marBottom w:val="0"/>
                              <w:divBdr>
                                <w:top w:val="none" w:sz="0" w:space="0" w:color="auto"/>
                                <w:left w:val="none" w:sz="0" w:space="0" w:color="auto"/>
                                <w:bottom w:val="none" w:sz="0" w:space="0" w:color="auto"/>
                                <w:right w:val="none" w:sz="0" w:space="0" w:color="auto"/>
                              </w:divBdr>
                            </w:div>
                            <w:div w:id="2043902348">
                              <w:marLeft w:val="0"/>
                              <w:marRight w:val="0"/>
                              <w:marTop w:val="0"/>
                              <w:marBottom w:val="0"/>
                              <w:divBdr>
                                <w:top w:val="none" w:sz="0" w:space="0" w:color="auto"/>
                                <w:left w:val="none" w:sz="0" w:space="0" w:color="auto"/>
                                <w:bottom w:val="none" w:sz="0" w:space="0" w:color="auto"/>
                                <w:right w:val="none" w:sz="0" w:space="0" w:color="auto"/>
                              </w:divBdr>
                            </w:div>
                          </w:divsChild>
                        </w:div>
                        <w:div w:id="1507282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5909420">
      <w:bodyDiv w:val="1"/>
      <w:marLeft w:val="0"/>
      <w:marRight w:val="0"/>
      <w:marTop w:val="0"/>
      <w:marBottom w:val="0"/>
      <w:divBdr>
        <w:top w:val="none" w:sz="0" w:space="0" w:color="auto"/>
        <w:left w:val="none" w:sz="0" w:space="0" w:color="auto"/>
        <w:bottom w:val="none" w:sz="0" w:space="0" w:color="auto"/>
        <w:right w:val="none" w:sz="0" w:space="0" w:color="auto"/>
      </w:divBdr>
      <w:divsChild>
        <w:div w:id="935554091">
          <w:marLeft w:val="0"/>
          <w:marRight w:val="0"/>
          <w:marTop w:val="0"/>
          <w:marBottom w:val="0"/>
          <w:divBdr>
            <w:top w:val="none" w:sz="0" w:space="0" w:color="auto"/>
            <w:left w:val="none" w:sz="0" w:space="0" w:color="auto"/>
            <w:bottom w:val="none" w:sz="0" w:space="0" w:color="auto"/>
            <w:right w:val="none" w:sz="0" w:space="0" w:color="auto"/>
          </w:divBdr>
          <w:divsChild>
            <w:div w:id="1178429559">
              <w:marLeft w:val="0"/>
              <w:marRight w:val="0"/>
              <w:marTop w:val="0"/>
              <w:marBottom w:val="0"/>
              <w:divBdr>
                <w:top w:val="none" w:sz="0" w:space="0" w:color="auto"/>
                <w:left w:val="none" w:sz="0" w:space="0" w:color="auto"/>
                <w:bottom w:val="none" w:sz="0" w:space="0" w:color="auto"/>
                <w:right w:val="none" w:sz="0" w:space="0" w:color="auto"/>
              </w:divBdr>
              <w:divsChild>
                <w:div w:id="1730762143">
                  <w:marLeft w:val="0"/>
                  <w:marRight w:val="0"/>
                  <w:marTop w:val="360"/>
                  <w:marBottom w:val="0"/>
                  <w:divBdr>
                    <w:top w:val="none" w:sz="0" w:space="0" w:color="auto"/>
                    <w:left w:val="none" w:sz="0" w:space="0" w:color="auto"/>
                    <w:bottom w:val="none" w:sz="0" w:space="0" w:color="auto"/>
                    <w:right w:val="none" w:sz="0" w:space="0" w:color="auto"/>
                  </w:divBdr>
                  <w:divsChild>
                    <w:div w:id="1470004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2701881">
      <w:bodyDiv w:val="1"/>
      <w:marLeft w:val="0"/>
      <w:marRight w:val="0"/>
      <w:marTop w:val="0"/>
      <w:marBottom w:val="0"/>
      <w:divBdr>
        <w:top w:val="none" w:sz="0" w:space="0" w:color="auto"/>
        <w:left w:val="none" w:sz="0" w:space="0" w:color="auto"/>
        <w:bottom w:val="none" w:sz="0" w:space="0" w:color="auto"/>
        <w:right w:val="none" w:sz="0" w:space="0" w:color="auto"/>
      </w:divBdr>
      <w:divsChild>
        <w:div w:id="1201624524">
          <w:marLeft w:val="225"/>
          <w:marRight w:val="0"/>
          <w:marTop w:val="0"/>
          <w:marBottom w:val="0"/>
          <w:divBdr>
            <w:top w:val="none" w:sz="0" w:space="0" w:color="auto"/>
            <w:left w:val="none" w:sz="0" w:space="0" w:color="auto"/>
            <w:bottom w:val="none" w:sz="0" w:space="0" w:color="auto"/>
            <w:right w:val="none" w:sz="0" w:space="0" w:color="auto"/>
          </w:divBdr>
        </w:div>
        <w:div w:id="1561139114">
          <w:marLeft w:val="600"/>
          <w:marRight w:val="300"/>
          <w:marTop w:val="0"/>
          <w:marBottom w:val="0"/>
          <w:divBdr>
            <w:top w:val="none" w:sz="0" w:space="0" w:color="auto"/>
            <w:left w:val="none" w:sz="0" w:space="0" w:color="auto"/>
            <w:bottom w:val="none" w:sz="0" w:space="0" w:color="auto"/>
            <w:right w:val="none" w:sz="0" w:space="0" w:color="auto"/>
          </w:divBdr>
          <w:divsChild>
            <w:div w:id="1212889548">
              <w:marLeft w:val="0"/>
              <w:marRight w:val="0"/>
              <w:marTop w:val="150"/>
              <w:marBottom w:val="0"/>
              <w:divBdr>
                <w:top w:val="none" w:sz="0" w:space="0" w:color="auto"/>
                <w:left w:val="none" w:sz="0" w:space="0" w:color="auto"/>
                <w:bottom w:val="none" w:sz="0" w:space="0" w:color="auto"/>
                <w:right w:val="none" w:sz="0" w:space="0" w:color="auto"/>
              </w:divBdr>
              <w:divsChild>
                <w:div w:id="1480462150">
                  <w:marLeft w:val="0"/>
                  <w:marRight w:val="0"/>
                  <w:marTop w:val="0"/>
                  <w:marBottom w:val="60"/>
                  <w:divBdr>
                    <w:top w:val="none" w:sz="0" w:space="0" w:color="auto"/>
                    <w:left w:val="none" w:sz="0" w:space="0" w:color="auto"/>
                    <w:bottom w:val="none" w:sz="0" w:space="0" w:color="auto"/>
                    <w:right w:val="none" w:sz="0" w:space="0" w:color="auto"/>
                  </w:divBdr>
                  <w:divsChild>
                    <w:div w:id="2027978199">
                      <w:marLeft w:val="0"/>
                      <w:marRight w:val="0"/>
                      <w:marTop w:val="0"/>
                      <w:marBottom w:val="0"/>
                      <w:divBdr>
                        <w:top w:val="none" w:sz="0" w:space="0" w:color="auto"/>
                        <w:left w:val="none" w:sz="0" w:space="0" w:color="auto"/>
                        <w:bottom w:val="none" w:sz="0" w:space="0" w:color="auto"/>
                        <w:right w:val="none" w:sz="0" w:space="0" w:color="auto"/>
                      </w:divBdr>
                    </w:div>
                  </w:divsChild>
                </w:div>
                <w:div w:id="17381122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548107156">
      <w:bodyDiv w:val="1"/>
      <w:marLeft w:val="0"/>
      <w:marRight w:val="0"/>
      <w:marTop w:val="0"/>
      <w:marBottom w:val="0"/>
      <w:divBdr>
        <w:top w:val="none" w:sz="0" w:space="0" w:color="auto"/>
        <w:left w:val="none" w:sz="0" w:space="0" w:color="auto"/>
        <w:bottom w:val="none" w:sz="0" w:space="0" w:color="auto"/>
        <w:right w:val="none" w:sz="0" w:space="0" w:color="auto"/>
      </w:divBdr>
      <w:divsChild>
        <w:div w:id="420491393">
          <w:marLeft w:val="0"/>
          <w:marRight w:val="0"/>
          <w:marTop w:val="0"/>
          <w:marBottom w:val="0"/>
          <w:divBdr>
            <w:top w:val="none" w:sz="0" w:space="0" w:color="auto"/>
            <w:left w:val="none" w:sz="0" w:space="0" w:color="auto"/>
            <w:bottom w:val="none" w:sz="0" w:space="0" w:color="auto"/>
            <w:right w:val="none" w:sz="0" w:space="0" w:color="auto"/>
          </w:divBdr>
          <w:divsChild>
            <w:div w:id="2036416817">
              <w:marLeft w:val="300"/>
              <w:marRight w:val="300"/>
              <w:marTop w:val="0"/>
              <w:marBottom w:val="0"/>
              <w:divBdr>
                <w:top w:val="none" w:sz="0" w:space="0" w:color="auto"/>
                <w:left w:val="none" w:sz="0" w:space="0" w:color="auto"/>
                <w:bottom w:val="none" w:sz="0" w:space="0" w:color="auto"/>
                <w:right w:val="none" w:sz="0" w:space="0" w:color="auto"/>
              </w:divBdr>
              <w:divsChild>
                <w:div w:id="286858635">
                  <w:marLeft w:val="0"/>
                  <w:marRight w:val="0"/>
                  <w:marTop w:val="0"/>
                  <w:marBottom w:val="0"/>
                  <w:divBdr>
                    <w:top w:val="none" w:sz="0" w:space="0" w:color="auto"/>
                    <w:left w:val="none" w:sz="0" w:space="0" w:color="auto"/>
                    <w:bottom w:val="none" w:sz="0" w:space="0" w:color="auto"/>
                    <w:right w:val="none" w:sz="0" w:space="0" w:color="auto"/>
                  </w:divBdr>
                  <w:divsChild>
                    <w:div w:id="1645085461">
                      <w:marLeft w:val="0"/>
                      <w:marRight w:val="0"/>
                      <w:marTop w:val="0"/>
                      <w:marBottom w:val="0"/>
                      <w:divBdr>
                        <w:top w:val="none" w:sz="0" w:space="0" w:color="auto"/>
                        <w:left w:val="none" w:sz="0" w:space="0" w:color="auto"/>
                        <w:bottom w:val="none" w:sz="0" w:space="0" w:color="auto"/>
                        <w:right w:val="none" w:sz="0" w:space="0" w:color="auto"/>
                      </w:divBdr>
                      <w:divsChild>
                        <w:div w:id="2098746226">
                          <w:marLeft w:val="0"/>
                          <w:marRight w:val="0"/>
                          <w:marTop w:val="0"/>
                          <w:marBottom w:val="0"/>
                          <w:divBdr>
                            <w:top w:val="none" w:sz="0" w:space="0" w:color="auto"/>
                            <w:left w:val="none" w:sz="0" w:space="0" w:color="auto"/>
                            <w:bottom w:val="none" w:sz="0" w:space="0" w:color="auto"/>
                            <w:right w:val="none" w:sz="0" w:space="0" w:color="auto"/>
                          </w:divBdr>
                        </w:div>
                      </w:divsChild>
                    </w:div>
                    <w:div w:id="869218535">
                      <w:marLeft w:val="0"/>
                      <w:marRight w:val="0"/>
                      <w:marTop w:val="0"/>
                      <w:marBottom w:val="0"/>
                      <w:divBdr>
                        <w:top w:val="none" w:sz="0" w:space="0" w:color="auto"/>
                        <w:left w:val="none" w:sz="0" w:space="0" w:color="auto"/>
                        <w:bottom w:val="none" w:sz="0" w:space="0" w:color="auto"/>
                        <w:right w:val="none" w:sz="0" w:space="0" w:color="auto"/>
                      </w:divBdr>
                      <w:divsChild>
                        <w:div w:id="118621559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27857586">
      <w:bodyDiv w:val="1"/>
      <w:marLeft w:val="0"/>
      <w:marRight w:val="0"/>
      <w:marTop w:val="0"/>
      <w:marBottom w:val="0"/>
      <w:divBdr>
        <w:top w:val="none" w:sz="0" w:space="0" w:color="auto"/>
        <w:left w:val="none" w:sz="0" w:space="0" w:color="auto"/>
        <w:bottom w:val="none" w:sz="0" w:space="0" w:color="auto"/>
        <w:right w:val="none" w:sz="0" w:space="0" w:color="auto"/>
      </w:divBdr>
      <w:divsChild>
        <w:div w:id="1902251215">
          <w:marLeft w:val="0"/>
          <w:marRight w:val="0"/>
          <w:marTop w:val="0"/>
          <w:marBottom w:val="0"/>
          <w:divBdr>
            <w:top w:val="none" w:sz="0" w:space="0" w:color="auto"/>
            <w:left w:val="none" w:sz="0" w:space="0" w:color="auto"/>
            <w:bottom w:val="none" w:sz="0" w:space="0" w:color="auto"/>
            <w:right w:val="none" w:sz="0" w:space="0" w:color="auto"/>
          </w:divBdr>
          <w:divsChild>
            <w:div w:id="782000097">
              <w:marLeft w:val="0"/>
              <w:marRight w:val="0"/>
              <w:marTop w:val="0"/>
              <w:marBottom w:val="0"/>
              <w:divBdr>
                <w:top w:val="none" w:sz="0" w:space="0" w:color="auto"/>
                <w:left w:val="none" w:sz="0" w:space="0" w:color="auto"/>
                <w:bottom w:val="none" w:sz="0" w:space="0" w:color="auto"/>
                <w:right w:val="none" w:sz="0" w:space="0" w:color="auto"/>
              </w:divBdr>
              <w:divsChild>
                <w:div w:id="1504396094">
                  <w:marLeft w:val="0"/>
                  <w:marRight w:val="0"/>
                  <w:marTop w:val="0"/>
                  <w:marBottom w:val="0"/>
                  <w:divBdr>
                    <w:top w:val="none" w:sz="0" w:space="0" w:color="auto"/>
                    <w:left w:val="none" w:sz="0" w:space="0" w:color="auto"/>
                    <w:bottom w:val="none" w:sz="0" w:space="0" w:color="auto"/>
                    <w:right w:val="none" w:sz="0" w:space="0" w:color="auto"/>
                  </w:divBdr>
                  <w:divsChild>
                    <w:div w:id="1963801953">
                      <w:marLeft w:val="0"/>
                      <w:marRight w:val="0"/>
                      <w:marTop w:val="0"/>
                      <w:marBottom w:val="0"/>
                      <w:divBdr>
                        <w:top w:val="none" w:sz="0" w:space="0" w:color="auto"/>
                        <w:left w:val="none" w:sz="0" w:space="0" w:color="auto"/>
                        <w:bottom w:val="none" w:sz="0" w:space="0" w:color="auto"/>
                        <w:right w:val="none" w:sz="0" w:space="0" w:color="auto"/>
                      </w:divBdr>
                      <w:divsChild>
                        <w:div w:id="1267275187">
                          <w:marLeft w:val="0"/>
                          <w:marRight w:val="0"/>
                          <w:marTop w:val="0"/>
                          <w:marBottom w:val="0"/>
                          <w:divBdr>
                            <w:top w:val="none" w:sz="0" w:space="0" w:color="auto"/>
                            <w:left w:val="none" w:sz="0" w:space="0" w:color="auto"/>
                            <w:bottom w:val="none" w:sz="0" w:space="0" w:color="auto"/>
                            <w:right w:val="none" w:sz="0" w:space="0" w:color="auto"/>
                          </w:divBdr>
                          <w:divsChild>
                            <w:div w:id="1954701107">
                              <w:marLeft w:val="0"/>
                              <w:marRight w:val="0"/>
                              <w:marTop w:val="0"/>
                              <w:marBottom w:val="0"/>
                              <w:divBdr>
                                <w:top w:val="none" w:sz="0" w:space="0" w:color="auto"/>
                                <w:left w:val="none" w:sz="0" w:space="0" w:color="auto"/>
                                <w:bottom w:val="none" w:sz="0" w:space="0" w:color="auto"/>
                                <w:right w:val="none" w:sz="0" w:space="0" w:color="auto"/>
                              </w:divBdr>
                              <w:divsChild>
                                <w:div w:id="420372269">
                                  <w:marLeft w:val="0"/>
                                  <w:marRight w:val="0"/>
                                  <w:marTop w:val="0"/>
                                  <w:marBottom w:val="0"/>
                                  <w:divBdr>
                                    <w:top w:val="none" w:sz="0" w:space="0" w:color="auto"/>
                                    <w:left w:val="none" w:sz="0" w:space="0" w:color="auto"/>
                                    <w:bottom w:val="none" w:sz="0" w:space="0" w:color="auto"/>
                                    <w:right w:val="none" w:sz="0" w:space="0" w:color="auto"/>
                                  </w:divBdr>
                                  <w:divsChild>
                                    <w:div w:id="740367029">
                                      <w:marLeft w:val="0"/>
                                      <w:marRight w:val="0"/>
                                      <w:marTop w:val="0"/>
                                      <w:marBottom w:val="0"/>
                                      <w:divBdr>
                                        <w:top w:val="none" w:sz="0" w:space="0" w:color="auto"/>
                                        <w:left w:val="none" w:sz="0" w:space="0" w:color="auto"/>
                                        <w:bottom w:val="none" w:sz="0" w:space="0" w:color="auto"/>
                                        <w:right w:val="none" w:sz="0" w:space="0" w:color="auto"/>
                                      </w:divBdr>
                                      <w:divsChild>
                                        <w:div w:id="987245589">
                                          <w:marLeft w:val="0"/>
                                          <w:marRight w:val="0"/>
                                          <w:marTop w:val="0"/>
                                          <w:marBottom w:val="0"/>
                                          <w:divBdr>
                                            <w:top w:val="none" w:sz="0" w:space="0" w:color="auto"/>
                                            <w:left w:val="none" w:sz="0" w:space="0" w:color="auto"/>
                                            <w:bottom w:val="none" w:sz="0" w:space="0" w:color="auto"/>
                                            <w:right w:val="none" w:sz="0" w:space="0" w:color="auto"/>
                                          </w:divBdr>
                                          <w:divsChild>
                                            <w:div w:id="588541781">
                                              <w:marLeft w:val="0"/>
                                              <w:marRight w:val="0"/>
                                              <w:marTop w:val="0"/>
                                              <w:marBottom w:val="0"/>
                                              <w:divBdr>
                                                <w:top w:val="none" w:sz="0" w:space="0" w:color="auto"/>
                                                <w:left w:val="none" w:sz="0" w:space="0" w:color="auto"/>
                                                <w:bottom w:val="none" w:sz="0" w:space="0" w:color="auto"/>
                                                <w:right w:val="none" w:sz="0" w:space="0" w:color="auto"/>
                                              </w:divBdr>
                                              <w:divsChild>
                                                <w:div w:id="1282960242">
                                                  <w:marLeft w:val="0"/>
                                                  <w:marRight w:val="0"/>
                                                  <w:marTop w:val="0"/>
                                                  <w:marBottom w:val="0"/>
                                                  <w:divBdr>
                                                    <w:top w:val="none" w:sz="0" w:space="0" w:color="auto"/>
                                                    <w:left w:val="none" w:sz="0" w:space="0" w:color="auto"/>
                                                    <w:bottom w:val="none" w:sz="0" w:space="0" w:color="auto"/>
                                                    <w:right w:val="none" w:sz="0" w:space="0" w:color="auto"/>
                                                  </w:divBdr>
                                                  <w:divsChild>
                                                    <w:div w:id="1702507906">
                                                      <w:blockQuote w:val="1"/>
                                                      <w:marLeft w:val="0"/>
                                                      <w:marRight w:val="0"/>
                                                      <w:marTop w:val="240"/>
                                                      <w:marBottom w:val="240"/>
                                                      <w:divBdr>
                                                        <w:top w:val="single" w:sz="24" w:space="24" w:color="auto"/>
                                                        <w:left w:val="none" w:sz="0" w:space="0" w:color="auto"/>
                                                        <w:bottom w:val="single" w:sz="24" w:space="24" w:color="auto"/>
                                                        <w:right w:val="none" w:sz="0" w:space="0" w:color="auto"/>
                                                      </w:divBdr>
                                                    </w:div>
                                                  </w:divsChild>
                                                </w:div>
                                              </w:divsChild>
                                            </w:div>
                                          </w:divsChild>
                                        </w:div>
                                      </w:divsChild>
                                    </w:div>
                                  </w:divsChild>
                                </w:div>
                              </w:divsChild>
                            </w:div>
                          </w:divsChild>
                        </w:div>
                      </w:divsChild>
                    </w:div>
                  </w:divsChild>
                </w:div>
              </w:divsChild>
            </w:div>
          </w:divsChild>
        </w:div>
      </w:divsChild>
    </w:div>
    <w:div w:id="1895191362">
      <w:bodyDiv w:val="1"/>
      <w:marLeft w:val="0"/>
      <w:marRight w:val="0"/>
      <w:marTop w:val="0"/>
      <w:marBottom w:val="0"/>
      <w:divBdr>
        <w:top w:val="none" w:sz="0" w:space="0" w:color="auto"/>
        <w:left w:val="none" w:sz="0" w:space="0" w:color="auto"/>
        <w:bottom w:val="none" w:sz="0" w:space="0" w:color="auto"/>
        <w:right w:val="none" w:sz="0" w:space="0" w:color="auto"/>
      </w:divBdr>
    </w:div>
    <w:div w:id="1905068606">
      <w:bodyDiv w:val="1"/>
      <w:marLeft w:val="0"/>
      <w:marRight w:val="0"/>
      <w:marTop w:val="0"/>
      <w:marBottom w:val="0"/>
      <w:divBdr>
        <w:top w:val="none" w:sz="0" w:space="0" w:color="auto"/>
        <w:left w:val="none" w:sz="0" w:space="0" w:color="auto"/>
        <w:bottom w:val="none" w:sz="0" w:space="0" w:color="auto"/>
        <w:right w:val="none" w:sz="0" w:space="0" w:color="auto"/>
      </w:divBdr>
      <w:divsChild>
        <w:div w:id="749349680">
          <w:marLeft w:val="0"/>
          <w:marRight w:val="0"/>
          <w:marTop w:val="0"/>
          <w:marBottom w:val="0"/>
          <w:divBdr>
            <w:top w:val="none" w:sz="0" w:space="0" w:color="auto"/>
            <w:left w:val="none" w:sz="0" w:space="0" w:color="auto"/>
            <w:bottom w:val="none" w:sz="0" w:space="0" w:color="auto"/>
            <w:right w:val="none" w:sz="0" w:space="0" w:color="auto"/>
          </w:divBdr>
          <w:divsChild>
            <w:div w:id="84963984">
              <w:marLeft w:val="0"/>
              <w:marRight w:val="0"/>
              <w:marTop w:val="0"/>
              <w:marBottom w:val="0"/>
              <w:divBdr>
                <w:top w:val="none" w:sz="0" w:space="0" w:color="auto"/>
                <w:left w:val="none" w:sz="0" w:space="0" w:color="auto"/>
                <w:bottom w:val="none" w:sz="0" w:space="0" w:color="auto"/>
                <w:right w:val="none" w:sz="0" w:space="0" w:color="auto"/>
              </w:divBdr>
              <w:divsChild>
                <w:div w:id="408431012">
                  <w:marLeft w:val="0"/>
                  <w:marRight w:val="0"/>
                  <w:marTop w:val="0"/>
                  <w:marBottom w:val="0"/>
                  <w:divBdr>
                    <w:top w:val="none" w:sz="0" w:space="0" w:color="auto"/>
                    <w:left w:val="none" w:sz="0" w:space="0" w:color="auto"/>
                    <w:bottom w:val="none" w:sz="0" w:space="0" w:color="auto"/>
                    <w:right w:val="none" w:sz="0" w:space="0" w:color="auto"/>
                  </w:divBdr>
                  <w:divsChild>
                    <w:div w:id="2142530571">
                      <w:marLeft w:val="0"/>
                      <w:marRight w:val="0"/>
                      <w:marTop w:val="0"/>
                      <w:marBottom w:val="0"/>
                      <w:divBdr>
                        <w:top w:val="none" w:sz="0" w:space="0" w:color="auto"/>
                        <w:left w:val="none" w:sz="0" w:space="0" w:color="auto"/>
                        <w:bottom w:val="none" w:sz="0" w:space="0" w:color="auto"/>
                        <w:right w:val="none" w:sz="0" w:space="0" w:color="auto"/>
                      </w:divBdr>
                      <w:divsChild>
                        <w:div w:id="550843195">
                          <w:marLeft w:val="0"/>
                          <w:marRight w:val="0"/>
                          <w:marTop w:val="0"/>
                          <w:marBottom w:val="0"/>
                          <w:divBdr>
                            <w:top w:val="none" w:sz="0" w:space="0" w:color="auto"/>
                            <w:left w:val="none" w:sz="0" w:space="0" w:color="auto"/>
                            <w:bottom w:val="none" w:sz="0" w:space="0" w:color="auto"/>
                            <w:right w:val="none" w:sz="0" w:space="0" w:color="auto"/>
                          </w:divBdr>
                          <w:divsChild>
                            <w:div w:id="132990862">
                              <w:marLeft w:val="0"/>
                              <w:marRight w:val="0"/>
                              <w:marTop w:val="0"/>
                              <w:marBottom w:val="0"/>
                              <w:divBdr>
                                <w:top w:val="none" w:sz="0" w:space="0" w:color="auto"/>
                                <w:left w:val="none" w:sz="0" w:space="0" w:color="auto"/>
                                <w:bottom w:val="none" w:sz="0" w:space="0" w:color="auto"/>
                                <w:right w:val="none" w:sz="0" w:space="0" w:color="auto"/>
                              </w:divBdr>
                              <w:divsChild>
                                <w:div w:id="684139900">
                                  <w:marLeft w:val="0"/>
                                  <w:marRight w:val="0"/>
                                  <w:marTop w:val="0"/>
                                  <w:marBottom w:val="0"/>
                                  <w:divBdr>
                                    <w:top w:val="none" w:sz="0" w:space="0" w:color="auto"/>
                                    <w:left w:val="none" w:sz="0" w:space="0" w:color="auto"/>
                                    <w:bottom w:val="none" w:sz="0" w:space="0" w:color="auto"/>
                                    <w:right w:val="none" w:sz="0" w:space="0" w:color="auto"/>
                                  </w:divBdr>
                                  <w:divsChild>
                                    <w:div w:id="17237911">
                                      <w:marLeft w:val="0"/>
                                      <w:marRight w:val="0"/>
                                      <w:marTop w:val="0"/>
                                      <w:marBottom w:val="0"/>
                                      <w:divBdr>
                                        <w:top w:val="none" w:sz="0" w:space="0" w:color="auto"/>
                                        <w:left w:val="none" w:sz="0" w:space="0" w:color="auto"/>
                                        <w:bottom w:val="none" w:sz="0" w:space="0" w:color="auto"/>
                                        <w:right w:val="none" w:sz="0" w:space="0" w:color="auto"/>
                                      </w:divBdr>
                                      <w:divsChild>
                                        <w:div w:id="1456949967">
                                          <w:marLeft w:val="0"/>
                                          <w:marRight w:val="0"/>
                                          <w:marTop w:val="0"/>
                                          <w:marBottom w:val="0"/>
                                          <w:divBdr>
                                            <w:top w:val="none" w:sz="0" w:space="0" w:color="auto"/>
                                            <w:left w:val="none" w:sz="0" w:space="0" w:color="auto"/>
                                            <w:bottom w:val="none" w:sz="0" w:space="0" w:color="auto"/>
                                            <w:right w:val="none" w:sz="0" w:space="0" w:color="auto"/>
                                          </w:divBdr>
                                          <w:divsChild>
                                            <w:div w:id="1104156669">
                                              <w:marLeft w:val="0"/>
                                              <w:marRight w:val="0"/>
                                              <w:marTop w:val="0"/>
                                              <w:marBottom w:val="0"/>
                                              <w:divBdr>
                                                <w:top w:val="none" w:sz="0" w:space="0" w:color="auto"/>
                                                <w:left w:val="none" w:sz="0" w:space="0" w:color="auto"/>
                                                <w:bottom w:val="none" w:sz="0" w:space="0" w:color="auto"/>
                                                <w:right w:val="none" w:sz="0" w:space="0" w:color="auto"/>
                                              </w:divBdr>
                                              <w:divsChild>
                                                <w:div w:id="18428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252187">
      <w:bodyDiv w:val="1"/>
      <w:marLeft w:val="0"/>
      <w:marRight w:val="0"/>
      <w:marTop w:val="0"/>
      <w:marBottom w:val="0"/>
      <w:divBdr>
        <w:top w:val="none" w:sz="0" w:space="0" w:color="auto"/>
        <w:left w:val="none" w:sz="0" w:space="0" w:color="auto"/>
        <w:bottom w:val="none" w:sz="0" w:space="0" w:color="auto"/>
        <w:right w:val="none" w:sz="0" w:space="0" w:color="auto"/>
      </w:divBdr>
      <w:divsChild>
        <w:div w:id="1059599664">
          <w:marLeft w:val="0"/>
          <w:marRight w:val="0"/>
          <w:marTop w:val="0"/>
          <w:marBottom w:val="0"/>
          <w:divBdr>
            <w:top w:val="none" w:sz="0" w:space="0" w:color="auto"/>
            <w:left w:val="none" w:sz="0" w:space="0" w:color="auto"/>
            <w:bottom w:val="none" w:sz="0" w:space="0" w:color="auto"/>
            <w:right w:val="none" w:sz="0" w:space="0" w:color="auto"/>
          </w:divBdr>
        </w:div>
      </w:divsChild>
    </w:div>
    <w:div w:id="2080243961">
      <w:bodyDiv w:val="1"/>
      <w:marLeft w:val="0"/>
      <w:marRight w:val="0"/>
      <w:marTop w:val="0"/>
      <w:marBottom w:val="0"/>
      <w:divBdr>
        <w:top w:val="none" w:sz="0" w:space="0" w:color="auto"/>
        <w:left w:val="none" w:sz="0" w:space="0" w:color="auto"/>
        <w:bottom w:val="none" w:sz="0" w:space="0" w:color="auto"/>
        <w:right w:val="none" w:sz="0" w:space="0" w:color="auto"/>
      </w:divBdr>
    </w:div>
    <w:div w:id="21243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daq.com/investing/glossary/m/money" TargetMode="External"/><Relationship Id="rId13" Type="http://schemas.openxmlformats.org/officeDocument/2006/relationships/hyperlink" Target="https://www.nasdaq.com/investing/glossary/p/preferred-stoc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sdaq.com/investing/glossary/s/security" TargetMode="External"/><Relationship Id="rId17" Type="http://schemas.openxmlformats.org/officeDocument/2006/relationships/hyperlink" Target="https://www.investopedia.com/terms/p/preferredstock.asp" TargetMode="External"/><Relationship Id="rId2" Type="http://schemas.openxmlformats.org/officeDocument/2006/relationships/numbering" Target="numbering.xml"/><Relationship Id="rId16" Type="http://schemas.openxmlformats.org/officeDocument/2006/relationships/hyperlink" Target="https://www.investopedia.com/terms/d/dividend.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investing/glossary/d/debt" TargetMode="External"/><Relationship Id="rId5" Type="http://schemas.openxmlformats.org/officeDocument/2006/relationships/webSettings" Target="webSettings.xml"/><Relationship Id="rId15" Type="http://schemas.openxmlformats.org/officeDocument/2006/relationships/hyperlink" Target="https://www.investopedia.com/terms/f/financialinstrument.asp" TargetMode="External"/><Relationship Id="rId10" Type="http://schemas.openxmlformats.org/officeDocument/2006/relationships/hyperlink" Target="https://www.nasdaq.com/investing/glossary/r/redeemab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sdaq.com/investing/glossary/i/investor" TargetMode="External"/><Relationship Id="rId14" Type="http://schemas.openxmlformats.org/officeDocument/2006/relationships/hyperlink" Target="https://www.nasdaq.com/investing/glossary/i/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A2F8-4A8E-436C-8DE9-95428442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AC60CCB2</Template>
  <TotalTime>1557</TotalTime>
  <Pages>12</Pages>
  <Words>6930</Words>
  <Characters>39507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46345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creator>NAIC</dc:creator>
  <cp:lastModifiedBy>Pinegar, Jim</cp:lastModifiedBy>
  <cp:revision>52</cp:revision>
  <cp:lastPrinted>2019-02-19T18:26:00Z</cp:lastPrinted>
  <dcterms:created xsi:type="dcterms:W3CDTF">2019-02-11T16:48:00Z</dcterms:created>
  <dcterms:modified xsi:type="dcterms:W3CDTF">2020-03-20T17:31:00Z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-1099121632</vt:i4>
  </property>
  <property fmtid="{D5CDD505-2E9C-101B-9397-08002B2CF9AE}" pid="3" name="_NewReviewCycle">
    <vt:lpwstr/>
  </property>
  <property fmtid="{D5CDD505-2E9C-101B-9397-08002B2CF9AE}" pid="4" name="_EmailSubject">
    <vt:lpwstr>Agenda Item - SSAP No. 30</vt:lpwstr>
  </property>
  <property fmtid="{D5CDD505-2E9C-101B-9397-08002B2CF9AE}" pid="5" name="_AuthorEmail">
    <vt:lpwstr>RCarcano@naic.org</vt:lpwstr>
  </property>
  <property fmtid="{D5CDD505-2E9C-101B-9397-08002B2CF9AE}" pid="6" name="_AuthorEmailDisplayName">
    <vt:lpwstr>Carcano, Robert</vt:lpwstr>
  </property>
  <property fmtid="{D5CDD505-2E9C-101B-9397-08002B2CF9AE}" pid="7" name="_PreviousAdHocReviewCycleID">
    <vt:i4>1926444703</vt:i4>
  </property>
  <property fmtid="{D5CDD505-2E9C-101B-9397-08002B2CF9AE}" pid="8" name="_ReviewingToolsShownOnce">
    <vt:lpwstr/>
  </property>
</Properties>
</file>