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0F2C45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046725">
        <w:rPr>
          <w:sz w:val="22"/>
          <w:szCs w:val="22"/>
        </w:rPr>
        <w:t>SSAP No. 43R – Equity Instruments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73BE2">
        <w:rPr>
          <w:sz w:val="22"/>
          <w:szCs w:val="22"/>
        </w:rPr>
      </w:r>
      <w:r w:rsidR="00873BE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6E628C6E" w14:textId="168A4A32" w:rsidR="00137EDF" w:rsidRDefault="00137EDF" w:rsidP="00137EDF">
      <w:pPr>
        <w:pStyle w:val="BodyText2"/>
        <w:rPr>
          <w:b w:val="0"/>
          <w:bCs w:val="0"/>
          <w:szCs w:val="22"/>
        </w:rPr>
      </w:pPr>
      <w:r>
        <w:rPr>
          <w:b w:val="0"/>
          <w:bCs w:val="0"/>
          <w:szCs w:val="22"/>
        </w:rPr>
        <w:t xml:space="preserve">This agenda item has been drafted to consider clarifications to the scope of </w:t>
      </w:r>
      <w:r w:rsidRPr="00046725">
        <w:rPr>
          <w:b w:val="0"/>
          <w:bCs w:val="0"/>
          <w:i/>
          <w:iCs/>
          <w:szCs w:val="22"/>
        </w:rPr>
        <w:t>SSAP No. 43R—Loan-</w:t>
      </w:r>
      <w:r w:rsidR="003000A4">
        <w:rPr>
          <w:b w:val="0"/>
          <w:bCs w:val="0"/>
          <w:i/>
          <w:iCs/>
          <w:szCs w:val="22"/>
        </w:rPr>
        <w:t>B</w:t>
      </w:r>
      <w:r w:rsidRPr="00046725">
        <w:rPr>
          <w:b w:val="0"/>
          <w:bCs w:val="0"/>
          <w:i/>
          <w:iCs/>
          <w:szCs w:val="22"/>
        </w:rPr>
        <w:t>acked and Structured Securities</w:t>
      </w:r>
      <w:r>
        <w:rPr>
          <w:b w:val="0"/>
          <w:bCs w:val="0"/>
          <w:szCs w:val="22"/>
        </w:rPr>
        <w:t xml:space="preserve">, particularly with regards to collateralized fund obligations (CFOs) and </w:t>
      </w:r>
      <w:r w:rsidRPr="00FA7081">
        <w:rPr>
          <w:b w:val="0"/>
          <w:bCs w:val="0"/>
          <w:szCs w:val="22"/>
        </w:rPr>
        <w:t>similar</w:t>
      </w:r>
      <w:r>
        <w:rPr>
          <w:b w:val="0"/>
          <w:bCs w:val="0"/>
          <w:szCs w:val="22"/>
        </w:rPr>
        <w:t xml:space="preserve"> structures that reflect underlying equity interests but are issued in the form of bonds / debt instruments. </w:t>
      </w:r>
    </w:p>
    <w:p w14:paraId="55B246C7" w14:textId="77777777" w:rsidR="00137EDF" w:rsidRDefault="00137EDF" w:rsidP="00137EDF">
      <w:pPr>
        <w:pStyle w:val="BodyText2"/>
        <w:rPr>
          <w:b w:val="0"/>
          <w:bCs w:val="0"/>
          <w:szCs w:val="22"/>
        </w:rPr>
      </w:pPr>
    </w:p>
    <w:p w14:paraId="33523302" w14:textId="77777777" w:rsidR="00137EDF" w:rsidRDefault="00137EDF" w:rsidP="00137EDF">
      <w:pPr>
        <w:pStyle w:val="BodyText2"/>
        <w:tabs>
          <w:tab w:val="left" w:pos="9360"/>
        </w:tabs>
        <w:ind w:left="720" w:right="720"/>
        <w:rPr>
          <w:b w:val="0"/>
          <w:bCs w:val="0"/>
          <w:szCs w:val="22"/>
        </w:rPr>
      </w:pPr>
      <w:r w:rsidRPr="004D630B">
        <w:rPr>
          <w:b w:val="0"/>
          <w:bCs w:val="0"/>
          <w:szCs w:val="22"/>
          <w:u w:val="single"/>
        </w:rPr>
        <w:t>Overview</w:t>
      </w:r>
      <w:r>
        <w:rPr>
          <w:b w:val="0"/>
          <w:bCs w:val="0"/>
          <w:szCs w:val="22"/>
        </w:rPr>
        <w:t xml:space="preserve">: </w:t>
      </w:r>
      <w:r w:rsidRPr="004D630B">
        <w:rPr>
          <w:b w:val="0"/>
          <w:bCs w:val="0"/>
          <w:szCs w:val="22"/>
        </w:rPr>
        <w:t>A collateralized fund obligation (CFO) is a form of </w:t>
      </w:r>
      <w:hyperlink r:id="rId8" w:tooltip="Securitization" w:history="1">
        <w:r w:rsidRPr="004D630B">
          <w:rPr>
            <w:b w:val="0"/>
            <w:bCs w:val="0"/>
            <w:szCs w:val="22"/>
          </w:rPr>
          <w:t>securitization</w:t>
        </w:r>
      </w:hyperlink>
      <w:r w:rsidRPr="004D630B">
        <w:rPr>
          <w:b w:val="0"/>
          <w:bCs w:val="0"/>
          <w:szCs w:val="22"/>
        </w:rPr>
        <w:t> involving </w:t>
      </w:r>
      <w:hyperlink r:id="rId9" w:tooltip="Private equity fund" w:history="1">
        <w:r w:rsidRPr="004D630B">
          <w:rPr>
            <w:b w:val="0"/>
            <w:bCs w:val="0"/>
            <w:szCs w:val="22"/>
          </w:rPr>
          <w:t>private equity fund</w:t>
        </w:r>
      </w:hyperlink>
      <w:r w:rsidRPr="004D630B">
        <w:rPr>
          <w:b w:val="0"/>
          <w:bCs w:val="0"/>
          <w:szCs w:val="22"/>
        </w:rPr>
        <w:t> or </w:t>
      </w:r>
      <w:hyperlink r:id="rId10" w:tooltip="Hedge fund" w:history="1">
        <w:r w:rsidRPr="004D630B">
          <w:rPr>
            <w:b w:val="0"/>
            <w:bCs w:val="0"/>
            <w:szCs w:val="22"/>
          </w:rPr>
          <w:t>hedge fund</w:t>
        </w:r>
      </w:hyperlink>
      <w:r w:rsidRPr="004D630B">
        <w:rPr>
          <w:b w:val="0"/>
          <w:bCs w:val="0"/>
          <w:szCs w:val="22"/>
        </w:rPr>
        <w:t> assets, similar to </w:t>
      </w:r>
      <w:hyperlink r:id="rId11" w:tooltip="Collateralized debt obligation" w:history="1">
        <w:r w:rsidRPr="004D630B">
          <w:rPr>
            <w:b w:val="0"/>
            <w:bCs w:val="0"/>
            <w:szCs w:val="22"/>
          </w:rPr>
          <w:t>collateralized debt obligations</w:t>
        </w:r>
      </w:hyperlink>
      <w:r>
        <w:rPr>
          <w:b w:val="0"/>
          <w:bCs w:val="0"/>
          <w:szCs w:val="22"/>
        </w:rPr>
        <w:t xml:space="preserve"> (CDOs)</w:t>
      </w:r>
      <w:r w:rsidRPr="004D630B">
        <w:rPr>
          <w:b w:val="0"/>
          <w:bCs w:val="0"/>
          <w:szCs w:val="22"/>
        </w:rPr>
        <w:t>. </w:t>
      </w:r>
      <w:r>
        <w:rPr>
          <w:b w:val="0"/>
          <w:bCs w:val="0"/>
          <w:szCs w:val="22"/>
        </w:rPr>
        <w:t>A CDO</w:t>
      </w:r>
      <w:r w:rsidRPr="004D630B">
        <w:rPr>
          <w:b w:val="0"/>
          <w:bCs w:val="0"/>
          <w:szCs w:val="22"/>
        </w:rPr>
        <w:t xml:space="preserve"> uses loans as the collateral</w:t>
      </w:r>
      <w:r>
        <w:rPr>
          <w:b w:val="0"/>
          <w:bCs w:val="0"/>
          <w:szCs w:val="22"/>
        </w:rPr>
        <w:t xml:space="preserve"> backing the security</w:t>
      </w:r>
      <w:r w:rsidRPr="004D630B">
        <w:rPr>
          <w:b w:val="0"/>
          <w:bCs w:val="0"/>
          <w:szCs w:val="22"/>
        </w:rPr>
        <w:t xml:space="preserve">, </w:t>
      </w:r>
      <w:r>
        <w:rPr>
          <w:b w:val="0"/>
          <w:bCs w:val="0"/>
          <w:szCs w:val="22"/>
        </w:rPr>
        <w:t xml:space="preserve">whereas </w:t>
      </w:r>
      <w:r w:rsidRPr="004D630B">
        <w:rPr>
          <w:b w:val="0"/>
          <w:bCs w:val="0"/>
          <w:szCs w:val="22"/>
        </w:rPr>
        <w:t xml:space="preserve">a CFO is backed by interests in funds, often private </w:t>
      </w:r>
      <w:proofErr w:type="gramStart"/>
      <w:r w:rsidRPr="004D630B">
        <w:rPr>
          <w:b w:val="0"/>
          <w:bCs w:val="0"/>
          <w:szCs w:val="22"/>
        </w:rPr>
        <w:t>equity</w:t>
      </w:r>
      <w:proofErr w:type="gramEnd"/>
      <w:r w:rsidRPr="004D630B">
        <w:rPr>
          <w:b w:val="0"/>
          <w:bCs w:val="0"/>
          <w:szCs w:val="22"/>
        </w:rPr>
        <w:t xml:space="preserve"> or hedge funds. (A CFO can also be backed by other equity interests, such as a limited liability partnership.)</w:t>
      </w:r>
      <w:r w:rsidRPr="00C119DE">
        <w:rPr>
          <w:b w:val="0"/>
          <w:bCs w:val="0"/>
          <w:szCs w:val="22"/>
        </w:rPr>
        <w:t xml:space="preserve"> Although the CFO appear</w:t>
      </w:r>
      <w:r>
        <w:rPr>
          <w:b w:val="0"/>
          <w:bCs w:val="0"/>
          <w:szCs w:val="22"/>
        </w:rPr>
        <w:t>s</w:t>
      </w:r>
      <w:r w:rsidRPr="00C119DE">
        <w:rPr>
          <w:b w:val="0"/>
          <w:bCs w:val="0"/>
          <w:szCs w:val="22"/>
        </w:rPr>
        <w:t xml:space="preserve"> to have a “debt instrument” cash flow</w:t>
      </w:r>
      <w:r>
        <w:rPr>
          <w:b w:val="0"/>
          <w:bCs w:val="0"/>
          <w:szCs w:val="22"/>
        </w:rPr>
        <w:t xml:space="preserve"> and may receive a credit rating from an NRSRO</w:t>
      </w:r>
      <w:r w:rsidRPr="00C119DE">
        <w:rPr>
          <w:b w:val="0"/>
          <w:bCs w:val="0"/>
          <w:szCs w:val="22"/>
        </w:rPr>
        <w:t>, the backing of the issued security is based on the equity performance of the underlying funds or equity interest. From a Bloomberg article from Oct. 2018, it was noted that CFOs have been noted as allowing an opportunity for “regulatory capital relief.” This article cited a statement that entities “can exchange their equity interests into CFOs, maintain the same level of exposure, without having to hold as much capital against the investments because regulators treat CFOs as bonds, not the private equity-linked investments that they are.”</w:t>
      </w:r>
    </w:p>
    <w:p w14:paraId="737BB116" w14:textId="77777777" w:rsidR="00137EDF" w:rsidRDefault="00137EDF" w:rsidP="00137EDF">
      <w:pPr>
        <w:pStyle w:val="BodyText2"/>
        <w:rPr>
          <w:b w:val="0"/>
          <w:bCs w:val="0"/>
          <w:szCs w:val="22"/>
        </w:rPr>
      </w:pPr>
    </w:p>
    <w:p w14:paraId="6B457F44" w14:textId="77777777" w:rsidR="00137EDF" w:rsidRDefault="00137EDF" w:rsidP="00137EDF">
      <w:pPr>
        <w:pStyle w:val="BodyText2"/>
        <w:rPr>
          <w:b w:val="0"/>
          <w:bCs w:val="0"/>
          <w:szCs w:val="22"/>
        </w:rPr>
      </w:pPr>
      <w:r>
        <w:rPr>
          <w:b w:val="0"/>
          <w:bCs w:val="0"/>
          <w:szCs w:val="22"/>
        </w:rPr>
        <w:t xml:space="preserve">NAIC staff was contacted by a rating provider with a request for information on how CFOs are considered for statutory accounting. The rating provider noted that this information would assist them in determining their methodology for reviewing CFOs under their credit policy and providing credit ratings. As part of that discussion, the rating provider provided the following information regarding their knowledge of CFOs: </w:t>
      </w:r>
    </w:p>
    <w:p w14:paraId="643051A8" w14:textId="77777777" w:rsidR="00137EDF" w:rsidRDefault="00137EDF" w:rsidP="00137EDF">
      <w:pPr>
        <w:pStyle w:val="BodyText2"/>
        <w:rPr>
          <w:b w:val="0"/>
          <w:bCs w:val="0"/>
          <w:szCs w:val="22"/>
        </w:rPr>
      </w:pPr>
    </w:p>
    <w:p w14:paraId="2CB980E9" w14:textId="77777777" w:rsidR="00137EDF" w:rsidRDefault="00137EDF" w:rsidP="00137EDF">
      <w:pPr>
        <w:pStyle w:val="BodyText2"/>
        <w:numPr>
          <w:ilvl w:val="0"/>
          <w:numId w:val="53"/>
        </w:numPr>
        <w:spacing w:after="60"/>
        <w:rPr>
          <w:b w:val="0"/>
          <w:bCs w:val="0"/>
          <w:szCs w:val="22"/>
        </w:rPr>
      </w:pPr>
      <w:r>
        <w:rPr>
          <w:b w:val="0"/>
          <w:bCs w:val="0"/>
          <w:szCs w:val="22"/>
        </w:rPr>
        <w:t>CFOs were first issued prior to the financial crisis in the early 2000’s.</w:t>
      </w:r>
    </w:p>
    <w:p w14:paraId="63932D2E" w14:textId="77777777" w:rsidR="00137EDF" w:rsidRDefault="00137EDF" w:rsidP="00137EDF">
      <w:pPr>
        <w:pStyle w:val="BodyText2"/>
        <w:numPr>
          <w:ilvl w:val="0"/>
          <w:numId w:val="53"/>
        </w:numPr>
        <w:spacing w:after="60"/>
        <w:rPr>
          <w:b w:val="0"/>
          <w:bCs w:val="0"/>
          <w:szCs w:val="22"/>
        </w:rPr>
      </w:pPr>
      <w:r>
        <w:rPr>
          <w:b w:val="0"/>
          <w:bCs w:val="0"/>
          <w:szCs w:val="22"/>
        </w:rPr>
        <w:t xml:space="preserve">The early CFOs were packages of hedge funds assets, not private equity funds. </w:t>
      </w:r>
    </w:p>
    <w:p w14:paraId="203922F1" w14:textId="77777777" w:rsidR="00137EDF" w:rsidRDefault="00137EDF" w:rsidP="00137EDF">
      <w:pPr>
        <w:pStyle w:val="BodyText2"/>
        <w:numPr>
          <w:ilvl w:val="0"/>
          <w:numId w:val="53"/>
        </w:numPr>
        <w:spacing w:after="60"/>
        <w:rPr>
          <w:b w:val="0"/>
          <w:bCs w:val="0"/>
          <w:szCs w:val="22"/>
        </w:rPr>
      </w:pPr>
      <w:r>
        <w:rPr>
          <w:b w:val="0"/>
          <w:bCs w:val="0"/>
          <w:szCs w:val="22"/>
        </w:rPr>
        <w:t xml:space="preserve">CFOs did not perform well in the financial crisis and the development / issuance was halted. </w:t>
      </w:r>
    </w:p>
    <w:p w14:paraId="4AFE3A3D" w14:textId="77777777" w:rsidR="00137EDF" w:rsidRDefault="00137EDF" w:rsidP="00137EDF">
      <w:pPr>
        <w:pStyle w:val="BodyText2"/>
        <w:numPr>
          <w:ilvl w:val="0"/>
          <w:numId w:val="53"/>
        </w:numPr>
        <w:spacing w:after="60"/>
        <w:rPr>
          <w:b w:val="0"/>
          <w:bCs w:val="0"/>
          <w:szCs w:val="22"/>
        </w:rPr>
      </w:pPr>
      <w:r>
        <w:rPr>
          <w:b w:val="0"/>
          <w:bCs w:val="0"/>
          <w:szCs w:val="22"/>
        </w:rPr>
        <w:t xml:space="preserve">CFOs have now returned to the market, with </w:t>
      </w:r>
      <w:proofErr w:type="gramStart"/>
      <w:r>
        <w:rPr>
          <w:b w:val="0"/>
          <w:bCs w:val="0"/>
          <w:szCs w:val="22"/>
        </w:rPr>
        <w:t>the majority of</w:t>
      </w:r>
      <w:proofErr w:type="gramEnd"/>
      <w:r>
        <w:rPr>
          <w:b w:val="0"/>
          <w:bCs w:val="0"/>
          <w:szCs w:val="22"/>
        </w:rPr>
        <w:t xml:space="preserve"> holders identified as insurance companies. </w:t>
      </w:r>
    </w:p>
    <w:p w14:paraId="160D02F7" w14:textId="77777777" w:rsidR="00137EDF" w:rsidRDefault="00137EDF" w:rsidP="00137EDF">
      <w:pPr>
        <w:pStyle w:val="BodyText2"/>
        <w:numPr>
          <w:ilvl w:val="0"/>
          <w:numId w:val="53"/>
        </w:numPr>
        <w:spacing w:after="60"/>
        <w:rPr>
          <w:b w:val="0"/>
          <w:bCs w:val="0"/>
          <w:szCs w:val="22"/>
        </w:rPr>
      </w:pPr>
      <w:r>
        <w:rPr>
          <w:b w:val="0"/>
          <w:bCs w:val="0"/>
          <w:szCs w:val="22"/>
        </w:rPr>
        <w:t xml:space="preserve">Although CFOs have returned, it was noted they have not seen many issuances. </w:t>
      </w:r>
    </w:p>
    <w:p w14:paraId="0C37782E" w14:textId="77777777" w:rsidR="00137EDF" w:rsidRPr="00890946" w:rsidRDefault="00137EDF" w:rsidP="00137EDF">
      <w:pPr>
        <w:pStyle w:val="BodyText2"/>
        <w:numPr>
          <w:ilvl w:val="0"/>
          <w:numId w:val="53"/>
        </w:numPr>
        <w:spacing w:after="60"/>
        <w:rPr>
          <w:b w:val="0"/>
          <w:bCs w:val="0"/>
          <w:szCs w:val="22"/>
        </w:rPr>
      </w:pPr>
      <w:r w:rsidRPr="00890946">
        <w:rPr>
          <w:b w:val="0"/>
          <w:bCs w:val="0"/>
          <w:szCs w:val="22"/>
          <w:u w:val="single"/>
        </w:rPr>
        <w:t>CFOs have been formed through repackaging of existing owned assets</w:t>
      </w:r>
      <w:r w:rsidRPr="00890946">
        <w:rPr>
          <w:b w:val="0"/>
          <w:bCs w:val="0"/>
          <w:szCs w:val="22"/>
        </w:rPr>
        <w:t xml:space="preserve">. (For example, if an insurance company held private equity on Schedule BA, they can package these assets in a CFO and report on Schedule D under SSAP No. 43R.) The rating agency noted that they do not formally receive information on the source of the CFO assets, but they receive source information informally through company inquiries. </w:t>
      </w:r>
    </w:p>
    <w:p w14:paraId="470A23E6" w14:textId="77777777" w:rsidR="00137EDF" w:rsidRDefault="00137EDF" w:rsidP="00137EDF">
      <w:pPr>
        <w:pStyle w:val="BodyText2"/>
        <w:numPr>
          <w:ilvl w:val="0"/>
          <w:numId w:val="53"/>
        </w:numPr>
        <w:spacing w:after="60"/>
        <w:rPr>
          <w:b w:val="0"/>
          <w:bCs w:val="0"/>
          <w:szCs w:val="22"/>
        </w:rPr>
      </w:pPr>
      <w:r w:rsidRPr="00063608">
        <w:rPr>
          <w:b w:val="0"/>
          <w:bCs w:val="0"/>
          <w:szCs w:val="22"/>
        </w:rPr>
        <w:t>CFOs can be acquired individually (not through the repackaging of existing assets).</w:t>
      </w:r>
    </w:p>
    <w:p w14:paraId="6B100851" w14:textId="77777777" w:rsidR="00137EDF" w:rsidRPr="00063608" w:rsidRDefault="00137EDF" w:rsidP="00137EDF">
      <w:pPr>
        <w:pStyle w:val="BodyText2"/>
        <w:numPr>
          <w:ilvl w:val="0"/>
          <w:numId w:val="53"/>
        </w:numPr>
        <w:rPr>
          <w:b w:val="0"/>
          <w:bCs w:val="0"/>
          <w:szCs w:val="22"/>
        </w:rPr>
      </w:pPr>
      <w:r>
        <w:rPr>
          <w:b w:val="0"/>
          <w:bCs w:val="0"/>
          <w:szCs w:val="22"/>
        </w:rPr>
        <w:t xml:space="preserve">CFOs can include both debt and equity components. Per the rating agency, in the situations seen, the insurance company either keeps the entire structure (both debt and equity pieces), or they sell the debt component and retain the equity component. </w:t>
      </w:r>
      <w:r w:rsidRPr="00D44601">
        <w:rPr>
          <w:b w:val="0"/>
          <w:bCs w:val="0"/>
          <w:szCs w:val="22"/>
          <w:u w:val="single"/>
        </w:rPr>
        <w:t xml:space="preserve">They identified that </w:t>
      </w:r>
      <w:r>
        <w:rPr>
          <w:b w:val="0"/>
          <w:bCs w:val="0"/>
          <w:szCs w:val="22"/>
          <w:u w:val="single"/>
        </w:rPr>
        <w:t xml:space="preserve">in the situations they have seen, insurance companies have always retained the equity portion. </w:t>
      </w:r>
    </w:p>
    <w:p w14:paraId="611BFC7E" w14:textId="77777777" w:rsidR="00137EDF" w:rsidRDefault="00137EDF" w:rsidP="00137EDF">
      <w:pPr>
        <w:pStyle w:val="BodyText2"/>
        <w:rPr>
          <w:b w:val="0"/>
          <w:bCs w:val="0"/>
          <w:szCs w:val="22"/>
        </w:rPr>
      </w:pPr>
    </w:p>
    <w:p w14:paraId="09B24B5D" w14:textId="77777777" w:rsidR="00137EDF" w:rsidRDefault="00137EDF" w:rsidP="00137EDF">
      <w:pPr>
        <w:pStyle w:val="BodyText2"/>
        <w:rPr>
          <w:b w:val="0"/>
          <w:bCs w:val="0"/>
          <w:szCs w:val="22"/>
        </w:rPr>
      </w:pPr>
      <w:r>
        <w:rPr>
          <w:b w:val="0"/>
          <w:bCs w:val="0"/>
          <w:szCs w:val="22"/>
        </w:rPr>
        <w:t xml:space="preserve">As identified in </w:t>
      </w:r>
      <w:r w:rsidRPr="00046725">
        <w:rPr>
          <w:b w:val="0"/>
          <w:bCs w:val="0"/>
          <w:i/>
          <w:iCs/>
          <w:szCs w:val="22"/>
        </w:rPr>
        <w:t>SSAP No. 26R—Bonds</w:t>
      </w:r>
      <w:r>
        <w:rPr>
          <w:b w:val="0"/>
          <w:bCs w:val="0"/>
          <w:szCs w:val="22"/>
        </w:rPr>
        <w:t xml:space="preserve">, loan-backed and structured securities (LBSS), although they may meet the definition of a bond, are excluded from SSAP No. 26R and follow the accounting and reporting guidance within </w:t>
      </w:r>
      <w:r>
        <w:rPr>
          <w:b w:val="0"/>
          <w:bCs w:val="0"/>
          <w:szCs w:val="22"/>
        </w:rPr>
        <w:lastRenderedPageBreak/>
        <w:t xml:space="preserve">SSAP No. 43R. The accounting and reporting of LBSS is similar to the reporting of bonds, with the measurement method (amortized cost or the lower of amortized cost or fair value) determined in accordance with the credit risk of the security (NAIC designation). Securities in scope of SSAP No. 43R are reported on Schedule D-1 as long-term bonds consistent with securities captured in scope of SSAP No. 26R. </w:t>
      </w:r>
    </w:p>
    <w:p w14:paraId="1801DD3E" w14:textId="77777777" w:rsidR="00137EDF" w:rsidRDefault="00137EDF" w:rsidP="00137EDF">
      <w:pPr>
        <w:pStyle w:val="BodyText2"/>
        <w:rPr>
          <w:b w:val="0"/>
          <w:bCs w:val="0"/>
          <w:szCs w:val="22"/>
        </w:rPr>
      </w:pPr>
    </w:p>
    <w:p w14:paraId="1A915EAE" w14:textId="77777777" w:rsidR="00137EDF" w:rsidRDefault="00137EDF" w:rsidP="00137EDF">
      <w:pPr>
        <w:pStyle w:val="BodyText2"/>
        <w:rPr>
          <w:b w:val="0"/>
          <w:bCs w:val="0"/>
          <w:szCs w:val="22"/>
        </w:rPr>
      </w:pPr>
      <w:r>
        <w:rPr>
          <w:b w:val="0"/>
          <w:bCs w:val="0"/>
          <w:szCs w:val="22"/>
        </w:rPr>
        <w:t xml:space="preserve">Pursuant to the </w:t>
      </w:r>
      <w:r w:rsidRPr="00682C66">
        <w:rPr>
          <w:b w:val="0"/>
          <w:bCs w:val="0"/>
          <w:i/>
          <w:iCs/>
          <w:szCs w:val="22"/>
        </w:rPr>
        <w:t>NAIC Purposes and Procedures Manual of the NAIC Investment Analysis Office</w:t>
      </w:r>
      <w:r>
        <w:rPr>
          <w:b w:val="0"/>
          <w:bCs w:val="0"/>
          <w:szCs w:val="22"/>
        </w:rPr>
        <w:t xml:space="preserve"> (P&amp;P Manual) NAIC designations are used to determine the category of credit risk and are security specific based on the position of a specific security in the issuer’s capital structure. </w:t>
      </w:r>
    </w:p>
    <w:p w14:paraId="07DC7F19" w14:textId="310485AD" w:rsidR="00C119DE" w:rsidRDefault="00C119DE" w:rsidP="00C119DE">
      <w:pPr>
        <w:pStyle w:val="BodyText2"/>
        <w:rPr>
          <w:b w:val="0"/>
          <w:bCs w:val="0"/>
          <w:szCs w:val="22"/>
        </w:rPr>
      </w:pPr>
    </w:p>
    <w:p w14:paraId="6C6B67AF" w14:textId="6CD0AFD7" w:rsidR="002A1316" w:rsidRDefault="002A1316" w:rsidP="00B30CA0">
      <w:pPr>
        <w:pStyle w:val="BodyText2"/>
        <w:rPr>
          <w:bCs w:val="0"/>
          <w:szCs w:val="22"/>
        </w:rPr>
      </w:pPr>
      <w:r w:rsidRPr="00F70746">
        <w:rPr>
          <w:bCs w:val="0"/>
          <w:szCs w:val="22"/>
        </w:rPr>
        <w:t>Existing Authoritative Literature:</w:t>
      </w:r>
    </w:p>
    <w:p w14:paraId="1CF6BA87" w14:textId="405E846A" w:rsidR="005E3595" w:rsidRDefault="005E3595" w:rsidP="00B30CA0">
      <w:pPr>
        <w:pStyle w:val="BodyText2"/>
        <w:rPr>
          <w:bCs w:val="0"/>
          <w:szCs w:val="22"/>
        </w:rPr>
      </w:pPr>
    </w:p>
    <w:p w14:paraId="050AB944" w14:textId="745B90B3" w:rsidR="005E3595" w:rsidRDefault="005E3595" w:rsidP="00B30CA0">
      <w:pPr>
        <w:pStyle w:val="BodyText2"/>
        <w:rPr>
          <w:bCs w:val="0"/>
          <w:szCs w:val="22"/>
        </w:rPr>
      </w:pPr>
      <w:r>
        <w:rPr>
          <w:bCs w:val="0"/>
          <w:szCs w:val="22"/>
        </w:rPr>
        <w:t>SSAP No. 43R—</w:t>
      </w:r>
      <w:r w:rsidR="003000A4">
        <w:rPr>
          <w:bCs w:val="0"/>
          <w:szCs w:val="22"/>
        </w:rPr>
        <w:t>Loan-Backed</w:t>
      </w:r>
      <w:r>
        <w:rPr>
          <w:bCs w:val="0"/>
          <w:szCs w:val="22"/>
        </w:rPr>
        <w:t xml:space="preserve"> and Structured Securities: </w:t>
      </w:r>
    </w:p>
    <w:p w14:paraId="4DE11354" w14:textId="77777777" w:rsidR="00403407" w:rsidRPr="005E3595" w:rsidRDefault="00403407" w:rsidP="00B30CA0">
      <w:pPr>
        <w:pStyle w:val="BodyText2"/>
        <w:rPr>
          <w:rFonts w:ascii="Arial" w:hAnsi="Arial" w:cs="Arial"/>
          <w:bCs w:val="0"/>
          <w:sz w:val="20"/>
        </w:rPr>
      </w:pPr>
    </w:p>
    <w:p w14:paraId="6C82D06A" w14:textId="77777777" w:rsidR="00F70746" w:rsidRPr="00F70746" w:rsidRDefault="00F70746" w:rsidP="00F70746">
      <w:pPr>
        <w:pStyle w:val="Heading2"/>
        <w:ind w:left="720"/>
        <w:rPr>
          <w:rFonts w:ascii="Arial" w:hAnsi="Arial" w:cs="Arial"/>
          <w:sz w:val="20"/>
        </w:rPr>
      </w:pPr>
      <w:r w:rsidRPr="00F70746">
        <w:rPr>
          <w:rFonts w:ascii="Arial" w:hAnsi="Arial" w:cs="Arial"/>
          <w:sz w:val="20"/>
        </w:rPr>
        <w:t>SCOPE OF STATEMENT</w:t>
      </w:r>
    </w:p>
    <w:p w14:paraId="71826B5E" w14:textId="49665224" w:rsidR="00F70746" w:rsidRPr="00F70746" w:rsidRDefault="00F70746" w:rsidP="00080F14">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This statement establishes statutory accounting principles for investments in loan-backed securities, structured </w:t>
      </w:r>
      <w:proofErr w:type="gramStart"/>
      <w:r w:rsidRPr="00F70746">
        <w:rPr>
          <w:rFonts w:ascii="Arial" w:hAnsi="Arial" w:cs="Arial"/>
          <w:sz w:val="20"/>
        </w:rPr>
        <w:t>securities</w:t>
      </w:r>
      <w:proofErr w:type="gramEnd"/>
      <w:r w:rsidRPr="00F70746">
        <w:rPr>
          <w:rFonts w:ascii="Arial" w:hAnsi="Arial" w:cs="Arial"/>
          <w:sz w:val="20"/>
        </w:rPr>
        <w:t xml:space="preserve"> and mortgage-referenced securities. In accordance with </w:t>
      </w:r>
      <w:r w:rsidRPr="00F70746">
        <w:rPr>
          <w:rFonts w:ascii="Arial" w:hAnsi="Arial" w:cs="Arial"/>
          <w:i/>
          <w:sz w:val="20"/>
        </w:rPr>
        <w:t>SSAP No. 103R</w:t>
      </w:r>
      <w:r w:rsidRPr="00F70746">
        <w:rPr>
          <w:rFonts w:ascii="Arial" w:hAnsi="Arial" w:cs="Arial"/>
          <w:i/>
          <w:iCs/>
          <w:sz w:val="20"/>
        </w:rPr>
        <w:t>—Transfers and Servicing of Financial Assets and Extinguishments of Liabilities</w:t>
      </w:r>
      <w:r w:rsidRPr="00F70746">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335DE578" w14:textId="77777777" w:rsidR="00F70746" w:rsidRPr="00F70746" w:rsidRDefault="00F70746" w:rsidP="00F70746">
      <w:pPr>
        <w:pStyle w:val="Heading2"/>
        <w:tabs>
          <w:tab w:val="num" w:pos="1440"/>
        </w:tabs>
        <w:ind w:left="720"/>
        <w:rPr>
          <w:rFonts w:ascii="Arial" w:hAnsi="Arial" w:cs="Arial"/>
          <w:sz w:val="20"/>
        </w:rPr>
      </w:pPr>
      <w:r w:rsidRPr="00F70746">
        <w:rPr>
          <w:rFonts w:ascii="Arial" w:hAnsi="Arial" w:cs="Arial"/>
          <w:sz w:val="20"/>
        </w:rPr>
        <w:t>SUMMARY CONCLUSION</w:t>
      </w:r>
    </w:p>
    <w:p w14:paraId="3438EADC"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0696D198"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62F35543"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w:t>
      </w:r>
      <w:proofErr w:type="gramStart"/>
      <w:r w:rsidRPr="00F70746">
        <w:rPr>
          <w:rFonts w:ascii="Arial" w:hAnsi="Arial" w:cs="Arial"/>
          <w:sz w:val="20"/>
        </w:rPr>
        <w:t>assets, but</w:t>
      </w:r>
      <w:proofErr w:type="gramEnd"/>
      <w:r w:rsidRPr="00F70746">
        <w:rPr>
          <w:rFonts w:ascii="Arial" w:hAnsi="Arial" w:cs="Arial"/>
          <w:sz w:val="20"/>
        </w:rPr>
        <w:t xml:space="preserve">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2C1AC927"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F70746">
        <w:rPr>
          <w:rStyle w:val="FootnoteReference"/>
          <w:rFonts w:ascii="Arial" w:hAnsi="Arial" w:cs="Arial"/>
          <w:sz w:val="20"/>
        </w:rPr>
        <w:footnoteReference w:id="1"/>
      </w:r>
      <w:r w:rsidRPr="00F70746">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1AA3A088"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lastRenderedPageBreak/>
        <w:t xml:space="preserve">Loan-backed and structured securities meet the definition of assets as defined in </w:t>
      </w:r>
      <w:r w:rsidRPr="00F70746">
        <w:rPr>
          <w:rFonts w:ascii="Arial" w:hAnsi="Arial" w:cs="Arial"/>
          <w:i/>
          <w:sz w:val="20"/>
        </w:rPr>
        <w:t xml:space="preserve">SSAP No. 4—Assets and </w:t>
      </w:r>
      <w:proofErr w:type="spellStart"/>
      <w:r w:rsidRPr="00F70746">
        <w:rPr>
          <w:rFonts w:ascii="Arial" w:hAnsi="Arial" w:cs="Arial"/>
          <w:i/>
          <w:sz w:val="20"/>
        </w:rPr>
        <w:t>Nonadmitted</w:t>
      </w:r>
      <w:proofErr w:type="spellEnd"/>
      <w:r w:rsidRPr="00F70746">
        <w:rPr>
          <w:rFonts w:ascii="Arial" w:hAnsi="Arial" w:cs="Arial"/>
          <w:i/>
          <w:sz w:val="20"/>
        </w:rPr>
        <w:t xml:space="preserve"> Assets</w:t>
      </w:r>
      <w:r w:rsidRPr="00F70746">
        <w:rPr>
          <w:rFonts w:ascii="Arial" w:hAnsi="Arial" w:cs="Arial"/>
          <w:sz w:val="20"/>
        </w:rPr>
        <w:t xml:space="preserve"> and are admitted assets to the extent they conform to the requirements of this statement.</w:t>
      </w:r>
    </w:p>
    <w:p w14:paraId="12524033"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iCs/>
          <w:sz w:val="20"/>
        </w:rPr>
        <w:t>The scope of this statement encompasses all types of loan-backed and structured securities, including, but not limited to, the following:</w:t>
      </w:r>
    </w:p>
    <w:p w14:paraId="7875A03E"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acquired at origination,</w:t>
      </w:r>
    </w:p>
    <w:p w14:paraId="539161CF"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acquired subsequent to origination for which it is probable, at acquisition, that the reporting entity will be able to collect all contractually required payments receivable, and are accounted for at acquisition under SSAP No. 103R,</w:t>
      </w:r>
    </w:p>
    <w:p w14:paraId="0B6222A3"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for which it is probable, either known at acquisition or identified during the holding period</w:t>
      </w:r>
      <w:r w:rsidRPr="00F70746">
        <w:rPr>
          <w:rStyle w:val="FootnoteReference"/>
          <w:rFonts w:ascii="Arial" w:hAnsi="Arial" w:cs="Arial"/>
          <w:iCs/>
          <w:sz w:val="20"/>
        </w:rPr>
        <w:footnoteReference w:id="2"/>
      </w:r>
      <w:r w:rsidRPr="00F70746">
        <w:rPr>
          <w:rFonts w:ascii="Arial" w:hAnsi="Arial" w:cs="Arial"/>
          <w:iCs/>
          <w:sz w:val="20"/>
        </w:rPr>
        <w:t xml:space="preserve">, that the reporting entity will be unable to collect all contractually required payments receivable, and </w:t>
      </w:r>
    </w:p>
    <w:p w14:paraId="4ED771EC" w14:textId="1543B840" w:rsidR="00F70746" w:rsidRPr="00550D3F"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Transferor’s beneficial interests in securitization transactions that are accounted for as sales under SSAP No. 103R and purchased beneficial interests in securitized financial assets</w:t>
      </w:r>
      <w:r w:rsidRPr="00F70746">
        <w:rPr>
          <w:rStyle w:val="FootnoteReference"/>
          <w:rFonts w:ascii="Arial" w:hAnsi="Arial" w:cs="Arial"/>
          <w:iCs/>
          <w:sz w:val="20"/>
        </w:rPr>
        <w:footnoteReference w:id="3"/>
      </w:r>
      <w:r w:rsidRPr="00F70746">
        <w:rPr>
          <w:rFonts w:ascii="Arial" w:hAnsi="Arial" w:cs="Arial"/>
          <w:iCs/>
          <w:sz w:val="20"/>
        </w:rPr>
        <w:t>.</w:t>
      </w:r>
    </w:p>
    <w:p w14:paraId="3CEA4C98" w14:textId="6AEFB2FA" w:rsidR="00550D3F" w:rsidRDefault="00550D3F" w:rsidP="00550D3F">
      <w:pPr>
        <w:pStyle w:val="Heading3"/>
        <w:rPr>
          <w:sz w:val="22"/>
          <w:szCs w:val="22"/>
        </w:rPr>
      </w:pPr>
      <w:bookmarkStart w:id="1" w:name="_Toc311637924"/>
      <w:bookmarkStart w:id="2" w:name="_Toc9416740"/>
      <w:r w:rsidRPr="00550D3F">
        <w:rPr>
          <w:sz w:val="22"/>
          <w:szCs w:val="22"/>
        </w:rPr>
        <w:t>Reporting Guidance for All Loan-Backed and Structured Securities</w:t>
      </w:r>
      <w:bookmarkEnd w:id="1"/>
      <w:bookmarkEnd w:id="2"/>
    </w:p>
    <w:p w14:paraId="08B21D21" w14:textId="77777777" w:rsidR="00550D3F" w:rsidRPr="00550D3F" w:rsidRDefault="00550D3F" w:rsidP="00550D3F"/>
    <w:p w14:paraId="03892B01" w14:textId="5580F5F9" w:rsidR="00550D3F" w:rsidRPr="00550D3F" w:rsidRDefault="00550D3F" w:rsidP="00E82C59">
      <w:pPr>
        <w:pStyle w:val="ListContinue"/>
        <w:numPr>
          <w:ilvl w:val="0"/>
          <w:numId w:val="55"/>
        </w:numPr>
        <w:tabs>
          <w:tab w:val="clear" w:pos="1966"/>
          <w:tab w:val="left" w:pos="1800"/>
        </w:tabs>
        <w:ind w:left="900" w:firstLine="7"/>
        <w:rPr>
          <w:rFonts w:ascii="Arial" w:hAnsi="Arial" w:cs="Arial"/>
          <w:sz w:val="20"/>
        </w:rPr>
      </w:pPr>
      <w:r w:rsidRPr="00550D3F">
        <w:rPr>
          <w:rFonts w:ascii="Arial" w:hAnsi="Arial" w:cs="Arial"/>
          <w:sz w:val="20"/>
        </w:rPr>
        <w:t xml:space="preserve">Loan-backed and structured securities shall be valued and reported in accordance with this statement, the </w:t>
      </w:r>
      <w:r w:rsidRPr="00550D3F">
        <w:rPr>
          <w:rFonts w:ascii="Arial" w:hAnsi="Arial" w:cs="Arial"/>
          <w:i/>
          <w:sz w:val="20"/>
        </w:rPr>
        <w:t>Purposes and Procedures Manual of the NAIC Investment Analysis Office</w:t>
      </w:r>
      <w:r w:rsidRPr="00550D3F">
        <w:rPr>
          <w:rFonts w:ascii="Arial" w:hAnsi="Arial" w:cs="Arial"/>
          <w:sz w:val="20"/>
        </w:rPr>
        <w:t xml:space="preserve">, and the designation assigned in the </w:t>
      </w:r>
      <w:r w:rsidRPr="00550D3F">
        <w:rPr>
          <w:rFonts w:ascii="Arial" w:hAnsi="Arial" w:cs="Arial"/>
          <w:i/>
          <w:sz w:val="20"/>
        </w:rPr>
        <w:t>NAIC Valuations of Securities</w:t>
      </w:r>
      <w:r w:rsidRPr="00550D3F">
        <w:rPr>
          <w:rFonts w:ascii="Arial" w:hAnsi="Arial" w:cs="Arial"/>
          <w:sz w:val="20"/>
        </w:rPr>
        <w:t xml:space="preserve"> product prepared by the NAIC Securities Valuation Office or equivalent specified procedure. The carrying value method shall be determined as follows:</w:t>
      </w:r>
    </w:p>
    <w:p w14:paraId="4043794A" w14:textId="77777777" w:rsidR="00550D3F" w:rsidRPr="00550D3F" w:rsidRDefault="00550D3F" w:rsidP="00E82C59">
      <w:pPr>
        <w:autoSpaceDE w:val="0"/>
        <w:autoSpaceDN w:val="0"/>
        <w:adjustRightInd w:val="0"/>
        <w:spacing w:after="220"/>
        <w:ind w:left="2160" w:hanging="720"/>
        <w:jc w:val="both"/>
        <w:rPr>
          <w:rFonts w:ascii="Arial" w:hAnsi="Arial" w:cs="Arial"/>
          <w:sz w:val="20"/>
          <w:szCs w:val="20"/>
        </w:rPr>
      </w:pPr>
      <w:r w:rsidRPr="00550D3F">
        <w:rPr>
          <w:rFonts w:ascii="Arial" w:hAnsi="Arial" w:cs="Arial"/>
          <w:sz w:val="20"/>
          <w:szCs w:val="20"/>
        </w:rPr>
        <w:t>a.</w:t>
      </w:r>
      <w:r w:rsidRPr="00550D3F">
        <w:rPr>
          <w:rFonts w:ascii="Arial" w:hAnsi="Arial" w:cs="Arial"/>
          <w:sz w:val="20"/>
          <w:szCs w:val="20"/>
        </w:rPr>
        <w:tab/>
        <w:t xml:space="preserve">For reporting entities that maintain an Asset Valuation Reserve (AVR), loan-backed and structured securities shall be reported at amortized cost, except for those with an NAIC designation of 6, which shall be reported at the lower of amortized cost or fair value. </w:t>
      </w:r>
    </w:p>
    <w:p w14:paraId="7790E100" w14:textId="77777777" w:rsidR="00550D3F" w:rsidRPr="00550D3F" w:rsidRDefault="00550D3F" w:rsidP="00E82C59">
      <w:pPr>
        <w:autoSpaceDE w:val="0"/>
        <w:autoSpaceDN w:val="0"/>
        <w:adjustRightInd w:val="0"/>
        <w:spacing w:after="220"/>
        <w:ind w:left="2160" w:hanging="720"/>
        <w:jc w:val="both"/>
        <w:rPr>
          <w:rFonts w:ascii="Arial" w:hAnsi="Arial" w:cs="Arial"/>
          <w:sz w:val="20"/>
          <w:szCs w:val="20"/>
        </w:rPr>
      </w:pPr>
      <w:r w:rsidRPr="00550D3F">
        <w:rPr>
          <w:rFonts w:ascii="Arial" w:hAnsi="Arial" w:cs="Arial"/>
          <w:sz w:val="20"/>
          <w:szCs w:val="20"/>
        </w:rPr>
        <w:t>b.</w:t>
      </w:r>
      <w:r w:rsidRPr="00550D3F">
        <w:rPr>
          <w:rFonts w:ascii="Arial" w:hAnsi="Arial" w:cs="Arial"/>
          <w:sz w:val="20"/>
          <w:szCs w:val="20"/>
        </w:rPr>
        <w:tab/>
        <w:t>For reporting entities that do not maintain an AVR, loan-backed and structured securities designated highest-quality and high-quality (NAIC designations 1 and 2, respectively)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2B7FC49A" w14:textId="2DF493C9" w:rsidR="00AC1530" w:rsidRDefault="002A1316" w:rsidP="008B07D2">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B07D2">
        <w:rPr>
          <w:b w:val="0"/>
          <w:szCs w:val="22"/>
        </w:rPr>
        <w:t>None</w:t>
      </w:r>
    </w:p>
    <w:p w14:paraId="446F64E0" w14:textId="77777777" w:rsidR="00550D3F" w:rsidRDefault="00550D3F" w:rsidP="00B30CA0">
      <w:pPr>
        <w:pStyle w:val="BodyText"/>
        <w:rPr>
          <w:b/>
          <w:sz w:val="22"/>
          <w:szCs w:val="22"/>
        </w:rPr>
      </w:pPr>
    </w:p>
    <w:p w14:paraId="38E08ED2" w14:textId="10205BD3"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3C42606"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r w:rsidR="00F70746">
        <w:rPr>
          <w:b/>
          <w:sz w:val="22"/>
          <w:szCs w:val="22"/>
        </w:rPr>
        <w:t xml:space="preserve"> </w:t>
      </w:r>
      <w:r w:rsidR="00F70746" w:rsidRPr="00F70746">
        <w:rPr>
          <w:bCs/>
          <w:sz w:val="22"/>
          <w:szCs w:val="22"/>
        </w:rPr>
        <w:t>None</w:t>
      </w:r>
    </w:p>
    <w:p w14:paraId="3C6C4ECA" w14:textId="22177EE4" w:rsidR="00AC1530" w:rsidRDefault="00AC1530" w:rsidP="00490996">
      <w:pPr>
        <w:pStyle w:val="BodyText2"/>
        <w:rPr>
          <w:b w:val="0"/>
          <w:bCs w:val="0"/>
          <w:szCs w:val="22"/>
        </w:rPr>
      </w:pPr>
    </w:p>
    <w:p w14:paraId="3C16712C" w14:textId="2A4C11AE" w:rsidR="00137EDF" w:rsidRPr="00953B00" w:rsidRDefault="00E63CD7" w:rsidP="00137EDF">
      <w:pPr>
        <w:pStyle w:val="BodyText2"/>
        <w:widowControl w:val="0"/>
        <w:rPr>
          <w:b w:val="0"/>
          <w:bCs w:val="0"/>
          <w:iCs/>
          <w:szCs w:val="22"/>
        </w:rPr>
      </w:pPr>
      <w:r w:rsidRPr="00397332">
        <w:rPr>
          <w:szCs w:val="22"/>
          <w:u w:val="single"/>
        </w:rPr>
        <w:t>Staff Recommendation</w:t>
      </w:r>
      <w:r w:rsidRPr="00016321">
        <w:rPr>
          <w:szCs w:val="22"/>
        </w:rPr>
        <w:t>:</w:t>
      </w:r>
      <w:r>
        <w:rPr>
          <w:szCs w:val="22"/>
        </w:rPr>
        <w:t xml:space="preserve"> </w:t>
      </w:r>
      <w:r w:rsidR="00137EDF" w:rsidRPr="0057672E">
        <w:rPr>
          <w:szCs w:val="22"/>
        </w:rPr>
        <w:t xml:space="preserve">NAIC </w:t>
      </w:r>
      <w:r w:rsidR="00137EDF" w:rsidRPr="005459BE">
        <w:rPr>
          <w:szCs w:val="22"/>
        </w:rPr>
        <w:t>s</w:t>
      </w:r>
      <w:r w:rsidR="00137EDF" w:rsidRPr="00016321">
        <w:rPr>
          <w:szCs w:val="22"/>
        </w:rPr>
        <w:t xml:space="preserve">taff recommends that the Working Group move this item to the active listing, categorized as </w:t>
      </w:r>
      <w:r w:rsidR="00137EDF" w:rsidRPr="00EB2672">
        <w:rPr>
          <w:szCs w:val="22"/>
        </w:rPr>
        <w:t>nonsubstantive</w:t>
      </w:r>
      <w:r w:rsidR="00137EDF">
        <w:rPr>
          <w:szCs w:val="22"/>
        </w:rPr>
        <w:t>,</w:t>
      </w:r>
      <w:r w:rsidR="00137EDF" w:rsidRPr="00EB2672">
        <w:rPr>
          <w:szCs w:val="22"/>
        </w:rPr>
        <w:t xml:space="preserve"> and</w:t>
      </w:r>
      <w:r w:rsidR="00137EDF" w:rsidRPr="00016321">
        <w:rPr>
          <w:szCs w:val="22"/>
        </w:rPr>
        <w:t xml:space="preserve"> expose revisions </w:t>
      </w:r>
      <w:r w:rsidR="00137EDF">
        <w:rPr>
          <w:szCs w:val="22"/>
        </w:rPr>
        <w:t xml:space="preserve">to </w:t>
      </w:r>
      <w:r w:rsidR="00137EDF">
        <w:rPr>
          <w:i/>
          <w:szCs w:val="22"/>
        </w:rPr>
        <w:t>SSAP No. 43R—</w:t>
      </w:r>
      <w:r w:rsidR="003000A4">
        <w:rPr>
          <w:i/>
          <w:szCs w:val="22"/>
        </w:rPr>
        <w:t>Loan-Backed</w:t>
      </w:r>
      <w:r w:rsidR="00137EDF">
        <w:rPr>
          <w:i/>
          <w:szCs w:val="22"/>
        </w:rPr>
        <w:t xml:space="preserve"> and Structured </w:t>
      </w:r>
      <w:r w:rsidR="00137EDF" w:rsidRPr="002D748A">
        <w:rPr>
          <w:iCs/>
          <w:szCs w:val="22"/>
        </w:rPr>
        <w:lastRenderedPageBreak/>
        <w:t>Securities to clarify that CFOs</w:t>
      </w:r>
      <w:r w:rsidR="00137EDF">
        <w:rPr>
          <w:iCs/>
          <w:szCs w:val="22"/>
        </w:rPr>
        <w:t xml:space="preserve"> (or similarly structured instruments)</w:t>
      </w:r>
      <w:r w:rsidR="00137EDF" w:rsidRPr="002D748A">
        <w:rPr>
          <w:iCs/>
          <w:szCs w:val="22"/>
        </w:rPr>
        <w:t xml:space="preserve">, and other structures with underlying equity exposure, are excluded from the scope of SSAP No. 43R. </w:t>
      </w:r>
      <w:r w:rsidR="00137EDF">
        <w:rPr>
          <w:iCs/>
          <w:szCs w:val="22"/>
        </w:rPr>
        <w:t xml:space="preserve">Additionally, the revisions prevent existing assets from being repackaged as “securitizations” for reporting in scope of SSAP No. 43R.  </w:t>
      </w:r>
      <w:r w:rsidR="00137EDF" w:rsidRPr="00953B00">
        <w:rPr>
          <w:b w:val="0"/>
          <w:bCs w:val="0"/>
          <w:iCs/>
          <w:szCs w:val="22"/>
        </w:rPr>
        <w:t xml:space="preserve">Key elements noted in the revisions include: </w:t>
      </w:r>
    </w:p>
    <w:p w14:paraId="4400892A" w14:textId="77777777" w:rsidR="00137EDF" w:rsidRPr="00953B00" w:rsidRDefault="00137EDF" w:rsidP="00137EDF">
      <w:pPr>
        <w:pStyle w:val="BodyText2"/>
        <w:widowControl w:val="0"/>
        <w:rPr>
          <w:b w:val="0"/>
          <w:bCs w:val="0"/>
          <w:iCs/>
          <w:szCs w:val="22"/>
        </w:rPr>
      </w:pPr>
    </w:p>
    <w:p w14:paraId="639AE47A" w14:textId="77777777" w:rsidR="00137EDF" w:rsidRDefault="00137EDF" w:rsidP="00137EDF">
      <w:pPr>
        <w:pStyle w:val="BodyText2"/>
        <w:widowControl w:val="0"/>
        <w:numPr>
          <w:ilvl w:val="0"/>
          <w:numId w:val="56"/>
        </w:numPr>
        <w:rPr>
          <w:b w:val="0"/>
          <w:bCs w:val="0"/>
          <w:iCs/>
          <w:szCs w:val="22"/>
        </w:rPr>
      </w:pPr>
      <w:r w:rsidRPr="00953B00">
        <w:rPr>
          <w:b w:val="0"/>
          <w:bCs w:val="0"/>
          <w:iCs/>
          <w:szCs w:val="22"/>
        </w:rPr>
        <w:t>The intent for SSAP No. 43R securities to have “bond-like cash flows.”</w:t>
      </w:r>
    </w:p>
    <w:p w14:paraId="483BFC74" w14:textId="77777777" w:rsidR="00137EDF" w:rsidRPr="00953B00" w:rsidRDefault="00137EDF" w:rsidP="00137EDF">
      <w:pPr>
        <w:pStyle w:val="BodyText2"/>
        <w:widowControl w:val="0"/>
        <w:ind w:left="720"/>
        <w:rPr>
          <w:b w:val="0"/>
          <w:bCs w:val="0"/>
          <w:iCs/>
          <w:szCs w:val="22"/>
        </w:rPr>
      </w:pPr>
    </w:p>
    <w:p w14:paraId="4050C9B4" w14:textId="77777777" w:rsidR="00137EDF" w:rsidRDefault="00137EDF" w:rsidP="00137EDF">
      <w:pPr>
        <w:pStyle w:val="BodyText2"/>
        <w:widowControl w:val="0"/>
        <w:numPr>
          <w:ilvl w:val="0"/>
          <w:numId w:val="56"/>
        </w:numPr>
        <w:rPr>
          <w:b w:val="0"/>
          <w:bCs w:val="0"/>
          <w:iCs/>
          <w:szCs w:val="22"/>
        </w:rPr>
      </w:pPr>
      <w:r w:rsidRPr="00953B00">
        <w:rPr>
          <w:b w:val="0"/>
          <w:bCs w:val="0"/>
          <w:iCs/>
          <w:szCs w:val="22"/>
        </w:rPr>
        <w:t>Exclusion of equity instruments, investments with underlying assets that include equity instruments, or structures representing an equity interest (e.g., joint venture, LLCs, partnerships)</w:t>
      </w:r>
    </w:p>
    <w:p w14:paraId="7656D6E1" w14:textId="77777777" w:rsidR="00137EDF" w:rsidRPr="00953B00" w:rsidRDefault="00137EDF" w:rsidP="00137EDF">
      <w:pPr>
        <w:pStyle w:val="BodyText2"/>
        <w:widowControl w:val="0"/>
        <w:rPr>
          <w:b w:val="0"/>
          <w:bCs w:val="0"/>
          <w:iCs/>
          <w:szCs w:val="22"/>
        </w:rPr>
      </w:pPr>
    </w:p>
    <w:p w14:paraId="7C7E636E" w14:textId="77777777" w:rsidR="00137EDF" w:rsidRPr="00890946" w:rsidRDefault="00137EDF" w:rsidP="00137EDF">
      <w:pPr>
        <w:pStyle w:val="BodyText2"/>
        <w:widowControl w:val="0"/>
        <w:numPr>
          <w:ilvl w:val="0"/>
          <w:numId w:val="56"/>
        </w:numPr>
        <w:rPr>
          <w:b w:val="0"/>
          <w:bCs w:val="0"/>
          <w:iCs/>
          <w:szCs w:val="22"/>
        </w:rPr>
      </w:pPr>
      <w:r w:rsidRPr="00890946">
        <w:rPr>
          <w:b w:val="0"/>
          <w:bCs w:val="0"/>
          <w:iCs/>
          <w:szCs w:val="22"/>
        </w:rPr>
        <w:t>Exclusion of assets that were previously reported as standalone assets by the reporting entity</w:t>
      </w:r>
      <w:r>
        <w:rPr>
          <w:b w:val="0"/>
          <w:bCs w:val="0"/>
          <w:iCs/>
          <w:szCs w:val="22"/>
        </w:rPr>
        <w:t xml:space="preserve"> to change the investment schedule / reporting value / RBC charge</w:t>
      </w:r>
      <w:r w:rsidRPr="00890946">
        <w:rPr>
          <w:b w:val="0"/>
          <w:bCs w:val="0"/>
          <w:iCs/>
          <w:szCs w:val="22"/>
        </w:rPr>
        <w:t xml:space="preserve">. </w:t>
      </w:r>
    </w:p>
    <w:p w14:paraId="17B9702B" w14:textId="77777777" w:rsidR="00137EDF" w:rsidRDefault="00137EDF" w:rsidP="00137EDF">
      <w:pPr>
        <w:pStyle w:val="ListParagraph"/>
        <w:rPr>
          <w:b/>
          <w:bCs/>
          <w:iCs/>
          <w:szCs w:val="22"/>
        </w:rPr>
      </w:pPr>
    </w:p>
    <w:p w14:paraId="4010E92E" w14:textId="77777777" w:rsidR="00137EDF" w:rsidRPr="00953B00" w:rsidRDefault="00137EDF" w:rsidP="00137EDF">
      <w:pPr>
        <w:pStyle w:val="BodyText2"/>
        <w:widowControl w:val="0"/>
        <w:numPr>
          <w:ilvl w:val="0"/>
          <w:numId w:val="56"/>
        </w:numPr>
        <w:rPr>
          <w:b w:val="0"/>
          <w:bCs w:val="0"/>
          <w:iCs/>
          <w:szCs w:val="22"/>
        </w:rPr>
      </w:pPr>
      <w:r>
        <w:rPr>
          <w:b w:val="0"/>
          <w:bCs w:val="0"/>
          <w:iCs/>
          <w:szCs w:val="22"/>
        </w:rPr>
        <w:t xml:space="preserve">Clarification that the lease-backed securities and equipment trust certificates are in scope when eligible per the </w:t>
      </w:r>
      <w:r w:rsidRPr="00953B00">
        <w:rPr>
          <w:b w:val="0"/>
          <w:bCs w:val="0"/>
          <w:i/>
          <w:szCs w:val="22"/>
        </w:rPr>
        <w:t>P&amp;P Manual of the NAIC Investment Analysis Office.</w:t>
      </w:r>
      <w:r>
        <w:rPr>
          <w:b w:val="0"/>
          <w:bCs w:val="0"/>
          <w:iCs/>
          <w:szCs w:val="22"/>
        </w:rPr>
        <w:t xml:space="preserve"> </w:t>
      </w:r>
    </w:p>
    <w:p w14:paraId="63CE4F18" w14:textId="77777777" w:rsidR="00137EDF" w:rsidRDefault="00137EDF" w:rsidP="00137EDF">
      <w:pPr>
        <w:jc w:val="both"/>
        <w:rPr>
          <w:i/>
          <w:sz w:val="22"/>
          <w:szCs w:val="22"/>
        </w:rPr>
      </w:pPr>
    </w:p>
    <w:p w14:paraId="1653B47A" w14:textId="1D5F74A6" w:rsidR="002D748A" w:rsidRPr="002D748A" w:rsidRDefault="002D748A" w:rsidP="00E63CD7">
      <w:pPr>
        <w:pStyle w:val="BodyText2"/>
        <w:rPr>
          <w:iCs/>
          <w:szCs w:val="22"/>
          <w:u w:val="single"/>
        </w:rPr>
      </w:pPr>
      <w:r w:rsidRPr="002D748A">
        <w:rPr>
          <w:iCs/>
          <w:szCs w:val="22"/>
          <w:u w:val="single"/>
        </w:rPr>
        <w:t>Proposed Revisions to SSAP No. 43R—</w:t>
      </w:r>
      <w:r w:rsidR="003000A4">
        <w:rPr>
          <w:iCs/>
          <w:szCs w:val="22"/>
          <w:u w:val="single"/>
        </w:rPr>
        <w:t>Loan-Backed</w:t>
      </w:r>
      <w:r w:rsidRPr="002D748A">
        <w:rPr>
          <w:iCs/>
          <w:szCs w:val="22"/>
          <w:u w:val="single"/>
        </w:rPr>
        <w:t xml:space="preserve"> and Struct</w:t>
      </w:r>
      <w:r w:rsidR="003000A4">
        <w:rPr>
          <w:iCs/>
          <w:szCs w:val="22"/>
          <w:u w:val="single"/>
        </w:rPr>
        <w:t>ur</w:t>
      </w:r>
      <w:r w:rsidRPr="002D748A">
        <w:rPr>
          <w:iCs/>
          <w:szCs w:val="22"/>
          <w:u w:val="single"/>
        </w:rPr>
        <w:t xml:space="preserve">ed Securities: </w:t>
      </w:r>
    </w:p>
    <w:p w14:paraId="59BA85A3" w14:textId="63A5A025" w:rsidR="00067DC4" w:rsidRDefault="00067DC4" w:rsidP="00E63CD7">
      <w:pPr>
        <w:pStyle w:val="BodyText2"/>
        <w:rPr>
          <w:szCs w:val="22"/>
        </w:rPr>
      </w:pPr>
    </w:p>
    <w:p w14:paraId="61264B5D" w14:textId="18D8B0D4" w:rsidR="002D748A" w:rsidRDefault="002D748A" w:rsidP="002D748A">
      <w:pPr>
        <w:pStyle w:val="Heading2"/>
        <w:ind w:left="720"/>
        <w:rPr>
          <w:rFonts w:ascii="Arial" w:hAnsi="Arial" w:cs="Arial"/>
          <w:sz w:val="20"/>
        </w:rPr>
      </w:pPr>
      <w:bookmarkStart w:id="3" w:name="_Toc311637919"/>
      <w:bookmarkStart w:id="4" w:name="_Toc9416735"/>
      <w:r w:rsidRPr="002D748A">
        <w:rPr>
          <w:rFonts w:ascii="Arial" w:hAnsi="Arial" w:cs="Arial"/>
          <w:sz w:val="20"/>
        </w:rPr>
        <w:t>SCOPE OF STATEMENT</w:t>
      </w:r>
      <w:bookmarkEnd w:id="3"/>
      <w:bookmarkEnd w:id="4"/>
    </w:p>
    <w:p w14:paraId="4C0475FA" w14:textId="77777777" w:rsidR="005E3595" w:rsidRPr="005E3595" w:rsidRDefault="005E3595" w:rsidP="005E3595"/>
    <w:p w14:paraId="1526112B" w14:textId="48A9142A" w:rsidR="002D748A" w:rsidRPr="00137EDF" w:rsidRDefault="002D748A" w:rsidP="005E3595">
      <w:pPr>
        <w:pStyle w:val="ListContinue"/>
        <w:numPr>
          <w:ilvl w:val="0"/>
          <w:numId w:val="54"/>
        </w:numPr>
        <w:tabs>
          <w:tab w:val="clear" w:pos="900"/>
          <w:tab w:val="num" w:pos="720"/>
        </w:tabs>
        <w:ind w:left="720" w:firstLine="0"/>
        <w:rPr>
          <w:ins w:id="5" w:author="Gann, Julie" w:date="2019-06-25T09:01:00Z"/>
          <w:rFonts w:ascii="Arial" w:hAnsi="Arial" w:cs="Arial"/>
          <w:sz w:val="20"/>
        </w:rPr>
      </w:pPr>
      <w:r w:rsidRPr="002D748A">
        <w:rPr>
          <w:rFonts w:ascii="Arial" w:hAnsi="Arial" w:cs="Arial"/>
          <w:sz w:val="20"/>
        </w:rPr>
        <w:t xml:space="preserve">This statement establishes statutory accounting principles for investments in loan-backed </w:t>
      </w:r>
      <w:r w:rsidRPr="00137EDF">
        <w:rPr>
          <w:rFonts w:ascii="Arial" w:hAnsi="Arial" w:cs="Arial"/>
          <w:sz w:val="20"/>
        </w:rPr>
        <w:t xml:space="preserve">securities, structured </w:t>
      </w:r>
      <w:proofErr w:type="gramStart"/>
      <w:r w:rsidRPr="00137EDF">
        <w:rPr>
          <w:rFonts w:ascii="Arial" w:hAnsi="Arial" w:cs="Arial"/>
          <w:sz w:val="20"/>
        </w:rPr>
        <w:t>securities</w:t>
      </w:r>
      <w:proofErr w:type="gramEnd"/>
      <w:r w:rsidRPr="00137EDF">
        <w:rPr>
          <w:rFonts w:ascii="Arial" w:hAnsi="Arial" w:cs="Arial"/>
          <w:sz w:val="20"/>
        </w:rPr>
        <w:t xml:space="preserve"> and mortgage-referenced securities. </w:t>
      </w:r>
      <w:ins w:id="6" w:author="Gann, Julie [2]" w:date="2019-07-08T13:08:00Z">
        <w:r w:rsidR="001134AA" w:rsidRPr="00137EDF">
          <w:rPr>
            <w:rFonts w:ascii="Arial" w:hAnsi="Arial" w:cs="Arial"/>
            <w:sz w:val="20"/>
          </w:rPr>
          <w:t xml:space="preserve">The intent of SSAP No. 43R is to capture investments that have bond-like cash flows. </w:t>
        </w:r>
      </w:ins>
      <w:r w:rsidRPr="00137EDF">
        <w:rPr>
          <w:rFonts w:ascii="Arial" w:hAnsi="Arial" w:cs="Arial"/>
          <w:sz w:val="20"/>
        </w:rPr>
        <w:t xml:space="preserve">In accordance with </w:t>
      </w:r>
      <w:r w:rsidRPr="00137EDF">
        <w:rPr>
          <w:rFonts w:ascii="Arial" w:hAnsi="Arial" w:cs="Arial"/>
          <w:i/>
          <w:sz w:val="20"/>
        </w:rPr>
        <w:t>SSAP No. 103R</w:t>
      </w:r>
      <w:r w:rsidRPr="00137EDF">
        <w:rPr>
          <w:rFonts w:ascii="Arial" w:hAnsi="Arial" w:cs="Arial"/>
          <w:i/>
          <w:iCs/>
          <w:sz w:val="20"/>
        </w:rPr>
        <w:t>—Transfers and Servicing of Financial Assets and Extinguishments of Liabilities</w:t>
      </w:r>
      <w:r w:rsidRPr="00137EDF">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41394824" w14:textId="1EE50501" w:rsidR="00CF65B7" w:rsidRDefault="00CF65B7" w:rsidP="00CF65B7">
      <w:pPr>
        <w:pStyle w:val="ListContinue"/>
        <w:numPr>
          <w:ilvl w:val="0"/>
          <w:numId w:val="54"/>
        </w:numPr>
        <w:ind w:left="720" w:firstLine="0"/>
        <w:rPr>
          <w:ins w:id="7" w:author="Gann, Julie" w:date="2019-06-25T09:01:00Z"/>
          <w:rFonts w:ascii="Arial" w:hAnsi="Arial" w:cs="Arial"/>
          <w:sz w:val="20"/>
        </w:rPr>
      </w:pPr>
      <w:ins w:id="8" w:author="Gann, Julie" w:date="2019-06-25T09:01:00Z">
        <w:r w:rsidRPr="00137EDF">
          <w:rPr>
            <w:rFonts w:ascii="Arial" w:hAnsi="Arial" w:cs="Arial"/>
            <w:sz w:val="20"/>
          </w:rPr>
          <w:tab/>
        </w:r>
      </w:ins>
      <w:ins w:id="9" w:author="Gann, Julie [2]" w:date="2019-07-08T13:08:00Z">
        <w:r w:rsidR="001134AA" w:rsidRPr="00137EDF">
          <w:rPr>
            <w:rFonts w:ascii="Arial" w:hAnsi="Arial" w:cs="Arial"/>
            <w:sz w:val="20"/>
          </w:rPr>
          <w:t>Pursuant to the intent of to capture investments with bond-like</w:t>
        </w:r>
      </w:ins>
      <w:ins w:id="10" w:author="Gann, Julie [2]" w:date="2019-07-08T13:09:00Z">
        <w:r w:rsidR="001134AA" w:rsidRPr="00137EDF">
          <w:rPr>
            <w:rFonts w:ascii="Arial" w:hAnsi="Arial" w:cs="Arial"/>
            <w:sz w:val="20"/>
          </w:rPr>
          <w:t xml:space="preserve"> cash flows, t</w:t>
        </w:r>
      </w:ins>
      <w:ins w:id="11" w:author="Gann, Julie" w:date="2019-06-25T09:01:00Z">
        <w:r w:rsidRPr="00137EDF">
          <w:rPr>
            <w:rFonts w:ascii="Arial" w:hAnsi="Arial" w:cs="Arial"/>
            <w:sz w:val="20"/>
          </w:rPr>
          <w:t>he scope of SSAP No. 43R does not include equity instruments</w:t>
        </w:r>
      </w:ins>
      <w:ins w:id="12" w:author="Gann, Julie [2]" w:date="2019-07-08T13:02:00Z">
        <w:r w:rsidR="001134AA" w:rsidRPr="00137EDF">
          <w:rPr>
            <w:rFonts w:ascii="Arial" w:hAnsi="Arial" w:cs="Arial"/>
            <w:sz w:val="20"/>
          </w:rPr>
          <w:t xml:space="preserve">, investments with underlying assets that include equity instruments </w:t>
        </w:r>
      </w:ins>
      <w:ins w:id="13" w:author="Gann, Julie" w:date="2019-06-25T09:01:00Z">
        <w:r w:rsidRPr="00137EDF">
          <w:rPr>
            <w:rFonts w:ascii="Arial" w:hAnsi="Arial" w:cs="Arial"/>
            <w:sz w:val="20"/>
          </w:rPr>
          <w:t>or any structures representing an equity interest (e.g., joint ventures, limited liability</w:t>
        </w:r>
      </w:ins>
      <w:ins w:id="14" w:author="Gann, Julie [2]" w:date="2019-07-08T13:13:00Z">
        <w:r w:rsidR="009340C7" w:rsidRPr="00137EDF">
          <w:rPr>
            <w:rFonts w:ascii="Arial" w:hAnsi="Arial" w:cs="Arial"/>
            <w:sz w:val="20"/>
          </w:rPr>
          <w:t xml:space="preserve"> companies, </w:t>
        </w:r>
      </w:ins>
      <w:ins w:id="15" w:author="Gann, Julie" w:date="2019-06-25T09:01:00Z">
        <w:r w:rsidRPr="00137EDF">
          <w:rPr>
            <w:rFonts w:ascii="Arial" w:hAnsi="Arial" w:cs="Arial"/>
            <w:sz w:val="20"/>
          </w:rPr>
          <w:t xml:space="preserve"> partnerships) in which the cash flow payment</w:t>
        </w:r>
      </w:ins>
      <w:ins w:id="16" w:author="Gann, Julie" w:date="2019-06-25T09:08:00Z">
        <w:r w:rsidR="00A3157F" w:rsidRPr="00137EDF">
          <w:rPr>
            <w:rFonts w:ascii="Arial" w:hAnsi="Arial" w:cs="Arial"/>
            <w:sz w:val="20"/>
          </w:rPr>
          <w:t>s</w:t>
        </w:r>
      </w:ins>
      <w:ins w:id="17" w:author="Gann, Julie" w:date="2019-06-25T09:01:00Z">
        <w:r w:rsidRPr="00137EDF">
          <w:rPr>
            <w:rFonts w:ascii="Arial" w:hAnsi="Arial" w:cs="Arial"/>
            <w:sz w:val="20"/>
          </w:rPr>
          <w:t xml:space="preserve"> (return of principle or interest) </w:t>
        </w:r>
      </w:ins>
      <w:ins w:id="18" w:author="Pinegar, Jim" w:date="2019-06-25T15:49:00Z">
        <w:r w:rsidR="00806F49" w:rsidRPr="00137EDF">
          <w:rPr>
            <w:rFonts w:ascii="Arial" w:hAnsi="Arial" w:cs="Arial"/>
            <w:sz w:val="20"/>
          </w:rPr>
          <w:t>are partially or fully</w:t>
        </w:r>
      </w:ins>
      <w:ins w:id="19" w:author="Gann, Julie" w:date="2019-06-25T09:01:00Z">
        <w:r w:rsidRPr="00137EDF">
          <w:rPr>
            <w:rFonts w:ascii="Arial" w:hAnsi="Arial" w:cs="Arial"/>
            <w:sz w:val="20"/>
          </w:rPr>
          <w:t xml:space="preserve"> contingent on the equity performance of an underlying </w:t>
        </w:r>
        <w:proofErr w:type="spellStart"/>
        <w:r w:rsidRPr="00137EDF">
          <w:rPr>
            <w:rFonts w:ascii="Arial" w:hAnsi="Arial" w:cs="Arial"/>
            <w:sz w:val="20"/>
          </w:rPr>
          <w:t>asset</w:t>
        </w:r>
        <w:r w:rsidRPr="00137EDF">
          <w:rPr>
            <w:rFonts w:ascii="Arial" w:hAnsi="Arial" w:cs="Arial"/>
            <w:sz w:val="20"/>
            <w:vertAlign w:val="superscript"/>
          </w:rPr>
          <w:t>FN</w:t>
        </w:r>
        <w:proofErr w:type="spellEnd"/>
        <w:r w:rsidRPr="00137EDF">
          <w:rPr>
            <w:rFonts w:ascii="Arial" w:hAnsi="Arial" w:cs="Arial"/>
            <w:sz w:val="20"/>
          </w:rPr>
          <w:t>. For example, Collateralized Fund</w:t>
        </w:r>
        <w:r w:rsidRPr="00207E37">
          <w:rPr>
            <w:rFonts w:ascii="Arial" w:hAnsi="Arial" w:cs="Arial"/>
            <w:sz w:val="20"/>
          </w:rPr>
          <w:t xml:space="preserve"> Obligations (CFO) are not captured in scope of SSAP No. 43R. In these structures, investors gain exposure to a collection of funds (or equity interests) </w:t>
        </w:r>
        <w:r>
          <w:rPr>
            <w:rFonts w:ascii="Arial" w:hAnsi="Arial" w:cs="Arial"/>
            <w:sz w:val="20"/>
          </w:rPr>
          <w:t>with</w:t>
        </w:r>
      </w:ins>
      <w:ins w:id="20" w:author="Gann, Julie" w:date="2019-06-25T09:03:00Z">
        <w:r w:rsidR="00A3157F">
          <w:rPr>
            <w:rFonts w:ascii="Arial" w:hAnsi="Arial" w:cs="Arial"/>
            <w:sz w:val="20"/>
          </w:rPr>
          <w:t xml:space="preserve"> </w:t>
        </w:r>
      </w:ins>
      <w:ins w:id="21" w:author="Gann, Julie" w:date="2019-06-25T09:02:00Z">
        <w:r>
          <w:rPr>
            <w:rFonts w:ascii="Arial" w:hAnsi="Arial" w:cs="Arial"/>
            <w:sz w:val="20"/>
          </w:rPr>
          <w:t>the</w:t>
        </w:r>
      </w:ins>
      <w:ins w:id="22" w:author="Gann, Julie" w:date="2019-06-25T09:36:00Z">
        <w:r w:rsidR="008E49AF">
          <w:rPr>
            <w:rFonts w:ascii="Arial" w:hAnsi="Arial" w:cs="Arial"/>
            <w:sz w:val="20"/>
          </w:rPr>
          <w:t xml:space="preserve"> </w:t>
        </w:r>
      </w:ins>
      <w:ins w:id="23" w:author="Gann, Julie" w:date="2019-06-25T09:04:00Z">
        <w:r w:rsidR="00A3157F">
          <w:rPr>
            <w:rFonts w:ascii="Arial" w:hAnsi="Arial" w:cs="Arial"/>
            <w:sz w:val="20"/>
          </w:rPr>
          <w:t>established</w:t>
        </w:r>
      </w:ins>
      <w:ins w:id="24" w:author="Gann, Julie" w:date="2019-06-25T09:02:00Z">
        <w:r>
          <w:rPr>
            <w:rFonts w:ascii="Arial" w:hAnsi="Arial" w:cs="Arial"/>
            <w:sz w:val="20"/>
          </w:rPr>
          <w:t xml:space="preserve"> </w:t>
        </w:r>
      </w:ins>
      <w:ins w:id="25" w:author="Gann, Julie" w:date="2019-06-25T09:01:00Z">
        <w:r>
          <w:rPr>
            <w:rFonts w:ascii="Arial" w:hAnsi="Arial" w:cs="Arial"/>
            <w:sz w:val="20"/>
          </w:rPr>
          <w:t xml:space="preserve">interest and principle payments </w:t>
        </w:r>
      </w:ins>
      <w:ins w:id="26" w:author="Gann, Julie" w:date="2019-06-25T09:04:00Z">
        <w:r w:rsidR="00A3157F">
          <w:rPr>
            <w:rFonts w:ascii="Arial" w:hAnsi="Arial" w:cs="Arial"/>
            <w:sz w:val="20"/>
          </w:rPr>
          <w:t>based</w:t>
        </w:r>
      </w:ins>
      <w:ins w:id="27" w:author="Gann, Julie" w:date="2019-06-25T09:01:00Z">
        <w:r>
          <w:rPr>
            <w:rFonts w:ascii="Arial" w:hAnsi="Arial" w:cs="Arial"/>
            <w:sz w:val="20"/>
          </w:rPr>
          <w:t xml:space="preserve"> on the </w:t>
        </w:r>
      </w:ins>
      <w:ins w:id="28" w:author="Gann, Julie" w:date="2019-06-25T09:03:00Z">
        <w:r w:rsidR="00A3157F">
          <w:rPr>
            <w:rFonts w:ascii="Arial" w:hAnsi="Arial" w:cs="Arial"/>
            <w:sz w:val="20"/>
          </w:rPr>
          <w:t xml:space="preserve">issuer’s </w:t>
        </w:r>
      </w:ins>
      <w:ins w:id="29" w:author="Gann, Julie" w:date="2019-06-25T09:02:00Z">
        <w:r>
          <w:rPr>
            <w:rFonts w:ascii="Arial" w:hAnsi="Arial" w:cs="Arial"/>
            <w:sz w:val="20"/>
          </w:rPr>
          <w:t xml:space="preserve">expected </w:t>
        </w:r>
      </w:ins>
      <w:ins w:id="30" w:author="Gann, Julie" w:date="2019-06-25T09:01:00Z">
        <w:r>
          <w:rPr>
            <w:rFonts w:ascii="Arial" w:hAnsi="Arial" w:cs="Arial"/>
            <w:sz w:val="20"/>
          </w:rPr>
          <w:t xml:space="preserve">performance of the underlying funds. </w:t>
        </w:r>
        <w:r w:rsidRPr="00207E37">
          <w:rPr>
            <w:rFonts w:ascii="Arial" w:hAnsi="Arial" w:cs="Arial"/>
            <w:sz w:val="20"/>
          </w:rPr>
          <w:t>These are equity investments and shall not be captured as debt instruments in scope of SSAP No. 43R.</w:t>
        </w:r>
        <w:r>
          <w:rPr>
            <w:rFonts w:ascii="Arial" w:hAnsi="Arial" w:cs="Arial"/>
            <w:sz w:val="20"/>
          </w:rPr>
          <w:t xml:space="preserve"> </w:t>
        </w:r>
      </w:ins>
    </w:p>
    <w:p w14:paraId="385A77FC" w14:textId="13F62E79" w:rsidR="00550D3F" w:rsidRPr="00A95C0C" w:rsidRDefault="00CF65B7" w:rsidP="00A95C0C">
      <w:pPr>
        <w:pStyle w:val="ListContinue"/>
        <w:ind w:left="1440" w:hanging="720"/>
        <w:rPr>
          <w:ins w:id="31" w:author="Gann, Julie" w:date="2019-06-11T14:53:00Z"/>
          <w:rFonts w:ascii="Arial" w:hAnsi="Arial" w:cs="Arial"/>
          <w:sz w:val="20"/>
        </w:rPr>
      </w:pPr>
      <w:ins w:id="32" w:author="Gann, Julie" w:date="2019-06-25T09:01:00Z">
        <w:r>
          <w:rPr>
            <w:rFonts w:ascii="Arial" w:hAnsi="Arial" w:cs="Arial"/>
            <w:sz w:val="20"/>
          </w:rPr>
          <w:t xml:space="preserve">New Footnote: As examples, the assumed performance of a fund, a fund of funds, joint venture or limited liability partnership cannot be the basis for a securitization with a resulting investment that indicates </w:t>
        </w:r>
      </w:ins>
      <w:ins w:id="33" w:author="Gann, Julie" w:date="2019-06-25T09:28:00Z">
        <w:r w:rsidR="008E49AF">
          <w:rPr>
            <w:rFonts w:ascii="Arial" w:hAnsi="Arial" w:cs="Arial"/>
            <w:sz w:val="20"/>
          </w:rPr>
          <w:t xml:space="preserve">a contractual </w:t>
        </w:r>
      </w:ins>
      <w:ins w:id="34" w:author="Gann, Julie" w:date="2019-06-25T09:01:00Z">
        <w:r>
          <w:rPr>
            <w:rFonts w:ascii="Arial" w:hAnsi="Arial" w:cs="Arial"/>
            <w:sz w:val="20"/>
          </w:rPr>
          <w:t>interest and/or principle</w:t>
        </w:r>
      </w:ins>
      <w:ins w:id="35" w:author="Gann, Julie" w:date="2019-06-25T09:28:00Z">
        <w:r w:rsidR="008E49AF">
          <w:rPr>
            <w:rFonts w:ascii="Arial" w:hAnsi="Arial" w:cs="Arial"/>
            <w:sz w:val="20"/>
          </w:rPr>
          <w:t xml:space="preserve"> repayment</w:t>
        </w:r>
      </w:ins>
      <w:ins w:id="36" w:author="Gann, Julie" w:date="2019-06-25T09:01:00Z">
        <w:r>
          <w:rPr>
            <w:rFonts w:ascii="Arial" w:hAnsi="Arial" w:cs="Arial"/>
            <w:sz w:val="20"/>
          </w:rPr>
          <w:t>.</w:t>
        </w:r>
      </w:ins>
    </w:p>
    <w:p w14:paraId="360C9878" w14:textId="7694E28C" w:rsidR="00080F14" w:rsidRDefault="00550D3F" w:rsidP="005E3595">
      <w:pPr>
        <w:pStyle w:val="ListContinue"/>
        <w:numPr>
          <w:ilvl w:val="0"/>
          <w:numId w:val="54"/>
        </w:numPr>
        <w:ind w:left="720" w:firstLine="0"/>
        <w:rPr>
          <w:rFonts w:ascii="Arial" w:hAnsi="Arial" w:cs="Arial"/>
          <w:sz w:val="20"/>
        </w:rPr>
      </w:pPr>
      <w:ins w:id="37" w:author="Gann, Julie" w:date="2019-06-25T09:59:00Z">
        <w:r>
          <w:rPr>
            <w:rFonts w:ascii="Arial" w:hAnsi="Arial" w:cs="Arial"/>
            <w:sz w:val="20"/>
          </w:rPr>
          <w:t xml:space="preserve">The scope </w:t>
        </w:r>
      </w:ins>
      <w:ins w:id="38" w:author="Gann, Julie" w:date="2019-06-25T09:01:00Z">
        <w:r w:rsidRPr="00207E37">
          <w:rPr>
            <w:rFonts w:ascii="Arial" w:hAnsi="Arial" w:cs="Arial"/>
            <w:sz w:val="20"/>
          </w:rPr>
          <w:t xml:space="preserve">of SSAP No. 43R </w:t>
        </w:r>
      </w:ins>
      <w:ins w:id="39" w:author="Gann, Julie" w:date="2019-06-25T09:08:00Z">
        <w:r>
          <w:rPr>
            <w:rFonts w:ascii="Arial" w:hAnsi="Arial" w:cs="Arial"/>
            <w:sz w:val="20"/>
          </w:rPr>
          <w:t>shall not include any securitization of assets that</w:t>
        </w:r>
      </w:ins>
      <w:ins w:id="40" w:author="Gann, Julie" w:date="2019-06-25T09:09:00Z">
        <w:r>
          <w:rPr>
            <w:rFonts w:ascii="Arial" w:hAnsi="Arial" w:cs="Arial"/>
            <w:sz w:val="20"/>
          </w:rPr>
          <w:t xml:space="preserve"> were previously reported as </w:t>
        </w:r>
      </w:ins>
      <w:ins w:id="41" w:author="Gann, Julie" w:date="2019-06-25T10:05:00Z">
        <w:r>
          <w:rPr>
            <w:rFonts w:ascii="Arial" w:hAnsi="Arial" w:cs="Arial"/>
            <w:sz w:val="20"/>
          </w:rPr>
          <w:t xml:space="preserve">standalone </w:t>
        </w:r>
      </w:ins>
      <w:ins w:id="42" w:author="Gann, Julie" w:date="2019-06-25T09:09:00Z">
        <w:r>
          <w:rPr>
            <w:rFonts w:ascii="Arial" w:hAnsi="Arial" w:cs="Arial"/>
            <w:sz w:val="20"/>
          </w:rPr>
          <w:t xml:space="preserve">assets by the insurance reporting entity. </w:t>
        </w:r>
      </w:ins>
      <w:ins w:id="43" w:author="Gann, Julie" w:date="2019-06-25T10:05:00Z">
        <w:r>
          <w:rPr>
            <w:rFonts w:ascii="Arial" w:hAnsi="Arial" w:cs="Arial"/>
            <w:sz w:val="20"/>
          </w:rPr>
          <w:t>In other words</w:t>
        </w:r>
      </w:ins>
      <w:ins w:id="44" w:author="Gann, Julie" w:date="2019-06-25T09:09:00Z">
        <w:r>
          <w:rPr>
            <w:rFonts w:ascii="Arial" w:hAnsi="Arial" w:cs="Arial"/>
            <w:sz w:val="20"/>
          </w:rPr>
          <w:t xml:space="preserve">, an insurance reporting entity is not permitted to repackage </w:t>
        </w:r>
      </w:ins>
      <w:ins w:id="45" w:author="Gann, Julie" w:date="2019-06-25T09:28:00Z">
        <w:r>
          <w:rPr>
            <w:rFonts w:ascii="Arial" w:hAnsi="Arial" w:cs="Arial"/>
            <w:sz w:val="20"/>
          </w:rPr>
          <w:t xml:space="preserve">existing assets </w:t>
        </w:r>
      </w:ins>
      <w:ins w:id="46" w:author="Gann, Julie" w:date="2019-06-25T09:29:00Z">
        <w:r>
          <w:rPr>
            <w:rFonts w:ascii="Arial" w:hAnsi="Arial" w:cs="Arial"/>
            <w:sz w:val="20"/>
          </w:rPr>
          <w:t xml:space="preserve">as “securitizations” to move the reporting of the existing assets within scope of SSAP No. 43R. For example, investments in </w:t>
        </w:r>
      </w:ins>
      <w:ins w:id="47" w:author="Gann, Julie" w:date="2019-06-25T09:30:00Z">
        <w:r>
          <w:rPr>
            <w:rFonts w:ascii="Arial" w:hAnsi="Arial" w:cs="Arial"/>
            <w:sz w:val="20"/>
          </w:rPr>
          <w:t>joint ventures held by a reporting entity and report</w:t>
        </w:r>
      </w:ins>
      <w:ins w:id="48" w:author="Gann, Julie" w:date="2019-06-25T09:31:00Z">
        <w:r>
          <w:rPr>
            <w:rFonts w:ascii="Arial" w:hAnsi="Arial" w:cs="Arial"/>
            <w:sz w:val="20"/>
          </w:rPr>
          <w:t>ed</w:t>
        </w:r>
      </w:ins>
      <w:ins w:id="49" w:author="Gann, Julie" w:date="2019-06-25T09:30:00Z">
        <w:r>
          <w:rPr>
            <w:rFonts w:ascii="Arial" w:hAnsi="Arial" w:cs="Arial"/>
            <w:sz w:val="20"/>
          </w:rPr>
          <w:t xml:space="preserve"> on Schedule BA shall not be repackaged as a securitization (with the joint ventures </w:t>
        </w:r>
      </w:ins>
      <w:ins w:id="50" w:author="Gann, Julie" w:date="2019-06-25T09:31:00Z">
        <w:r>
          <w:rPr>
            <w:rFonts w:ascii="Arial" w:hAnsi="Arial" w:cs="Arial"/>
            <w:sz w:val="20"/>
          </w:rPr>
          <w:t xml:space="preserve">as the underlying assets) </w:t>
        </w:r>
      </w:ins>
      <w:ins w:id="51" w:author="Gann, Julie" w:date="2019-06-25T09:32:00Z">
        <w:r>
          <w:rPr>
            <w:rFonts w:ascii="Arial" w:hAnsi="Arial" w:cs="Arial"/>
            <w:sz w:val="20"/>
          </w:rPr>
          <w:t>for reporting on Schedule D</w:t>
        </w:r>
      </w:ins>
      <w:ins w:id="52" w:author="Gann, Julie" w:date="2019-06-25T09:33:00Z">
        <w:r>
          <w:rPr>
            <w:rFonts w:ascii="Arial" w:hAnsi="Arial" w:cs="Arial"/>
            <w:sz w:val="20"/>
          </w:rPr>
          <w:t xml:space="preserve">-1: Long-Term Bonds. </w:t>
        </w:r>
      </w:ins>
      <w:ins w:id="53" w:author="Gann, Julie" w:date="2019-06-25T09:34:00Z">
        <w:r>
          <w:rPr>
            <w:rFonts w:ascii="Arial" w:hAnsi="Arial" w:cs="Arial"/>
            <w:sz w:val="20"/>
          </w:rPr>
          <w:t xml:space="preserve">This guidance is applicable regardless </w:t>
        </w:r>
      </w:ins>
      <w:ins w:id="54" w:author="Gann, Julie" w:date="2019-06-25T09:37:00Z">
        <w:r>
          <w:rPr>
            <w:rFonts w:ascii="Arial" w:hAnsi="Arial" w:cs="Arial"/>
            <w:sz w:val="20"/>
          </w:rPr>
          <w:t xml:space="preserve">if the reporting entity retains less than 100% </w:t>
        </w:r>
      </w:ins>
      <w:ins w:id="55" w:author="Gann, Julie" w:date="2019-06-25T09:34:00Z">
        <w:r>
          <w:rPr>
            <w:rFonts w:ascii="Arial" w:hAnsi="Arial" w:cs="Arial"/>
            <w:sz w:val="20"/>
          </w:rPr>
          <w:t xml:space="preserve">of the securitized assets. </w:t>
        </w:r>
      </w:ins>
      <w:ins w:id="56" w:author="Gann, Julie" w:date="2019-06-25T09:35:00Z">
        <w:r>
          <w:rPr>
            <w:rFonts w:ascii="Arial" w:hAnsi="Arial" w:cs="Arial"/>
            <w:sz w:val="20"/>
          </w:rPr>
          <w:t>In these situations, the reporting entity shall continue to report the underlying assets (with any reduction of ownership) as if they had not been repackaged into a securitization.</w:t>
        </w:r>
      </w:ins>
    </w:p>
    <w:p w14:paraId="534D0D03" w14:textId="12E969F5" w:rsidR="00550D3F" w:rsidRDefault="00550D3F" w:rsidP="00550D3F">
      <w:pPr>
        <w:pStyle w:val="Heading2"/>
        <w:ind w:left="720"/>
        <w:rPr>
          <w:rFonts w:ascii="Arial" w:hAnsi="Arial" w:cs="Arial"/>
          <w:sz w:val="20"/>
        </w:rPr>
      </w:pPr>
      <w:bookmarkStart w:id="57" w:name="_Toc311637920"/>
      <w:bookmarkStart w:id="58" w:name="_Toc9416736"/>
      <w:r w:rsidRPr="002D748A">
        <w:rPr>
          <w:rFonts w:ascii="Arial" w:hAnsi="Arial" w:cs="Arial"/>
          <w:sz w:val="20"/>
        </w:rPr>
        <w:t>SUMMARY CONCLUSION</w:t>
      </w:r>
      <w:bookmarkEnd w:id="57"/>
      <w:bookmarkEnd w:id="58"/>
    </w:p>
    <w:p w14:paraId="2FCA9A09" w14:textId="65E45364" w:rsidR="002D748A" w:rsidRPr="002D748A" w:rsidRDefault="002D748A" w:rsidP="005E3595">
      <w:pPr>
        <w:pStyle w:val="ListContinue"/>
        <w:numPr>
          <w:ilvl w:val="0"/>
          <w:numId w:val="54"/>
        </w:numPr>
        <w:ind w:left="720" w:firstLine="0"/>
        <w:rPr>
          <w:rFonts w:ascii="Arial" w:hAnsi="Arial" w:cs="Arial"/>
          <w:sz w:val="20"/>
        </w:rPr>
      </w:pPr>
      <w:r w:rsidRPr="002D748A">
        <w:rPr>
          <w:rFonts w:ascii="Arial" w:hAnsi="Arial" w:cs="Arial"/>
          <w:sz w:val="20"/>
        </w:rPr>
        <w:t xml:space="preserve">Loan-backed securities are defined as securitized assets not included in structured securities, as defined below, for which the </w:t>
      </w:r>
      <w:ins w:id="59" w:author="Gann, Julie" w:date="2019-06-11T15:19:00Z">
        <w:r w:rsidR="00404A87">
          <w:rPr>
            <w:rFonts w:ascii="Arial" w:hAnsi="Arial" w:cs="Arial"/>
            <w:sz w:val="20"/>
          </w:rPr>
          <w:t xml:space="preserve">contractual </w:t>
        </w:r>
      </w:ins>
      <w:r w:rsidRPr="002D748A">
        <w:rPr>
          <w:rFonts w:ascii="Arial" w:hAnsi="Arial" w:cs="Arial"/>
          <w:sz w:val="20"/>
        </w:rPr>
        <w:t xml:space="preserve">payment of interest and/or principal is directly proportional to the payments received by the issuer from the underlying assets, including but not limited to pass-through </w:t>
      </w:r>
      <w:r w:rsidRPr="002D748A">
        <w:rPr>
          <w:rFonts w:ascii="Arial" w:hAnsi="Arial" w:cs="Arial"/>
          <w:sz w:val="20"/>
        </w:rPr>
        <w:lastRenderedPageBreak/>
        <w:t xml:space="preserve">securities, lease-backed securities, and equipment trust </w:t>
      </w:r>
      <w:proofErr w:type="spellStart"/>
      <w:r w:rsidRPr="002D748A">
        <w:rPr>
          <w:rFonts w:ascii="Arial" w:hAnsi="Arial" w:cs="Arial"/>
          <w:sz w:val="20"/>
        </w:rPr>
        <w:t>certificates</w:t>
      </w:r>
      <w:ins w:id="60" w:author="Gann, Julie [2]" w:date="2019-07-08T13:06:00Z">
        <w:r w:rsidR="001134AA" w:rsidRPr="00A95C0C">
          <w:rPr>
            <w:rFonts w:ascii="Arial" w:hAnsi="Arial" w:cs="Arial"/>
            <w:sz w:val="20"/>
            <w:vertAlign w:val="superscript"/>
          </w:rPr>
          <w:t>FN</w:t>
        </w:r>
      </w:ins>
      <w:proofErr w:type="spellEnd"/>
      <w:r w:rsidRPr="002D748A">
        <w:rPr>
          <w:rFonts w:ascii="Arial" w:hAnsi="Arial" w:cs="Arial"/>
          <w:sz w:val="20"/>
        </w:rPr>
        <w:t>.</w:t>
      </w:r>
      <w:ins w:id="61" w:author="Gann, Julie" w:date="2019-06-11T15:20:00Z">
        <w:r w:rsidR="00404A87">
          <w:rPr>
            <w:rFonts w:ascii="Arial" w:hAnsi="Arial" w:cs="Arial"/>
            <w:sz w:val="20"/>
          </w:rPr>
          <w:t xml:space="preserve"> </w:t>
        </w:r>
      </w:ins>
      <w:ins w:id="62" w:author="Gann, Julie" w:date="2019-06-11T15:23:00Z">
        <w:r w:rsidR="00404A87">
          <w:rPr>
            <w:rFonts w:ascii="Arial" w:hAnsi="Arial" w:cs="Arial"/>
            <w:sz w:val="20"/>
          </w:rPr>
          <w:t xml:space="preserve">Pursuant to paragraph 2, the underlying assets supporting payment of interest and/or principal </w:t>
        </w:r>
      </w:ins>
      <w:ins w:id="63" w:author="Gann, Julie" w:date="2019-06-25T08:50:00Z">
        <w:r w:rsidR="005E3595">
          <w:rPr>
            <w:rFonts w:ascii="Arial" w:hAnsi="Arial" w:cs="Arial"/>
            <w:sz w:val="20"/>
          </w:rPr>
          <w:t xml:space="preserve">shall </w:t>
        </w:r>
      </w:ins>
      <w:ins w:id="64" w:author="Gann, Julie" w:date="2019-06-11T15:23:00Z">
        <w:r w:rsidR="00404A87">
          <w:rPr>
            <w:rFonts w:ascii="Arial" w:hAnsi="Arial" w:cs="Arial"/>
            <w:sz w:val="20"/>
          </w:rPr>
          <w:t xml:space="preserve">not reflect equity interests. </w:t>
        </w:r>
      </w:ins>
    </w:p>
    <w:p w14:paraId="7D0EBF98" w14:textId="1BAC819E" w:rsidR="001134AA" w:rsidRDefault="001134AA" w:rsidP="00744132">
      <w:pPr>
        <w:pStyle w:val="ListContinue"/>
        <w:ind w:left="720"/>
        <w:rPr>
          <w:ins w:id="65" w:author="Gann, Julie [2]" w:date="2019-07-08T13:05:00Z"/>
          <w:rFonts w:ascii="Arial" w:hAnsi="Arial" w:cs="Arial"/>
          <w:sz w:val="20"/>
        </w:rPr>
      </w:pPr>
      <w:ins w:id="66" w:author="Gann, Julie [2]" w:date="2019-07-08T13:05:00Z">
        <w:r w:rsidRPr="00137EDF">
          <w:rPr>
            <w:rFonts w:ascii="Arial" w:hAnsi="Arial" w:cs="Arial"/>
            <w:sz w:val="20"/>
          </w:rPr>
          <w:t xml:space="preserve">New Footnote: </w:t>
        </w:r>
      </w:ins>
      <w:ins w:id="67" w:author="Gann, Julie [2]" w:date="2019-07-08T13:06:00Z">
        <w:r w:rsidRPr="00137EDF">
          <w:rPr>
            <w:rFonts w:ascii="Arial" w:hAnsi="Arial" w:cs="Arial"/>
            <w:sz w:val="20"/>
          </w:rPr>
          <w:t>Lease-backed securities and equipment trust certificates</w:t>
        </w:r>
      </w:ins>
      <w:ins w:id="68" w:author="Pinegar, Jim" w:date="2019-07-09T07:53:00Z">
        <w:r w:rsidR="002B6EEF" w:rsidRPr="00137EDF">
          <w:rPr>
            <w:rFonts w:ascii="Arial" w:hAnsi="Arial" w:cs="Arial"/>
            <w:sz w:val="20"/>
          </w:rPr>
          <w:t xml:space="preserve"> are</w:t>
        </w:r>
      </w:ins>
      <w:ins w:id="69" w:author="Gann, Julie [2]" w:date="2019-07-08T13:06:00Z">
        <w:r w:rsidRPr="00137EDF">
          <w:rPr>
            <w:rFonts w:ascii="Arial" w:hAnsi="Arial" w:cs="Arial"/>
            <w:sz w:val="20"/>
          </w:rPr>
          <w:t xml:space="preserve"> </w:t>
        </w:r>
      </w:ins>
      <w:ins w:id="70" w:author="Gann, Julie [2]" w:date="2019-07-08T13:07:00Z">
        <w:r w:rsidRPr="00137EDF">
          <w:rPr>
            <w:rFonts w:ascii="Arial" w:hAnsi="Arial" w:cs="Arial"/>
            <w:sz w:val="20"/>
          </w:rPr>
          <w:t xml:space="preserve">in scope when </w:t>
        </w:r>
      </w:ins>
      <w:ins w:id="71" w:author="Gann, Julie [2]" w:date="2019-07-10T10:55:00Z">
        <w:r w:rsidR="00C3494A" w:rsidRPr="00137EDF">
          <w:rPr>
            <w:rFonts w:ascii="Arial" w:hAnsi="Arial" w:cs="Arial"/>
            <w:sz w:val="20"/>
          </w:rPr>
          <w:t xml:space="preserve">meeting structural requirements </w:t>
        </w:r>
      </w:ins>
      <w:ins w:id="72" w:author="Gann, Julie [2]" w:date="2019-07-08T13:07:00Z">
        <w:r w:rsidRPr="00137EDF">
          <w:rPr>
            <w:rFonts w:ascii="Arial" w:hAnsi="Arial" w:cs="Arial"/>
            <w:sz w:val="20"/>
          </w:rPr>
          <w:t xml:space="preserve">per the </w:t>
        </w:r>
      </w:ins>
      <w:ins w:id="73" w:author="Gann, Julie [2]" w:date="2019-07-08T13:05:00Z">
        <w:r w:rsidRPr="00A95C0C">
          <w:rPr>
            <w:rFonts w:ascii="Arial" w:hAnsi="Arial" w:cs="Arial"/>
            <w:i/>
            <w:iCs/>
            <w:sz w:val="20"/>
          </w:rPr>
          <w:t>Purposes and Procedures Manual of the NAIC Investment Analysis Office</w:t>
        </w:r>
        <w:r w:rsidRPr="00A95C0C">
          <w:rPr>
            <w:rFonts w:ascii="Arial" w:hAnsi="Arial" w:cs="Arial"/>
            <w:sz w:val="20"/>
          </w:rPr>
          <w:t>.</w:t>
        </w:r>
      </w:ins>
    </w:p>
    <w:p w14:paraId="0A841DEB" w14:textId="59E9E54E"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Structured securities are defined as loan-backed securities which have been divided into two or more classes for which the </w:t>
      </w:r>
      <w:ins w:id="74" w:author="Gann, Julie" w:date="2019-06-11T15:19:00Z">
        <w:r w:rsidR="00404A87">
          <w:rPr>
            <w:rFonts w:ascii="Arial" w:hAnsi="Arial" w:cs="Arial"/>
            <w:sz w:val="20"/>
          </w:rPr>
          <w:t>contr</w:t>
        </w:r>
      </w:ins>
      <w:ins w:id="75" w:author="Gann, Julie" w:date="2019-06-11T15:20:00Z">
        <w:r w:rsidR="00404A87">
          <w:rPr>
            <w:rFonts w:ascii="Arial" w:hAnsi="Arial" w:cs="Arial"/>
            <w:sz w:val="20"/>
          </w:rPr>
          <w:t xml:space="preserve">actual </w:t>
        </w:r>
      </w:ins>
      <w:r w:rsidRPr="002D748A">
        <w:rPr>
          <w:rFonts w:ascii="Arial" w:hAnsi="Arial" w:cs="Arial"/>
          <w:sz w:val="20"/>
        </w:rPr>
        <w:t>payment of interest and/or principal of any class of securities has been allocated in a manner which is not proportional to payments received by the issuer from the underlying assets.</w:t>
      </w:r>
      <w:ins w:id="76" w:author="Gann, Julie" w:date="2019-06-11T15:21:00Z">
        <w:r w:rsidR="00404A87" w:rsidRPr="00404A87">
          <w:rPr>
            <w:rFonts w:ascii="Arial" w:hAnsi="Arial" w:cs="Arial"/>
            <w:sz w:val="20"/>
          </w:rPr>
          <w:t xml:space="preserve"> </w:t>
        </w:r>
        <w:r w:rsidR="00404A87">
          <w:rPr>
            <w:rFonts w:ascii="Arial" w:hAnsi="Arial" w:cs="Arial"/>
            <w:sz w:val="20"/>
          </w:rPr>
          <w:t xml:space="preserve">Pursuant to paragraph 2, the underlying assets supporting payment of interest and/or principal </w:t>
        </w:r>
      </w:ins>
      <w:ins w:id="77" w:author="Gann, Julie" w:date="2019-06-25T08:59:00Z">
        <w:r w:rsidR="00CF65B7">
          <w:rPr>
            <w:rFonts w:ascii="Arial" w:hAnsi="Arial" w:cs="Arial"/>
            <w:sz w:val="20"/>
          </w:rPr>
          <w:t xml:space="preserve">shall </w:t>
        </w:r>
      </w:ins>
      <w:ins w:id="78" w:author="Gann, Julie" w:date="2019-06-11T15:21:00Z">
        <w:r w:rsidR="00404A87">
          <w:rPr>
            <w:rFonts w:ascii="Arial" w:hAnsi="Arial" w:cs="Arial"/>
            <w:sz w:val="20"/>
          </w:rPr>
          <w:t xml:space="preserve">not reflect equity interests. </w:t>
        </w:r>
      </w:ins>
    </w:p>
    <w:p w14:paraId="097C8143"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w:t>
      </w:r>
      <w:proofErr w:type="gramStart"/>
      <w:r w:rsidRPr="002D748A">
        <w:rPr>
          <w:rFonts w:ascii="Arial" w:hAnsi="Arial" w:cs="Arial"/>
          <w:sz w:val="20"/>
        </w:rPr>
        <w:t>assets, but</w:t>
      </w:r>
      <w:proofErr w:type="gramEnd"/>
      <w:r w:rsidRPr="002D748A">
        <w:rPr>
          <w:rFonts w:ascii="Arial" w:hAnsi="Arial" w:cs="Arial"/>
          <w:sz w:val="20"/>
        </w:rPr>
        <w:t xml:space="preserve">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0877A65C"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2D748A">
        <w:rPr>
          <w:rStyle w:val="FootnoteReference"/>
          <w:rFonts w:ascii="Arial" w:hAnsi="Arial" w:cs="Arial"/>
          <w:sz w:val="20"/>
        </w:rPr>
        <w:footnoteReference w:id="4"/>
      </w:r>
      <w:r w:rsidRPr="002D748A">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7135C1AE"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Loan-backed and structured securities meet the definition of assets as defined in </w:t>
      </w:r>
      <w:r w:rsidRPr="002D748A">
        <w:rPr>
          <w:rFonts w:ascii="Arial" w:hAnsi="Arial" w:cs="Arial"/>
          <w:i/>
          <w:sz w:val="20"/>
        </w:rPr>
        <w:t xml:space="preserve">SSAP No. 4—Assets and </w:t>
      </w:r>
      <w:proofErr w:type="spellStart"/>
      <w:r w:rsidRPr="002D748A">
        <w:rPr>
          <w:rFonts w:ascii="Arial" w:hAnsi="Arial" w:cs="Arial"/>
          <w:i/>
          <w:sz w:val="20"/>
        </w:rPr>
        <w:t>Nonadmitted</w:t>
      </w:r>
      <w:proofErr w:type="spellEnd"/>
      <w:r w:rsidRPr="002D748A">
        <w:rPr>
          <w:rFonts w:ascii="Arial" w:hAnsi="Arial" w:cs="Arial"/>
          <w:i/>
          <w:sz w:val="20"/>
        </w:rPr>
        <w:t xml:space="preserve"> Assets</w:t>
      </w:r>
      <w:r w:rsidRPr="002D748A">
        <w:rPr>
          <w:rFonts w:ascii="Arial" w:hAnsi="Arial" w:cs="Arial"/>
          <w:sz w:val="20"/>
        </w:rPr>
        <w:t xml:space="preserve"> and are admitted assets to the extent they conform to the requirements of this statement.</w:t>
      </w:r>
    </w:p>
    <w:p w14:paraId="400005D3" w14:textId="2410F62B" w:rsidR="006B37DD"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602A01">
        <w:rPr>
          <w:szCs w:val="22"/>
        </w:rPr>
        <w:t xml:space="preserve">Julie Gann – </w:t>
      </w:r>
      <w:r w:rsidR="00A5554D">
        <w:rPr>
          <w:szCs w:val="22"/>
        </w:rPr>
        <w:t>May</w:t>
      </w:r>
      <w:r w:rsidR="00602A01">
        <w:rPr>
          <w:szCs w:val="22"/>
        </w:rPr>
        <w:t xml:space="preserve"> 2019</w:t>
      </w:r>
      <w:r w:rsidR="001158CA">
        <w:rPr>
          <w:szCs w:val="22"/>
        </w:rPr>
        <w:tab/>
      </w:r>
    </w:p>
    <w:p w14:paraId="439B6FCF" w14:textId="0A50CCE6" w:rsidR="00116B7C" w:rsidRDefault="00116B7C" w:rsidP="00116B7C">
      <w:pPr>
        <w:pStyle w:val="BodyText2"/>
        <w:rPr>
          <w:szCs w:val="22"/>
        </w:rPr>
      </w:pPr>
    </w:p>
    <w:p w14:paraId="58D13964" w14:textId="7DBA1427" w:rsidR="00546AE8" w:rsidRDefault="00546AE8" w:rsidP="00116B7C">
      <w:pPr>
        <w:pStyle w:val="BodyText2"/>
        <w:rPr>
          <w:szCs w:val="22"/>
        </w:rPr>
      </w:pPr>
      <w:r>
        <w:rPr>
          <w:szCs w:val="22"/>
        </w:rPr>
        <w:t>Status:</w:t>
      </w:r>
    </w:p>
    <w:p w14:paraId="6F99CA1C" w14:textId="2F5DA84A" w:rsidR="00546AE8" w:rsidRDefault="00546AE8" w:rsidP="00116B7C">
      <w:pPr>
        <w:pStyle w:val="BodyText2"/>
        <w:rPr>
          <w:b w:val="0"/>
          <w:bCs w:val="0"/>
          <w:szCs w:val="22"/>
        </w:rPr>
      </w:pPr>
      <w:r>
        <w:rPr>
          <w:b w:val="0"/>
          <w:bCs w:val="0"/>
          <w:szCs w:val="22"/>
        </w:rPr>
        <w:t xml:space="preserve">On August 3, 2019, the Statutory Accounting Principles (E) Working Group moved this item to the active listing, categorized as nonsubstantive, and exposed revisions to </w:t>
      </w:r>
      <w:r>
        <w:rPr>
          <w:b w:val="0"/>
          <w:bCs w:val="0"/>
          <w:i/>
          <w:iCs/>
          <w:szCs w:val="22"/>
        </w:rPr>
        <w:t>SSAP No. 43R—</w:t>
      </w:r>
      <w:r w:rsidR="003000A4">
        <w:rPr>
          <w:b w:val="0"/>
          <w:bCs w:val="0"/>
          <w:i/>
          <w:iCs/>
          <w:szCs w:val="22"/>
        </w:rPr>
        <w:t>Loan-Backed</w:t>
      </w:r>
      <w:r>
        <w:rPr>
          <w:b w:val="0"/>
          <w:bCs w:val="0"/>
          <w:i/>
          <w:iCs/>
          <w:szCs w:val="22"/>
        </w:rPr>
        <w:t xml:space="preserve"> and Structured Securities</w:t>
      </w:r>
      <w:r w:rsidR="00744132">
        <w:rPr>
          <w:b w:val="0"/>
          <w:bCs w:val="0"/>
          <w:szCs w:val="22"/>
        </w:rPr>
        <w:t>, as illustrated above,</w:t>
      </w:r>
      <w:r>
        <w:rPr>
          <w:b w:val="0"/>
          <w:bCs w:val="0"/>
          <w:szCs w:val="22"/>
        </w:rPr>
        <w:t xml:space="preserve"> to exclude collateralized fund obligations, and similar structures that reflect underlying equity interests, from the scope of the statement, as well as prevent existing equity assets from being repackaged as securitizations and reported as long-term bonds.</w:t>
      </w:r>
    </w:p>
    <w:p w14:paraId="46883C35" w14:textId="737AA8B3" w:rsidR="00DE0152" w:rsidRDefault="00DE0152" w:rsidP="00116B7C">
      <w:pPr>
        <w:pStyle w:val="BodyText2"/>
        <w:rPr>
          <w:b w:val="0"/>
          <w:bCs w:val="0"/>
          <w:szCs w:val="22"/>
        </w:rPr>
      </w:pPr>
    </w:p>
    <w:p w14:paraId="43A6C700" w14:textId="5B94138A" w:rsidR="00DE0152" w:rsidRDefault="00DE0152" w:rsidP="00116B7C">
      <w:pPr>
        <w:pStyle w:val="BodyText2"/>
        <w:rPr>
          <w:b w:val="0"/>
          <w:bCs w:val="0"/>
          <w:szCs w:val="22"/>
        </w:rPr>
      </w:pPr>
      <w:r>
        <w:rPr>
          <w:b w:val="0"/>
          <w:bCs w:val="0"/>
          <w:szCs w:val="22"/>
        </w:rPr>
        <w:t>On March 18, 2020, the Statutory Accounting Principles (E) Working Group exposed a preliminary issue paper for initial assessment. Comments and information are requested on the items detailed within the issue paper.</w:t>
      </w:r>
      <w:r w:rsidR="00FA6D64">
        <w:rPr>
          <w:b w:val="0"/>
          <w:bCs w:val="0"/>
          <w:szCs w:val="22"/>
        </w:rPr>
        <w:t xml:space="preserve"> This item was exposed with an extended comment deadline ending June 26, 2020. Comments are requested </w:t>
      </w:r>
      <w:r w:rsidR="0094765E">
        <w:rPr>
          <w:b w:val="0"/>
          <w:bCs w:val="0"/>
          <w:szCs w:val="22"/>
        </w:rPr>
        <w:t>throughout</w:t>
      </w:r>
      <w:r w:rsidR="00FA6D64">
        <w:rPr>
          <w:b w:val="0"/>
          <w:bCs w:val="0"/>
          <w:szCs w:val="22"/>
        </w:rPr>
        <w:t xml:space="preserve"> the exposure process</w:t>
      </w:r>
      <w:r w:rsidR="0094765E">
        <w:rPr>
          <w:b w:val="0"/>
          <w:bCs w:val="0"/>
          <w:szCs w:val="22"/>
        </w:rPr>
        <w:t>,</w:t>
      </w:r>
      <w:r w:rsidR="00FA6D64">
        <w:rPr>
          <w:b w:val="0"/>
          <w:bCs w:val="0"/>
          <w:szCs w:val="22"/>
        </w:rPr>
        <w:t xml:space="preserve"> to the extent possible</w:t>
      </w:r>
      <w:r w:rsidR="0094765E">
        <w:rPr>
          <w:b w:val="0"/>
          <w:bCs w:val="0"/>
          <w:szCs w:val="22"/>
        </w:rPr>
        <w:t>,</w:t>
      </w:r>
      <w:r w:rsidR="00FA6D64">
        <w:rPr>
          <w:b w:val="0"/>
          <w:bCs w:val="0"/>
          <w:szCs w:val="22"/>
        </w:rPr>
        <w:t xml:space="preserve"> as NAIC staff will continue working with industry in discussing SSAP No. 43R investments. </w:t>
      </w:r>
      <w:r w:rsidR="00793372" w:rsidRPr="00793372">
        <w:rPr>
          <w:b w:val="0"/>
          <w:bCs w:val="0"/>
          <w:i/>
          <w:iCs/>
          <w:szCs w:val="22"/>
        </w:rPr>
        <w:t>(Note: This comment letter deadline was extended to July 31</w:t>
      </w:r>
      <w:r w:rsidR="00793372">
        <w:rPr>
          <w:b w:val="0"/>
          <w:bCs w:val="0"/>
          <w:i/>
          <w:iCs/>
          <w:szCs w:val="22"/>
        </w:rPr>
        <w:t>, 2020</w:t>
      </w:r>
      <w:r w:rsidR="00793372" w:rsidRPr="00793372">
        <w:rPr>
          <w:b w:val="0"/>
          <w:bCs w:val="0"/>
          <w:i/>
          <w:iCs/>
          <w:szCs w:val="22"/>
        </w:rPr>
        <w:t xml:space="preserve"> in response to industry request due to the focus on the impacts from COVID-19.)</w:t>
      </w:r>
      <w:r w:rsidR="00793372">
        <w:rPr>
          <w:b w:val="0"/>
          <w:bCs w:val="0"/>
          <w:szCs w:val="22"/>
        </w:rPr>
        <w:t xml:space="preserve"> </w:t>
      </w:r>
    </w:p>
    <w:p w14:paraId="118E84A6" w14:textId="2383998A" w:rsidR="00793372" w:rsidRDefault="00793372" w:rsidP="00116B7C">
      <w:pPr>
        <w:pStyle w:val="BodyText2"/>
        <w:rPr>
          <w:b w:val="0"/>
          <w:bCs w:val="0"/>
          <w:szCs w:val="22"/>
        </w:rPr>
      </w:pPr>
    </w:p>
    <w:p w14:paraId="7F626E74" w14:textId="2B59C1EB" w:rsidR="00793372" w:rsidRDefault="00793372" w:rsidP="00793372">
      <w:pPr>
        <w:pStyle w:val="BodyText2"/>
        <w:rPr>
          <w:b w:val="0"/>
          <w:bCs w:val="0"/>
          <w:szCs w:val="22"/>
        </w:rPr>
      </w:pPr>
      <w:r>
        <w:rPr>
          <w:b w:val="0"/>
          <w:bCs w:val="0"/>
          <w:szCs w:val="22"/>
        </w:rPr>
        <w:lastRenderedPageBreak/>
        <w:t>On October 13, 2020, the Statutory Accounting Principles (E) Working Group conducted a hearing to receive industry comments on two key items detailed within the interested parties’ comment letter</w:t>
      </w:r>
      <w:r w:rsidR="00923F9F">
        <w:rPr>
          <w:b w:val="0"/>
          <w:bCs w:val="0"/>
          <w:szCs w:val="22"/>
        </w:rPr>
        <w:t xml:space="preserve"> on SSAP No. 43R</w:t>
      </w:r>
      <w:r>
        <w:rPr>
          <w:b w:val="0"/>
          <w:bCs w:val="0"/>
          <w:szCs w:val="22"/>
        </w:rPr>
        <w:t xml:space="preserve">: 1) Classification as </w:t>
      </w:r>
      <w:r w:rsidRPr="00793372">
        <w:rPr>
          <w:b w:val="0"/>
          <w:bCs w:val="0"/>
          <w:i/>
          <w:iCs/>
          <w:szCs w:val="22"/>
        </w:rPr>
        <w:t>SSAP No. 26R—Bonds</w:t>
      </w:r>
      <w:r>
        <w:rPr>
          <w:b w:val="0"/>
          <w:bCs w:val="0"/>
          <w:szCs w:val="22"/>
        </w:rPr>
        <w:t xml:space="preserve"> or </w:t>
      </w:r>
      <w:r w:rsidRPr="00793372">
        <w:rPr>
          <w:b w:val="0"/>
          <w:bCs w:val="0"/>
          <w:i/>
          <w:iCs/>
          <w:szCs w:val="22"/>
        </w:rPr>
        <w:t>SSAP No. 43R—</w:t>
      </w:r>
      <w:r w:rsidR="003000A4">
        <w:rPr>
          <w:b w:val="0"/>
          <w:bCs w:val="0"/>
          <w:i/>
          <w:iCs/>
          <w:szCs w:val="22"/>
        </w:rPr>
        <w:t>Loan-Backed</w:t>
      </w:r>
      <w:r w:rsidRPr="00793372">
        <w:rPr>
          <w:b w:val="0"/>
          <w:bCs w:val="0"/>
          <w:i/>
          <w:iCs/>
          <w:szCs w:val="22"/>
        </w:rPr>
        <w:t xml:space="preserve"> and Structured Securities</w:t>
      </w:r>
      <w:r>
        <w:rPr>
          <w:b w:val="0"/>
          <w:bCs w:val="0"/>
          <w:szCs w:val="22"/>
        </w:rPr>
        <w:t xml:space="preserve"> and 2) Definition of Asset-Backed Security. In response </w:t>
      </w:r>
      <w:r w:rsidR="00923F9F">
        <w:rPr>
          <w:b w:val="0"/>
          <w:bCs w:val="0"/>
          <w:szCs w:val="22"/>
        </w:rPr>
        <w:t>to the review of comments on these issues</w:t>
      </w:r>
      <w:r>
        <w:rPr>
          <w:b w:val="0"/>
          <w:bCs w:val="0"/>
          <w:szCs w:val="22"/>
        </w:rPr>
        <w:t xml:space="preserve">, the Iowa Insurance Division submitted a proposal to first identify principles that should govern whether an investment is reported on </w:t>
      </w:r>
      <w:r w:rsidRPr="0052433D">
        <w:rPr>
          <w:b w:val="0"/>
          <w:bCs w:val="0"/>
          <w:i/>
          <w:iCs/>
          <w:szCs w:val="22"/>
        </w:rPr>
        <w:t>Schedule D-1: Long-Term Bonds</w:t>
      </w:r>
      <w:r>
        <w:rPr>
          <w:b w:val="0"/>
          <w:bCs w:val="0"/>
          <w:szCs w:val="22"/>
        </w:rPr>
        <w:t>. With this submission, it was identified that some structures</w:t>
      </w:r>
      <w:r w:rsidR="00923F9F">
        <w:rPr>
          <w:b w:val="0"/>
          <w:bCs w:val="0"/>
          <w:szCs w:val="22"/>
        </w:rPr>
        <w:t xml:space="preserve"> reported on Schedule D-1</w:t>
      </w:r>
      <w:r>
        <w:rPr>
          <w:b w:val="0"/>
          <w:bCs w:val="0"/>
          <w:szCs w:val="22"/>
        </w:rPr>
        <w:t xml:space="preserve"> that cause concerns may be captured in scope of SSAP No. 26R, although they may be issued through a SPV/trust structure. As such, the </w:t>
      </w:r>
      <w:r w:rsidR="0052433D">
        <w:rPr>
          <w:b w:val="0"/>
          <w:bCs w:val="0"/>
          <w:szCs w:val="22"/>
        </w:rPr>
        <w:t>comprehensive</w:t>
      </w:r>
      <w:r>
        <w:rPr>
          <w:b w:val="0"/>
          <w:bCs w:val="0"/>
          <w:szCs w:val="22"/>
        </w:rPr>
        <w:t xml:space="preserve"> project on SSAP No. 43R </w:t>
      </w:r>
      <w:r w:rsidR="0052433D">
        <w:rPr>
          <w:b w:val="0"/>
          <w:bCs w:val="0"/>
          <w:szCs w:val="22"/>
        </w:rPr>
        <w:t>would</w:t>
      </w:r>
      <w:r>
        <w:rPr>
          <w:b w:val="0"/>
          <w:bCs w:val="0"/>
          <w:szCs w:val="22"/>
        </w:rPr>
        <w:t xml:space="preserve"> not encompass the full extent of regulator concerns</w:t>
      </w:r>
      <w:r w:rsidR="0052433D">
        <w:rPr>
          <w:b w:val="0"/>
          <w:bCs w:val="0"/>
          <w:szCs w:val="22"/>
        </w:rPr>
        <w:t xml:space="preserve"> due to the broad SSAP No. 26R bond definition</w:t>
      </w:r>
      <w:r>
        <w:rPr>
          <w:b w:val="0"/>
          <w:bCs w:val="0"/>
          <w:szCs w:val="22"/>
        </w:rPr>
        <w:t>. The I</w:t>
      </w:r>
      <w:r w:rsidR="003245DC">
        <w:rPr>
          <w:b w:val="0"/>
          <w:bCs w:val="0"/>
          <w:szCs w:val="22"/>
        </w:rPr>
        <w:t>owa</w:t>
      </w:r>
      <w:r>
        <w:rPr>
          <w:b w:val="0"/>
          <w:bCs w:val="0"/>
          <w:szCs w:val="22"/>
        </w:rPr>
        <w:t xml:space="preserve"> proposal intends to first identify whether an investment should be considered a Schedule D-1 </w:t>
      </w:r>
      <w:r w:rsidR="009E4AA8">
        <w:rPr>
          <w:b w:val="0"/>
          <w:bCs w:val="0"/>
          <w:szCs w:val="22"/>
        </w:rPr>
        <w:t>investment</w:t>
      </w:r>
      <w:r>
        <w:rPr>
          <w:b w:val="0"/>
          <w:bCs w:val="0"/>
          <w:szCs w:val="22"/>
        </w:rPr>
        <w:t xml:space="preserve">, with </w:t>
      </w:r>
      <w:r w:rsidR="009E4AA8">
        <w:rPr>
          <w:b w:val="0"/>
          <w:bCs w:val="0"/>
          <w:szCs w:val="22"/>
        </w:rPr>
        <w:t xml:space="preserve">a subsequent </w:t>
      </w:r>
      <w:r>
        <w:rPr>
          <w:b w:val="0"/>
          <w:bCs w:val="0"/>
          <w:szCs w:val="22"/>
        </w:rPr>
        <w:t xml:space="preserve">secondary focus of whether </w:t>
      </w:r>
      <w:r w:rsidR="009E4AA8">
        <w:rPr>
          <w:b w:val="0"/>
          <w:bCs w:val="0"/>
          <w:szCs w:val="22"/>
        </w:rPr>
        <w:t>the</w:t>
      </w:r>
      <w:r>
        <w:rPr>
          <w:b w:val="0"/>
          <w:bCs w:val="0"/>
          <w:szCs w:val="22"/>
        </w:rPr>
        <w:t xml:space="preserve"> investment shall be captured in scope of SSAP No. 26R or SSAP No. 43R. With this exposure, it was specifically noted that the proposal is not suggesting edits to SSAP No. 26R with the reference to “bonds” but </w:t>
      </w:r>
      <w:r w:rsidR="0052433D">
        <w:rPr>
          <w:b w:val="0"/>
          <w:bCs w:val="0"/>
          <w:szCs w:val="22"/>
        </w:rPr>
        <w:t xml:space="preserve">is </w:t>
      </w:r>
      <w:r>
        <w:rPr>
          <w:b w:val="0"/>
          <w:bCs w:val="0"/>
          <w:szCs w:val="22"/>
        </w:rPr>
        <w:t xml:space="preserve">focused on what is captured on </w:t>
      </w:r>
      <w:r w:rsidR="00923F9F">
        <w:rPr>
          <w:b w:val="0"/>
          <w:bCs w:val="0"/>
          <w:szCs w:val="22"/>
        </w:rPr>
        <w:t>the</w:t>
      </w:r>
      <w:r>
        <w:rPr>
          <w:b w:val="0"/>
          <w:bCs w:val="0"/>
          <w:szCs w:val="22"/>
        </w:rPr>
        <w:t xml:space="preserve"> Schedule D-1 </w:t>
      </w:r>
      <w:r w:rsidR="00923F9F">
        <w:rPr>
          <w:b w:val="0"/>
          <w:bCs w:val="0"/>
          <w:szCs w:val="22"/>
        </w:rPr>
        <w:t xml:space="preserve">reporting schedule </w:t>
      </w:r>
      <w:r w:rsidR="0052433D">
        <w:rPr>
          <w:b w:val="0"/>
          <w:bCs w:val="0"/>
          <w:szCs w:val="22"/>
        </w:rPr>
        <w:t xml:space="preserve">as a </w:t>
      </w:r>
      <w:r>
        <w:rPr>
          <w:b w:val="0"/>
          <w:bCs w:val="0"/>
          <w:szCs w:val="22"/>
        </w:rPr>
        <w:t>“</w:t>
      </w:r>
      <w:r w:rsidR="0052433D">
        <w:rPr>
          <w:b w:val="0"/>
          <w:bCs w:val="0"/>
          <w:szCs w:val="22"/>
        </w:rPr>
        <w:t xml:space="preserve">long-term </w:t>
      </w:r>
      <w:r>
        <w:rPr>
          <w:b w:val="0"/>
          <w:bCs w:val="0"/>
          <w:szCs w:val="22"/>
        </w:rPr>
        <w:t xml:space="preserve">bond,” </w:t>
      </w:r>
      <w:r w:rsidR="009E4AA8">
        <w:rPr>
          <w:b w:val="0"/>
          <w:bCs w:val="0"/>
          <w:szCs w:val="22"/>
        </w:rPr>
        <w:t>as that schedule</w:t>
      </w:r>
      <w:r>
        <w:rPr>
          <w:b w:val="0"/>
          <w:bCs w:val="0"/>
          <w:szCs w:val="22"/>
        </w:rPr>
        <w:t xml:space="preserve"> encompasses </w:t>
      </w:r>
      <w:r w:rsidR="0052433D">
        <w:rPr>
          <w:b w:val="0"/>
          <w:bCs w:val="0"/>
          <w:szCs w:val="22"/>
        </w:rPr>
        <w:t xml:space="preserve">investments </w:t>
      </w:r>
      <w:r w:rsidR="009E4AA8">
        <w:rPr>
          <w:b w:val="0"/>
          <w:bCs w:val="0"/>
          <w:szCs w:val="22"/>
        </w:rPr>
        <w:t>in scope of</w:t>
      </w:r>
      <w:r w:rsidR="0052433D">
        <w:rPr>
          <w:b w:val="0"/>
          <w:bCs w:val="0"/>
          <w:szCs w:val="22"/>
        </w:rPr>
        <w:t xml:space="preserve"> </w:t>
      </w:r>
      <w:r>
        <w:rPr>
          <w:b w:val="0"/>
          <w:bCs w:val="0"/>
          <w:szCs w:val="22"/>
        </w:rPr>
        <w:t xml:space="preserve">both SSAP No. 26R and SSAP No. 43R. </w:t>
      </w:r>
      <w:r w:rsidR="0052433D">
        <w:rPr>
          <w:b w:val="0"/>
          <w:bCs w:val="0"/>
          <w:szCs w:val="22"/>
        </w:rPr>
        <w:t>After this discussion, the Working Group exposed the I</w:t>
      </w:r>
      <w:r w:rsidR="003245DC">
        <w:rPr>
          <w:b w:val="0"/>
          <w:bCs w:val="0"/>
          <w:szCs w:val="22"/>
        </w:rPr>
        <w:t>owa</w:t>
      </w:r>
      <w:r w:rsidR="0052433D">
        <w:rPr>
          <w:b w:val="0"/>
          <w:bCs w:val="0"/>
          <w:szCs w:val="22"/>
        </w:rPr>
        <w:t xml:space="preserve"> Insurance Division Proposal for a comment period ending Dec. 4, 2020. It was requested that industry work with NAIC staff and key regulators throughout the exposure process. </w:t>
      </w:r>
    </w:p>
    <w:p w14:paraId="0AA616AE" w14:textId="7E34671A" w:rsidR="00793372" w:rsidRDefault="00793372" w:rsidP="00116B7C">
      <w:pPr>
        <w:pStyle w:val="BodyText2"/>
        <w:rPr>
          <w:b w:val="0"/>
          <w:bCs w:val="0"/>
          <w:szCs w:val="22"/>
        </w:rPr>
      </w:pPr>
    </w:p>
    <w:p w14:paraId="06141A28" w14:textId="77777777" w:rsidR="00744132" w:rsidRDefault="00744132" w:rsidP="00116B7C">
      <w:pPr>
        <w:pStyle w:val="BodyText2"/>
        <w:rPr>
          <w:b w:val="0"/>
          <w:bCs w:val="0"/>
          <w:szCs w:val="22"/>
        </w:rPr>
      </w:pPr>
    </w:p>
    <w:p w14:paraId="2D4A6447" w14:textId="3461BEF9"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A4E7C">
        <w:rPr>
          <w:noProof/>
          <w:sz w:val="16"/>
          <w:szCs w:val="16"/>
        </w:rPr>
        <w:t>G:\FRS\DATA\Stat Acctg\3. National Meetings\A. National Meeting Materials\2020\10-13-2020 - Public 43R\Exposures\19-21 - SSAP No. 43R - Equity Instruments.docx</w:t>
      </w:r>
      <w:r w:rsidRPr="000579B6">
        <w:rPr>
          <w:sz w:val="16"/>
          <w:szCs w:val="16"/>
        </w:rPr>
        <w:fldChar w:fldCharType="end"/>
      </w:r>
    </w:p>
    <w:sectPr w:rsidR="006D2084" w:rsidSect="0039600A">
      <w:headerReference w:type="default"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1134AA" w:rsidRDefault="001134AA">
      <w:r>
        <w:separator/>
      </w:r>
    </w:p>
  </w:endnote>
  <w:endnote w:type="continuationSeparator" w:id="0">
    <w:p w14:paraId="7A4CE54C" w14:textId="77777777" w:rsidR="001134AA" w:rsidRDefault="001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3BCC27B8" w:rsidR="001134AA" w:rsidRDefault="001134AA">
    <w:pPr>
      <w:pStyle w:val="Footer"/>
      <w:rPr>
        <w:sz w:val="20"/>
      </w:rPr>
    </w:pPr>
    <w:r>
      <w:rPr>
        <w:sz w:val="20"/>
      </w:rPr>
      <w:t>© 20</w:t>
    </w:r>
    <w:r w:rsidR="003000A4">
      <w:rPr>
        <w:sz w:val="20"/>
      </w:rPr>
      <w:t>20</w:t>
    </w:r>
    <w:r>
      <w:rPr>
        <w:sz w:val="20"/>
      </w:rPr>
      <w:t xml:space="preserve">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2941ECE9" w:rsidR="001134AA" w:rsidRDefault="001134AA" w:rsidP="006B37DD">
    <w:pPr>
      <w:pStyle w:val="Footer"/>
      <w:tabs>
        <w:tab w:val="clear" w:pos="4320"/>
        <w:tab w:val="center" w:pos="5040"/>
      </w:tabs>
      <w:rPr>
        <w:sz w:val="20"/>
      </w:rPr>
    </w:pPr>
    <w:r>
      <w:rPr>
        <w:sz w:val="20"/>
      </w:rPr>
      <w:t>© 20</w:t>
    </w:r>
    <w:r w:rsidR="003000A4">
      <w:rPr>
        <w:sz w:val="20"/>
      </w:rPr>
      <w:t>20</w:t>
    </w:r>
    <w:r>
      <w:rPr>
        <w:sz w:val="20"/>
      </w:rPr>
      <w:t xml:space="preserve">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1134AA" w:rsidRDefault="001134AA">
      <w:r>
        <w:separator/>
      </w:r>
    </w:p>
  </w:footnote>
  <w:footnote w:type="continuationSeparator" w:id="0">
    <w:p w14:paraId="1BD68B07" w14:textId="77777777" w:rsidR="001134AA" w:rsidRDefault="001134AA">
      <w:r>
        <w:continuationSeparator/>
      </w:r>
    </w:p>
  </w:footnote>
  <w:footnote w:id="1">
    <w:p w14:paraId="3A3A591B" w14:textId="77777777" w:rsidR="001134AA" w:rsidRDefault="001134AA" w:rsidP="00A95C0C">
      <w:pPr>
        <w:pStyle w:val="FootnoteText"/>
        <w:jc w:val="both"/>
      </w:pPr>
      <w:r>
        <w:rPr>
          <w:rStyle w:val="FootnoteReference"/>
        </w:rPr>
        <w:footnoteRef/>
      </w:r>
      <w:r>
        <w:t xml:space="preserve"> </w:t>
      </w:r>
      <w:r w:rsidRPr="00A95C0C">
        <w:rPr>
          <w:sz w:val="18"/>
          <w:szCs w:val="18"/>
        </w:rPr>
        <w:t>Currently, only Fannie Mae and Freddie Mac are the government sponsored entities that issue qualifying mortgage</w:t>
      </w:r>
      <w:r>
        <w:rPr>
          <w:sz w:val="18"/>
          <w:szCs w:val="18"/>
        </w:rPr>
        <w:t>-</w:t>
      </w:r>
      <w:r w:rsidRPr="00A95C0C">
        <w:rPr>
          <w:sz w:val="18"/>
          <w:szCs w:val="18"/>
        </w:rPr>
        <w:t>referenced securities. However, this guidance would apply to mortgage</w:t>
      </w:r>
      <w:r>
        <w:rPr>
          <w:sz w:val="18"/>
          <w:szCs w:val="18"/>
        </w:rPr>
        <w:t>-</w:t>
      </w:r>
      <w:r w:rsidRPr="00A95C0C">
        <w:rPr>
          <w:sz w:val="18"/>
          <w:szCs w:val="18"/>
        </w:rPr>
        <w:t>referenced securities issued by any other government sponsored entity that subsequently engages in the transfer of residential mortgage credit risk.</w:t>
      </w:r>
    </w:p>
  </w:footnote>
  <w:footnote w:id="2">
    <w:p w14:paraId="6B7929A3" w14:textId="3140182B" w:rsidR="001134AA" w:rsidRDefault="001134AA" w:rsidP="00F70746">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3">
    <w:p w14:paraId="223F4156" w14:textId="02EC09D5" w:rsidR="001134AA" w:rsidRPr="00CA1620" w:rsidRDefault="001134AA" w:rsidP="00F70746">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6FBA421A" w14:textId="77777777" w:rsidR="001134AA" w:rsidRPr="00CA1620" w:rsidRDefault="001134AA" w:rsidP="00F70746">
      <w:pPr>
        <w:pStyle w:val="FootnoteText"/>
        <w:jc w:val="both"/>
        <w:rPr>
          <w:sz w:val="18"/>
          <w:szCs w:val="18"/>
        </w:rPr>
      </w:pPr>
    </w:p>
  </w:footnote>
  <w:footnote w:id="4">
    <w:p w14:paraId="36541B22" w14:textId="77777777" w:rsidR="001134AA" w:rsidRDefault="001134AA" w:rsidP="002D748A">
      <w:pPr>
        <w:pStyle w:val="FootnoteText"/>
        <w:jc w:val="both"/>
      </w:pPr>
      <w:r>
        <w:rPr>
          <w:rStyle w:val="FootnoteReference"/>
        </w:rPr>
        <w:footnoteRef/>
      </w:r>
      <w:r>
        <w:t xml:space="preserve"> </w:t>
      </w:r>
      <w:r w:rsidRPr="002D748A">
        <w:rPr>
          <w:sz w:val="18"/>
          <w:szCs w:val="18"/>
        </w:rPr>
        <w:t>Currently, only Fannie Mae and Freddie Mac are the government sponsored entities that issue qualifying mortgage</w:t>
      </w:r>
      <w:r>
        <w:rPr>
          <w:sz w:val="18"/>
          <w:szCs w:val="18"/>
        </w:rPr>
        <w:t>-</w:t>
      </w:r>
      <w:r w:rsidRPr="002D748A">
        <w:rPr>
          <w:sz w:val="18"/>
          <w:szCs w:val="18"/>
        </w:rPr>
        <w:t>referenced securities. However, this guidance would apply to mortgage</w:t>
      </w:r>
      <w:r>
        <w:rPr>
          <w:sz w:val="18"/>
          <w:szCs w:val="18"/>
        </w:rPr>
        <w:t>-</w:t>
      </w:r>
      <w:r w:rsidRPr="002D748A">
        <w:rPr>
          <w:sz w:val="18"/>
          <w:szCs w:val="18"/>
        </w:rPr>
        <w:t>referenced securities issued by any other government sponsored entity that subsequently engages in the transfer of residential mortgage credit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A91A" w14:textId="77777777" w:rsidR="00174936" w:rsidRPr="00F04F9A" w:rsidRDefault="00174936" w:rsidP="00174936">
    <w:pPr>
      <w:pStyle w:val="Header"/>
      <w:jc w:val="right"/>
      <w:rPr>
        <w:bCs/>
        <w:sz w:val="20"/>
      </w:rPr>
    </w:pPr>
    <w:r w:rsidRPr="00F04F9A">
      <w:rPr>
        <w:bCs/>
        <w:sz w:val="20"/>
      </w:rPr>
      <w:t>Ref #201</w:t>
    </w:r>
    <w:r>
      <w:rPr>
        <w:bCs/>
        <w:sz w:val="20"/>
      </w:rPr>
      <w:t>9</w:t>
    </w:r>
    <w:r w:rsidRPr="00F04F9A">
      <w:rPr>
        <w:bCs/>
        <w:sz w:val="20"/>
      </w:rPr>
      <w:t>-</w:t>
    </w:r>
    <w:r>
      <w:rPr>
        <w:bCs/>
        <w:sz w:val="20"/>
      </w:rPr>
      <w:t>21</w:t>
    </w:r>
  </w:p>
  <w:p w14:paraId="12DAC63B" w14:textId="77777777" w:rsidR="001134AA" w:rsidRDefault="001134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D022" w14:textId="7B677CC6" w:rsidR="001134AA" w:rsidRPr="00F04F9A" w:rsidRDefault="001134AA" w:rsidP="00AE74CF">
    <w:pPr>
      <w:pStyle w:val="Header"/>
      <w:jc w:val="right"/>
      <w:rPr>
        <w:bCs/>
        <w:sz w:val="20"/>
      </w:rPr>
    </w:pPr>
    <w:r w:rsidRPr="00F04F9A">
      <w:rPr>
        <w:bCs/>
        <w:sz w:val="20"/>
      </w:rPr>
      <w:t>Ref #201</w:t>
    </w:r>
    <w:r>
      <w:rPr>
        <w:bCs/>
        <w:sz w:val="20"/>
      </w:rPr>
      <w:t>9</w:t>
    </w:r>
    <w:r w:rsidRPr="00F04F9A">
      <w:rPr>
        <w:bCs/>
        <w:sz w:val="20"/>
      </w:rPr>
      <w:t>-</w:t>
    </w:r>
    <w:r w:rsidR="00174936">
      <w:rPr>
        <w:bCs/>
        <w:sz w:val="20"/>
      </w:rPr>
      <w:t>21</w:t>
    </w:r>
  </w:p>
  <w:p w14:paraId="7E519226" w14:textId="77777777" w:rsidR="001134AA" w:rsidRDefault="001134A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4747859"/>
    <w:multiLevelType w:val="hybridMultilevel"/>
    <w:tmpl w:val="7B447E6A"/>
    <w:lvl w:ilvl="0" w:tplc="DC5686D4">
      <w:start w:val="26"/>
      <w:numFmt w:val="decimal"/>
      <w:lvlText w:val="%1."/>
      <w:lvlJc w:val="left"/>
      <w:pPr>
        <w:tabs>
          <w:tab w:val="num" w:pos="1966"/>
        </w:tabs>
        <w:ind w:left="1966" w:hanging="72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12D49"/>
    <w:multiLevelType w:val="hybridMultilevel"/>
    <w:tmpl w:val="1F7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11"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5" w15:restartNumberingAfterBreak="0">
    <w:nsid w:val="21365ADD"/>
    <w:multiLevelType w:val="multilevel"/>
    <w:tmpl w:val="454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84349"/>
    <w:multiLevelType w:val="hybridMultilevel"/>
    <w:tmpl w:val="1F0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9"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77DFC"/>
    <w:multiLevelType w:val="hybridMultilevel"/>
    <w:tmpl w:val="1DF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228FC"/>
    <w:multiLevelType w:val="hybridMultilevel"/>
    <w:tmpl w:val="D98C4A16"/>
    <w:lvl w:ilvl="0" w:tplc="5CEAF6FC">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901AD"/>
    <w:multiLevelType w:val="hybridMultilevel"/>
    <w:tmpl w:val="EC647D08"/>
    <w:lvl w:ilvl="0" w:tplc="F0EC3D9A">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36"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8" w15:restartNumberingAfterBreak="0">
    <w:nsid w:val="60956CE8"/>
    <w:multiLevelType w:val="hybridMultilevel"/>
    <w:tmpl w:val="D0142326"/>
    <w:lvl w:ilvl="0" w:tplc="52BE93BA">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41"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5F26D6"/>
    <w:multiLevelType w:val="hybridMultilevel"/>
    <w:tmpl w:val="349002CA"/>
    <w:lvl w:ilvl="0" w:tplc="FA24D34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47"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9" w15:restartNumberingAfterBreak="0">
    <w:nsid w:val="73C05E26"/>
    <w:multiLevelType w:val="hybridMultilevel"/>
    <w:tmpl w:val="425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4"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43"/>
  </w:num>
  <w:num w:numId="3">
    <w:abstractNumId w:val="39"/>
  </w:num>
  <w:num w:numId="4">
    <w:abstractNumId w:val="30"/>
  </w:num>
  <w:num w:numId="5">
    <w:abstractNumId w:val="31"/>
  </w:num>
  <w:num w:numId="6">
    <w:abstractNumId w:val="21"/>
  </w:num>
  <w:num w:numId="7">
    <w:abstractNumId w:val="14"/>
  </w:num>
  <w:num w:numId="8">
    <w:abstractNumId w:val="27"/>
  </w:num>
  <w:num w:numId="9">
    <w:abstractNumId w:val="37"/>
  </w:num>
  <w:num w:numId="10">
    <w:abstractNumId w:val="40"/>
  </w:num>
  <w:num w:numId="11">
    <w:abstractNumId w:val="4"/>
  </w:num>
  <w:num w:numId="12">
    <w:abstractNumId w:val="34"/>
  </w:num>
  <w:num w:numId="13">
    <w:abstractNumId w:val="42"/>
  </w:num>
  <w:num w:numId="14">
    <w:abstractNumId w:val="0"/>
  </w:num>
  <w:num w:numId="15">
    <w:abstractNumId w:val="7"/>
  </w:num>
  <w:num w:numId="16">
    <w:abstractNumId w:val="48"/>
  </w:num>
  <w:num w:numId="17">
    <w:abstractNumId w:val="5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8"/>
  </w:num>
  <w:num w:numId="20">
    <w:abstractNumId w:val="5"/>
  </w:num>
  <w:num w:numId="21">
    <w:abstractNumId w:val="1"/>
  </w:num>
  <w:num w:numId="22">
    <w:abstractNumId w:val="52"/>
  </w:num>
  <w:num w:numId="23">
    <w:abstractNumId w:val="1"/>
  </w:num>
  <w:num w:numId="24">
    <w:abstractNumId w:val="13"/>
  </w:num>
  <w:num w:numId="25">
    <w:abstractNumId w:val="17"/>
  </w:num>
  <w:num w:numId="26">
    <w:abstractNumId w:val="35"/>
  </w:num>
  <w:num w:numId="27">
    <w:abstractNumId w:val="10"/>
  </w:num>
  <w:num w:numId="28">
    <w:abstractNumId w:val="47"/>
  </w:num>
  <w:num w:numId="29">
    <w:abstractNumId w:val="44"/>
  </w:num>
  <w:num w:numId="30">
    <w:abstractNumId w:val="8"/>
  </w:num>
  <w:num w:numId="31">
    <w:abstractNumId w:val="46"/>
  </w:num>
  <w:num w:numId="32">
    <w:abstractNumId w:val="6"/>
  </w:num>
  <w:num w:numId="33">
    <w:abstractNumId w:val="19"/>
  </w:num>
  <w:num w:numId="34">
    <w:abstractNumId w:val="26"/>
  </w:num>
  <w:num w:numId="35">
    <w:abstractNumId w:val="33"/>
  </w:num>
  <w:num w:numId="36">
    <w:abstractNumId w:val="11"/>
  </w:num>
  <w:num w:numId="37">
    <w:abstractNumId w:val="25"/>
  </w:num>
  <w:num w:numId="38">
    <w:abstractNumId w:val="41"/>
  </w:num>
  <w:num w:numId="39">
    <w:abstractNumId w:val="45"/>
  </w:num>
  <w:num w:numId="40">
    <w:abstractNumId w:val="51"/>
  </w:num>
  <w:num w:numId="41">
    <w:abstractNumId w:val="12"/>
  </w:num>
  <w:num w:numId="42">
    <w:abstractNumId w:val="36"/>
  </w:num>
  <w:num w:numId="43">
    <w:abstractNumId w:val="28"/>
  </w:num>
  <w:num w:numId="44">
    <w:abstractNumId w:val="54"/>
  </w:num>
  <w:num w:numId="45">
    <w:abstractNumId w:val="15"/>
  </w:num>
  <w:num w:numId="46">
    <w:abstractNumId w:val="32"/>
  </w:num>
  <w:num w:numId="47">
    <w:abstractNumId w:val="16"/>
  </w:num>
  <w:num w:numId="48">
    <w:abstractNumId w:val="23"/>
  </w:num>
  <w:num w:numId="49">
    <w:abstractNumId w:val="20"/>
  </w:num>
  <w:num w:numId="50">
    <w:abstractNumId w:val="50"/>
  </w:num>
  <w:num w:numId="51">
    <w:abstractNumId w:val="49"/>
  </w:num>
  <w:num w:numId="52">
    <w:abstractNumId w:val="38"/>
  </w:num>
  <w:num w:numId="53">
    <w:abstractNumId w:val="9"/>
  </w:num>
  <w:num w:numId="54">
    <w:abstractNumId w:val="29"/>
  </w:num>
  <w:num w:numId="55">
    <w:abstractNumId w:val="3"/>
  </w:num>
  <w:num w:numId="56">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nn, Julie">
    <w15:presenceInfo w15:providerId="AD" w15:userId="S::JGann@naic.org::9ba70051-07f8-4722-b0f2-caced7dbf8fd"/>
  </w15:person>
  <w15:person w15:author="Gann, Julie [2]">
    <w15:presenceInfo w15:providerId="AD" w15:userId="S-1-5-21-49292855-651051260-1849977318-8770"/>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1BB"/>
    <w:rsid w:val="00004652"/>
    <w:rsid w:val="000147F2"/>
    <w:rsid w:val="00016321"/>
    <w:rsid w:val="000214A5"/>
    <w:rsid w:val="00034B2F"/>
    <w:rsid w:val="00036673"/>
    <w:rsid w:val="00037798"/>
    <w:rsid w:val="00046725"/>
    <w:rsid w:val="000579B6"/>
    <w:rsid w:val="00062300"/>
    <w:rsid w:val="00063608"/>
    <w:rsid w:val="00067DC4"/>
    <w:rsid w:val="00080F14"/>
    <w:rsid w:val="0008335B"/>
    <w:rsid w:val="00091380"/>
    <w:rsid w:val="000967FA"/>
    <w:rsid w:val="000A5E93"/>
    <w:rsid w:val="000C23A0"/>
    <w:rsid w:val="000D6AE8"/>
    <w:rsid w:val="000E1131"/>
    <w:rsid w:val="000E16CA"/>
    <w:rsid w:val="000E753C"/>
    <w:rsid w:val="0010648A"/>
    <w:rsid w:val="001134AA"/>
    <w:rsid w:val="001158CA"/>
    <w:rsid w:val="00116B7C"/>
    <w:rsid w:val="001248B2"/>
    <w:rsid w:val="00133830"/>
    <w:rsid w:val="0013539B"/>
    <w:rsid w:val="00137EDF"/>
    <w:rsid w:val="00141F6F"/>
    <w:rsid w:val="00155981"/>
    <w:rsid w:val="00174936"/>
    <w:rsid w:val="00184144"/>
    <w:rsid w:val="00185624"/>
    <w:rsid w:val="00190EBE"/>
    <w:rsid w:val="00191BCC"/>
    <w:rsid w:val="0019505A"/>
    <w:rsid w:val="00196D6E"/>
    <w:rsid w:val="001A690D"/>
    <w:rsid w:val="001B3138"/>
    <w:rsid w:val="001D3582"/>
    <w:rsid w:val="001D4E9F"/>
    <w:rsid w:val="001F30E6"/>
    <w:rsid w:val="001F3CF4"/>
    <w:rsid w:val="001F46EB"/>
    <w:rsid w:val="001F5DD4"/>
    <w:rsid w:val="00203FF7"/>
    <w:rsid w:val="002046F5"/>
    <w:rsid w:val="00216387"/>
    <w:rsid w:val="002475E5"/>
    <w:rsid w:val="00261273"/>
    <w:rsid w:val="0029251A"/>
    <w:rsid w:val="002A1316"/>
    <w:rsid w:val="002A44FE"/>
    <w:rsid w:val="002B6EEF"/>
    <w:rsid w:val="002D70E6"/>
    <w:rsid w:val="002D748A"/>
    <w:rsid w:val="002F6FF9"/>
    <w:rsid w:val="003000A4"/>
    <w:rsid w:val="00304CEC"/>
    <w:rsid w:val="0031446A"/>
    <w:rsid w:val="003148E8"/>
    <w:rsid w:val="003245DC"/>
    <w:rsid w:val="00325660"/>
    <w:rsid w:val="003325E9"/>
    <w:rsid w:val="00333FC0"/>
    <w:rsid w:val="00336EE2"/>
    <w:rsid w:val="003415C3"/>
    <w:rsid w:val="0034544B"/>
    <w:rsid w:val="003512E0"/>
    <w:rsid w:val="00351709"/>
    <w:rsid w:val="0035609F"/>
    <w:rsid w:val="00357190"/>
    <w:rsid w:val="0039600A"/>
    <w:rsid w:val="00397332"/>
    <w:rsid w:val="003B12DE"/>
    <w:rsid w:val="0040093D"/>
    <w:rsid w:val="00403407"/>
    <w:rsid w:val="00404A87"/>
    <w:rsid w:val="00406A63"/>
    <w:rsid w:val="00433AC1"/>
    <w:rsid w:val="00434970"/>
    <w:rsid w:val="00435DAC"/>
    <w:rsid w:val="0044022E"/>
    <w:rsid w:val="00446244"/>
    <w:rsid w:val="004516AB"/>
    <w:rsid w:val="00452842"/>
    <w:rsid w:val="00456B29"/>
    <w:rsid w:val="004829CD"/>
    <w:rsid w:val="0048485B"/>
    <w:rsid w:val="0048680B"/>
    <w:rsid w:val="00490996"/>
    <w:rsid w:val="0049537F"/>
    <w:rsid w:val="004953BB"/>
    <w:rsid w:val="0049733D"/>
    <w:rsid w:val="004A166E"/>
    <w:rsid w:val="004B51B6"/>
    <w:rsid w:val="004D4855"/>
    <w:rsid w:val="004D630B"/>
    <w:rsid w:val="004E2BB9"/>
    <w:rsid w:val="004E3B7D"/>
    <w:rsid w:val="0050481E"/>
    <w:rsid w:val="0052433D"/>
    <w:rsid w:val="00535852"/>
    <w:rsid w:val="00537B38"/>
    <w:rsid w:val="00546AE8"/>
    <w:rsid w:val="00550D3F"/>
    <w:rsid w:val="00557628"/>
    <w:rsid w:val="00562444"/>
    <w:rsid w:val="00563DA0"/>
    <w:rsid w:val="00577D61"/>
    <w:rsid w:val="005A259E"/>
    <w:rsid w:val="005B4126"/>
    <w:rsid w:val="005C01A5"/>
    <w:rsid w:val="005E15E0"/>
    <w:rsid w:val="005E3595"/>
    <w:rsid w:val="00602A01"/>
    <w:rsid w:val="006169B1"/>
    <w:rsid w:val="00624E04"/>
    <w:rsid w:val="00626152"/>
    <w:rsid w:val="00626EC0"/>
    <w:rsid w:val="00630368"/>
    <w:rsid w:val="00634598"/>
    <w:rsid w:val="00637C40"/>
    <w:rsid w:val="00641BBA"/>
    <w:rsid w:val="00647A3B"/>
    <w:rsid w:val="00652122"/>
    <w:rsid w:val="00654938"/>
    <w:rsid w:val="006562CE"/>
    <w:rsid w:val="00676A9F"/>
    <w:rsid w:val="00682C66"/>
    <w:rsid w:val="00690138"/>
    <w:rsid w:val="006B37DD"/>
    <w:rsid w:val="006C78E6"/>
    <w:rsid w:val="006D2084"/>
    <w:rsid w:val="006D3A59"/>
    <w:rsid w:val="0070193D"/>
    <w:rsid w:val="00706B68"/>
    <w:rsid w:val="00715743"/>
    <w:rsid w:val="007163EE"/>
    <w:rsid w:val="00722983"/>
    <w:rsid w:val="0072525D"/>
    <w:rsid w:val="007306B9"/>
    <w:rsid w:val="007310DE"/>
    <w:rsid w:val="00736C10"/>
    <w:rsid w:val="00744132"/>
    <w:rsid w:val="00756AE3"/>
    <w:rsid w:val="007574AB"/>
    <w:rsid w:val="00761440"/>
    <w:rsid w:val="00774EEB"/>
    <w:rsid w:val="007767B8"/>
    <w:rsid w:val="007774AA"/>
    <w:rsid w:val="007914E0"/>
    <w:rsid w:val="00793372"/>
    <w:rsid w:val="00794B81"/>
    <w:rsid w:val="00795898"/>
    <w:rsid w:val="007A288E"/>
    <w:rsid w:val="007B3D80"/>
    <w:rsid w:val="007B4554"/>
    <w:rsid w:val="007D4B58"/>
    <w:rsid w:val="007F1389"/>
    <w:rsid w:val="007F344C"/>
    <w:rsid w:val="00806F49"/>
    <w:rsid w:val="0083146B"/>
    <w:rsid w:val="00847E74"/>
    <w:rsid w:val="00873BE2"/>
    <w:rsid w:val="008758B4"/>
    <w:rsid w:val="008869A6"/>
    <w:rsid w:val="008A1C57"/>
    <w:rsid w:val="008B07D2"/>
    <w:rsid w:val="008C3A60"/>
    <w:rsid w:val="008C59AA"/>
    <w:rsid w:val="008E49AF"/>
    <w:rsid w:val="008F02BE"/>
    <w:rsid w:val="009167C8"/>
    <w:rsid w:val="0092196B"/>
    <w:rsid w:val="00923846"/>
    <w:rsid w:val="00923F9F"/>
    <w:rsid w:val="009249B4"/>
    <w:rsid w:val="009340C7"/>
    <w:rsid w:val="0094765E"/>
    <w:rsid w:val="00957780"/>
    <w:rsid w:val="00970275"/>
    <w:rsid w:val="00972A11"/>
    <w:rsid w:val="00980638"/>
    <w:rsid w:val="00984FA6"/>
    <w:rsid w:val="0098632A"/>
    <w:rsid w:val="009A5A72"/>
    <w:rsid w:val="009B20EB"/>
    <w:rsid w:val="009C0D26"/>
    <w:rsid w:val="009C702B"/>
    <w:rsid w:val="009D2055"/>
    <w:rsid w:val="009E20BE"/>
    <w:rsid w:val="009E21F5"/>
    <w:rsid w:val="009E4AA8"/>
    <w:rsid w:val="009F15E9"/>
    <w:rsid w:val="009F7B0B"/>
    <w:rsid w:val="00A11581"/>
    <w:rsid w:val="00A14863"/>
    <w:rsid w:val="00A202AF"/>
    <w:rsid w:val="00A3157F"/>
    <w:rsid w:val="00A5554D"/>
    <w:rsid w:val="00A67F7D"/>
    <w:rsid w:val="00A82C39"/>
    <w:rsid w:val="00A92C59"/>
    <w:rsid w:val="00A95C0C"/>
    <w:rsid w:val="00AA1DC0"/>
    <w:rsid w:val="00AA6691"/>
    <w:rsid w:val="00AC14AF"/>
    <w:rsid w:val="00AC1530"/>
    <w:rsid w:val="00AD10DA"/>
    <w:rsid w:val="00AD3620"/>
    <w:rsid w:val="00AE6149"/>
    <w:rsid w:val="00AE74CF"/>
    <w:rsid w:val="00AF5CB9"/>
    <w:rsid w:val="00B00587"/>
    <w:rsid w:val="00B10C19"/>
    <w:rsid w:val="00B22D74"/>
    <w:rsid w:val="00B26B13"/>
    <w:rsid w:val="00B30CA0"/>
    <w:rsid w:val="00B476CD"/>
    <w:rsid w:val="00B568F3"/>
    <w:rsid w:val="00B75F98"/>
    <w:rsid w:val="00B76C7E"/>
    <w:rsid w:val="00BA09E0"/>
    <w:rsid w:val="00BA6757"/>
    <w:rsid w:val="00BB5939"/>
    <w:rsid w:val="00BC6EBA"/>
    <w:rsid w:val="00BD1803"/>
    <w:rsid w:val="00C04FA0"/>
    <w:rsid w:val="00C051DB"/>
    <w:rsid w:val="00C119DE"/>
    <w:rsid w:val="00C26B71"/>
    <w:rsid w:val="00C314BC"/>
    <w:rsid w:val="00C348EB"/>
    <w:rsid w:val="00C3494A"/>
    <w:rsid w:val="00C3566A"/>
    <w:rsid w:val="00C37CE5"/>
    <w:rsid w:val="00C54799"/>
    <w:rsid w:val="00C6544D"/>
    <w:rsid w:val="00C869B8"/>
    <w:rsid w:val="00C9066D"/>
    <w:rsid w:val="00CA39BF"/>
    <w:rsid w:val="00CB7CFA"/>
    <w:rsid w:val="00CC1345"/>
    <w:rsid w:val="00CC1B33"/>
    <w:rsid w:val="00CC3EFA"/>
    <w:rsid w:val="00CC53AA"/>
    <w:rsid w:val="00CE3B76"/>
    <w:rsid w:val="00CF0DE6"/>
    <w:rsid w:val="00CF3750"/>
    <w:rsid w:val="00CF65B7"/>
    <w:rsid w:val="00D206E5"/>
    <w:rsid w:val="00D21513"/>
    <w:rsid w:val="00D30CE1"/>
    <w:rsid w:val="00D35218"/>
    <w:rsid w:val="00D44601"/>
    <w:rsid w:val="00D506C4"/>
    <w:rsid w:val="00D74616"/>
    <w:rsid w:val="00D924B0"/>
    <w:rsid w:val="00D95095"/>
    <w:rsid w:val="00DA1C46"/>
    <w:rsid w:val="00DC071A"/>
    <w:rsid w:val="00DC3001"/>
    <w:rsid w:val="00DD2E0E"/>
    <w:rsid w:val="00DD7DB4"/>
    <w:rsid w:val="00DE0152"/>
    <w:rsid w:val="00DE64F1"/>
    <w:rsid w:val="00E077F0"/>
    <w:rsid w:val="00E118A5"/>
    <w:rsid w:val="00E136A0"/>
    <w:rsid w:val="00E2462E"/>
    <w:rsid w:val="00E30ACC"/>
    <w:rsid w:val="00E55BC4"/>
    <w:rsid w:val="00E63CD7"/>
    <w:rsid w:val="00E63FBF"/>
    <w:rsid w:val="00E82C59"/>
    <w:rsid w:val="00E8499C"/>
    <w:rsid w:val="00E90A65"/>
    <w:rsid w:val="00EA2736"/>
    <w:rsid w:val="00EA4E7C"/>
    <w:rsid w:val="00EA727B"/>
    <w:rsid w:val="00EC15C1"/>
    <w:rsid w:val="00EC3A96"/>
    <w:rsid w:val="00EC61F1"/>
    <w:rsid w:val="00ED463C"/>
    <w:rsid w:val="00EE341F"/>
    <w:rsid w:val="00EF6D5C"/>
    <w:rsid w:val="00EF720B"/>
    <w:rsid w:val="00F02BF7"/>
    <w:rsid w:val="00F04F9A"/>
    <w:rsid w:val="00F05F13"/>
    <w:rsid w:val="00F079EF"/>
    <w:rsid w:val="00F141BD"/>
    <w:rsid w:val="00F179AD"/>
    <w:rsid w:val="00F217DB"/>
    <w:rsid w:val="00F262CB"/>
    <w:rsid w:val="00F31E34"/>
    <w:rsid w:val="00F36D97"/>
    <w:rsid w:val="00F45D51"/>
    <w:rsid w:val="00F70746"/>
    <w:rsid w:val="00F723F1"/>
    <w:rsid w:val="00F858B9"/>
    <w:rsid w:val="00F92C57"/>
    <w:rsid w:val="00F9634B"/>
    <w:rsid w:val="00FA1843"/>
    <w:rsid w:val="00FA6D64"/>
    <w:rsid w:val="00FA7081"/>
    <w:rsid w:val="00FD162E"/>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59EA474C"/>
  <w15:docId w15:val="{37B92AC7-4A2C-415E-BB33-0AC968A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362008">
      <w:bodyDiv w:val="1"/>
      <w:marLeft w:val="0"/>
      <w:marRight w:val="0"/>
      <w:marTop w:val="0"/>
      <w:marBottom w:val="0"/>
      <w:divBdr>
        <w:top w:val="none" w:sz="0" w:space="0" w:color="auto"/>
        <w:left w:val="none" w:sz="0" w:space="0" w:color="auto"/>
        <w:bottom w:val="none" w:sz="0" w:space="0" w:color="auto"/>
        <w:right w:val="none" w:sz="0" w:space="0" w:color="auto"/>
      </w:divBdr>
    </w:div>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uritiz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llateralized_debt_oblig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Hedge_fund" TargetMode="External"/><Relationship Id="rId4" Type="http://schemas.openxmlformats.org/officeDocument/2006/relationships/settings" Target="settings.xml"/><Relationship Id="rId9" Type="http://schemas.openxmlformats.org/officeDocument/2006/relationships/hyperlink" Target="https://en.wikipedia.org/wiki/Private_equity_fu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6229-B4B1-4B91-82FF-1B559082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3068</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2</cp:revision>
  <cp:lastPrinted>2019-06-07T16:49:00Z</cp:lastPrinted>
  <dcterms:created xsi:type="dcterms:W3CDTF">2020-10-14T15:03:00Z</dcterms:created>
  <dcterms:modified xsi:type="dcterms:W3CDTF">2020-10-14T15:03:00Z</dcterms:modified>
</cp:coreProperties>
</file>