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4A980597" w:rsidR="002A1316" w:rsidRPr="00016321" w:rsidRDefault="002A1316" w:rsidP="006C78E6">
      <w:pPr>
        <w:pStyle w:val="Heading2"/>
        <w:rPr>
          <w:sz w:val="22"/>
          <w:szCs w:val="22"/>
        </w:rPr>
      </w:pPr>
      <w:r w:rsidRPr="00016321">
        <w:rPr>
          <w:b/>
          <w:sz w:val="22"/>
          <w:szCs w:val="22"/>
        </w:rPr>
        <w:t>Issue:</w:t>
      </w:r>
      <w:r w:rsidR="00EC61F1" w:rsidRPr="00016321">
        <w:rPr>
          <w:b/>
          <w:sz w:val="22"/>
          <w:szCs w:val="22"/>
        </w:rPr>
        <w:t xml:space="preserve"> </w:t>
      </w:r>
      <w:bookmarkStart w:id="0" w:name="_Hlk3796705"/>
      <w:r w:rsidR="006C78E6" w:rsidRPr="006C78E6">
        <w:rPr>
          <w:i/>
          <w:sz w:val="22"/>
          <w:szCs w:val="22"/>
        </w:rPr>
        <w:t>ASU 2019-0</w:t>
      </w:r>
      <w:r w:rsidR="00870B84">
        <w:rPr>
          <w:i/>
          <w:sz w:val="22"/>
          <w:szCs w:val="22"/>
        </w:rPr>
        <w:t>3</w:t>
      </w:r>
      <w:r w:rsidR="006C78E6" w:rsidRPr="006C78E6">
        <w:rPr>
          <w:i/>
          <w:sz w:val="22"/>
          <w:szCs w:val="22"/>
        </w:rPr>
        <w:t xml:space="preserve">, </w:t>
      </w:r>
      <w:r w:rsidR="00870B84">
        <w:rPr>
          <w:i/>
          <w:sz w:val="22"/>
          <w:szCs w:val="22"/>
        </w:rPr>
        <w:t>Updating the Definition of Collections</w:t>
      </w:r>
      <w:bookmarkEnd w:id="0"/>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1" w:name="Check1"/>
      <w:r w:rsidRPr="00016321">
        <w:rPr>
          <w:sz w:val="22"/>
          <w:szCs w:val="22"/>
        </w:rPr>
        <w:instrText xml:space="preserve"> FORMCHECKBOX </w:instrText>
      </w:r>
      <w:r w:rsidR="0099608D">
        <w:rPr>
          <w:sz w:val="22"/>
          <w:szCs w:val="22"/>
        </w:rPr>
      </w:r>
      <w:r w:rsidR="0099608D">
        <w:rPr>
          <w:sz w:val="22"/>
          <w:szCs w:val="22"/>
        </w:rPr>
        <w:fldChar w:fldCharType="separate"/>
      </w:r>
      <w:r w:rsidRPr="00016321">
        <w:rPr>
          <w:sz w:val="22"/>
          <w:szCs w:val="22"/>
        </w:rPr>
        <w:fldChar w:fldCharType="end"/>
      </w:r>
      <w:bookmarkEnd w:id="1"/>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99608D">
        <w:rPr>
          <w:sz w:val="22"/>
          <w:szCs w:val="22"/>
        </w:rPr>
      </w:r>
      <w:r w:rsidR="0099608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99608D">
        <w:rPr>
          <w:sz w:val="22"/>
          <w:szCs w:val="22"/>
        </w:rPr>
      </w:r>
      <w:r w:rsidR="0099608D">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9608D">
        <w:rPr>
          <w:sz w:val="22"/>
          <w:szCs w:val="22"/>
        </w:rPr>
      </w:r>
      <w:r w:rsidR="0099608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9608D">
        <w:rPr>
          <w:sz w:val="22"/>
          <w:szCs w:val="22"/>
        </w:rPr>
      </w:r>
      <w:r w:rsidR="0099608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9608D">
        <w:rPr>
          <w:sz w:val="22"/>
          <w:szCs w:val="22"/>
        </w:rPr>
      </w:r>
      <w:r w:rsidR="0099608D">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9608D">
        <w:rPr>
          <w:sz w:val="22"/>
          <w:szCs w:val="22"/>
        </w:rPr>
      </w:r>
      <w:r w:rsidR="0099608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9608D">
        <w:rPr>
          <w:sz w:val="22"/>
          <w:szCs w:val="22"/>
        </w:rPr>
      </w:r>
      <w:r w:rsidR="0099608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9608D">
        <w:rPr>
          <w:sz w:val="22"/>
          <w:szCs w:val="22"/>
        </w:rPr>
      </w:r>
      <w:r w:rsidR="0099608D">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311EB42A" w14:textId="77777777" w:rsidR="00142B77" w:rsidRDefault="002A1316" w:rsidP="00433AC1">
      <w:pPr>
        <w:pStyle w:val="BodyText2"/>
        <w:rPr>
          <w:bCs w:val="0"/>
          <w:szCs w:val="22"/>
        </w:rPr>
      </w:pPr>
      <w:r w:rsidRPr="00016321">
        <w:rPr>
          <w:bCs w:val="0"/>
          <w:szCs w:val="22"/>
        </w:rPr>
        <w:t>Description of Issue:</w:t>
      </w:r>
    </w:p>
    <w:p w14:paraId="74DA2C6F" w14:textId="0A9EAA27" w:rsidR="00F51B43" w:rsidRDefault="00B03013" w:rsidP="00433AC1">
      <w:pPr>
        <w:pStyle w:val="BodyText2"/>
        <w:rPr>
          <w:b w:val="0"/>
          <w:bCs w:val="0"/>
          <w:szCs w:val="22"/>
        </w:rPr>
      </w:pPr>
      <w:r>
        <w:rPr>
          <w:b w:val="0"/>
          <w:bCs w:val="0"/>
          <w:szCs w:val="22"/>
        </w:rPr>
        <w:t>T</w:t>
      </w:r>
      <w:r w:rsidRPr="00B03013">
        <w:rPr>
          <w:b w:val="0"/>
          <w:bCs w:val="0"/>
          <w:szCs w:val="22"/>
        </w:rPr>
        <w:t xml:space="preserve">he </w:t>
      </w:r>
      <w:r w:rsidR="00B2330A" w:rsidRPr="00B2330A">
        <w:rPr>
          <w:b w:val="0"/>
          <w:bCs w:val="0"/>
          <w:szCs w:val="22"/>
        </w:rPr>
        <w:t xml:space="preserve">term </w:t>
      </w:r>
      <w:r w:rsidR="00D563A2">
        <w:rPr>
          <w:b w:val="0"/>
          <w:bCs w:val="0"/>
          <w:szCs w:val="22"/>
        </w:rPr>
        <w:t>“</w:t>
      </w:r>
      <w:r w:rsidR="00B2330A" w:rsidRPr="00B2330A">
        <w:rPr>
          <w:b w:val="0"/>
          <w:bCs w:val="0"/>
          <w:szCs w:val="22"/>
        </w:rPr>
        <w:t>collections</w:t>
      </w:r>
      <w:r w:rsidR="00D563A2">
        <w:rPr>
          <w:b w:val="0"/>
          <w:bCs w:val="0"/>
          <w:szCs w:val="22"/>
        </w:rPr>
        <w:t>”</w:t>
      </w:r>
      <w:r w:rsidR="00B2330A" w:rsidRPr="00B2330A">
        <w:rPr>
          <w:b w:val="0"/>
          <w:bCs w:val="0"/>
          <w:szCs w:val="22"/>
        </w:rPr>
        <w:t xml:space="preserve"> in the Master Glossary of the FASB Accounting Standards Codificatio</w:t>
      </w:r>
      <w:r w:rsidR="00B2330A">
        <w:rPr>
          <w:b w:val="0"/>
          <w:bCs w:val="0"/>
          <w:szCs w:val="22"/>
        </w:rPr>
        <w:t xml:space="preserve">n </w:t>
      </w:r>
      <w:r w:rsidR="00B2330A" w:rsidRPr="00B2330A">
        <w:rPr>
          <w:b w:val="0"/>
          <w:bCs w:val="0"/>
          <w:szCs w:val="22"/>
        </w:rPr>
        <w:t>is not fully aligned with the definition used in the American Alliance of Museums’ (AAM) Code of Ethics for Museums</w:t>
      </w:r>
      <w:r w:rsidR="00B2330A">
        <w:rPr>
          <w:b w:val="0"/>
          <w:bCs w:val="0"/>
          <w:szCs w:val="22"/>
        </w:rPr>
        <w:t>.</w:t>
      </w:r>
      <w:r w:rsidR="00B2330A" w:rsidRPr="00B2330A">
        <w:rPr>
          <w:b w:val="0"/>
          <w:bCs w:val="0"/>
          <w:szCs w:val="22"/>
        </w:rPr>
        <w:t xml:space="preserve"> </w:t>
      </w:r>
      <w:r w:rsidR="00F51B43">
        <w:rPr>
          <w:b w:val="0"/>
          <w:bCs w:val="0"/>
          <w:szCs w:val="22"/>
        </w:rPr>
        <w:t xml:space="preserve">Collections are to be defined as works of art, historical treasures, or similar assets that meet certain criteria: 1) held for public exhibition / education / research; 2) are protected, cared for, and preserved; 3) are subject to the organization’s policy that requires the use of proceeds from the sale of </w:t>
      </w:r>
      <w:r w:rsidR="00837C7F">
        <w:rPr>
          <w:b w:val="0"/>
          <w:bCs w:val="0"/>
          <w:szCs w:val="22"/>
        </w:rPr>
        <w:t>such</w:t>
      </w:r>
      <w:r w:rsidR="00F51B43">
        <w:rPr>
          <w:b w:val="0"/>
          <w:bCs w:val="0"/>
          <w:szCs w:val="22"/>
        </w:rPr>
        <w:t xml:space="preserve"> items be used to acquire new collection items, the direct care of existing collections, or both.</w:t>
      </w:r>
    </w:p>
    <w:p w14:paraId="7ED3A8B8" w14:textId="77777777" w:rsidR="00F51B43" w:rsidRDefault="00F51B43" w:rsidP="00433AC1">
      <w:pPr>
        <w:pStyle w:val="BodyText2"/>
        <w:rPr>
          <w:b w:val="0"/>
          <w:bCs w:val="0"/>
          <w:szCs w:val="22"/>
        </w:rPr>
      </w:pPr>
    </w:p>
    <w:p w14:paraId="7280BB41" w14:textId="4F48C8B8" w:rsidR="006C78E6" w:rsidRPr="00F51B43" w:rsidRDefault="00B2330A" w:rsidP="00433AC1">
      <w:pPr>
        <w:pStyle w:val="BodyText2"/>
        <w:rPr>
          <w:b w:val="0"/>
          <w:bCs w:val="0"/>
          <w:szCs w:val="22"/>
        </w:rPr>
      </w:pPr>
      <w:r w:rsidRPr="00B2330A">
        <w:rPr>
          <w:b w:val="0"/>
          <w:bCs w:val="0"/>
          <w:szCs w:val="22"/>
        </w:rPr>
        <w:t>The</w:t>
      </w:r>
      <w:r>
        <w:rPr>
          <w:b w:val="0"/>
          <w:bCs w:val="0"/>
          <w:szCs w:val="22"/>
        </w:rPr>
        <w:t xml:space="preserve"> AAM</w:t>
      </w:r>
      <w:r w:rsidRPr="00B2330A">
        <w:rPr>
          <w:b w:val="0"/>
          <w:bCs w:val="0"/>
          <w:szCs w:val="22"/>
        </w:rPr>
        <w:t xml:space="preserve"> definition used, which served as the basis for the guidance on collections in FASB Statement No. 116, Accounting for Contributions Received and Contributions Made, was revised by the AAM after the issuance of Statement 116. The FASB is issuing this </w:t>
      </w:r>
      <w:r>
        <w:rPr>
          <w:b w:val="0"/>
          <w:bCs w:val="0"/>
          <w:szCs w:val="22"/>
        </w:rPr>
        <w:t>u</w:t>
      </w:r>
      <w:r w:rsidRPr="00B2330A">
        <w:rPr>
          <w:b w:val="0"/>
          <w:bCs w:val="0"/>
          <w:szCs w:val="22"/>
        </w:rPr>
        <w:t xml:space="preserve">pdate to improve the definition of collections in the Master Glossary by realigning it with the definition </w:t>
      </w:r>
      <w:r w:rsidR="002867F7">
        <w:rPr>
          <w:b w:val="0"/>
          <w:bCs w:val="0"/>
          <w:szCs w:val="22"/>
        </w:rPr>
        <w:t>used by the AAM</w:t>
      </w:r>
      <w:r w:rsidRPr="00B2330A">
        <w:rPr>
          <w:b w:val="0"/>
          <w:bCs w:val="0"/>
          <w:szCs w:val="22"/>
        </w:rPr>
        <w:t>.</w:t>
      </w:r>
      <w:r w:rsidR="00AE2105">
        <w:rPr>
          <w:b w:val="0"/>
          <w:bCs w:val="0"/>
          <w:szCs w:val="22"/>
        </w:rPr>
        <w:t xml:space="preserve"> </w:t>
      </w:r>
      <w:r w:rsidR="00751409" w:rsidRPr="00751409">
        <w:rPr>
          <w:b w:val="0"/>
          <w:bCs w:val="0"/>
          <w:szCs w:val="22"/>
        </w:rPr>
        <w:t>The FASB also is making a technical correction in Topic 360, Property, Plant, and Equipment, to clarify that the accounting and disclosure guidance for collections in Subtopic 958-360, Not-for-Profit Entities—Property, Plant, and Equipment</w:t>
      </w:r>
      <w:r w:rsidR="00751409">
        <w:rPr>
          <w:b w:val="0"/>
          <w:bCs w:val="0"/>
          <w:szCs w:val="22"/>
        </w:rPr>
        <w:t>.</w:t>
      </w:r>
    </w:p>
    <w:p w14:paraId="040C7183" w14:textId="77777777" w:rsidR="00435DAC" w:rsidRPr="00016321" w:rsidRDefault="00435DAC" w:rsidP="00A92C59">
      <w:pPr>
        <w:pStyle w:val="BodyText2"/>
        <w:rPr>
          <w:b w:val="0"/>
          <w:szCs w:val="22"/>
        </w:rPr>
      </w:pPr>
    </w:p>
    <w:p w14:paraId="6C6B67AF" w14:textId="183BD2FF" w:rsidR="002A1316" w:rsidRDefault="002A1316" w:rsidP="00B30CA0">
      <w:pPr>
        <w:pStyle w:val="BodyText2"/>
        <w:rPr>
          <w:bCs w:val="0"/>
          <w:szCs w:val="22"/>
        </w:rPr>
      </w:pPr>
      <w:r w:rsidRPr="00016321">
        <w:rPr>
          <w:bCs w:val="0"/>
          <w:szCs w:val="22"/>
        </w:rPr>
        <w:t>Existing Authoritative Literature:</w:t>
      </w:r>
    </w:p>
    <w:p w14:paraId="4A1A46FE" w14:textId="4CBEBC0A" w:rsidR="00433AC1" w:rsidRPr="00433AC1" w:rsidRDefault="00433AC1" w:rsidP="00B30CA0">
      <w:pPr>
        <w:pStyle w:val="BodyText2"/>
        <w:rPr>
          <w:b w:val="0"/>
          <w:bCs w:val="0"/>
          <w:szCs w:val="22"/>
        </w:rPr>
      </w:pPr>
      <w:r w:rsidRPr="00433AC1">
        <w:rPr>
          <w:b w:val="0"/>
          <w:bCs w:val="0"/>
          <w:szCs w:val="22"/>
        </w:rPr>
        <w:t xml:space="preserve">There is no current SAP guidance for </w:t>
      </w:r>
      <w:r w:rsidR="00B03013">
        <w:rPr>
          <w:b w:val="0"/>
          <w:bCs w:val="0"/>
          <w:szCs w:val="22"/>
        </w:rPr>
        <w:t>business entities that maintain collections</w:t>
      </w:r>
      <w:r w:rsidRPr="00433AC1">
        <w:rPr>
          <w:b w:val="0"/>
          <w:bCs w:val="0"/>
          <w:szCs w:val="22"/>
        </w:rPr>
        <w:t>. U.S. GAAP guidance for</w:t>
      </w:r>
      <w:r w:rsidR="00B03013">
        <w:rPr>
          <w:b w:val="0"/>
          <w:bCs w:val="0"/>
          <w:szCs w:val="22"/>
        </w:rPr>
        <w:t xml:space="preserve"> collections, primarily an issue for certain not-for-profit entities</w:t>
      </w:r>
      <w:r w:rsidR="00AE2105">
        <w:rPr>
          <w:b w:val="0"/>
          <w:bCs w:val="0"/>
          <w:szCs w:val="22"/>
        </w:rPr>
        <w:t>,</w:t>
      </w:r>
      <w:r w:rsidRPr="00433AC1">
        <w:rPr>
          <w:b w:val="0"/>
          <w:bCs w:val="0"/>
          <w:szCs w:val="22"/>
        </w:rPr>
        <w:t xml:space="preserve"> is included in </w:t>
      </w:r>
      <w:r w:rsidR="00B03013">
        <w:rPr>
          <w:b w:val="0"/>
          <w:bCs w:val="0"/>
          <w:szCs w:val="22"/>
        </w:rPr>
        <w:t>Topic 958</w:t>
      </w:r>
      <w:r w:rsidRPr="00433AC1">
        <w:rPr>
          <w:b w:val="0"/>
          <w:bCs w:val="0"/>
          <w:szCs w:val="22"/>
        </w:rPr>
        <w:t>.</w:t>
      </w:r>
    </w:p>
    <w:p w14:paraId="6F758E25" w14:textId="77777777" w:rsidR="004E2BB9" w:rsidRPr="00016321" w:rsidRDefault="004E2BB9" w:rsidP="00B30CA0">
      <w:pPr>
        <w:pStyle w:val="BodyText2"/>
        <w:rPr>
          <w:b w:val="0"/>
          <w:bCs w:val="0"/>
          <w:szCs w:val="22"/>
        </w:rPr>
      </w:pP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38E08ED2" w14:textId="021FB0F4" w:rsidR="002A1316" w:rsidRPr="00016321" w:rsidRDefault="002A1316" w:rsidP="00B30CA0">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6D2084">
        <w:rPr>
          <w:b/>
          <w:sz w:val="22"/>
          <w:szCs w:val="22"/>
        </w:rPr>
        <w:t xml:space="preserve"> </w:t>
      </w:r>
      <w:r w:rsidR="00FE7FAA"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47DC6C4B" w:rsidR="00490996" w:rsidRDefault="00490996" w:rsidP="00490996">
      <w:pPr>
        <w:pStyle w:val="Default"/>
        <w:rPr>
          <w:b/>
          <w:sz w:val="22"/>
          <w:szCs w:val="22"/>
        </w:rPr>
      </w:pPr>
      <w:r w:rsidRPr="00016321">
        <w:rPr>
          <w:b/>
          <w:sz w:val="22"/>
          <w:szCs w:val="22"/>
        </w:rPr>
        <w:t>Convergence with International Financial Reporting Standards (IFRS):</w:t>
      </w:r>
    </w:p>
    <w:p w14:paraId="6E33476E" w14:textId="4889CDFE" w:rsidR="00433AC1" w:rsidRPr="00116B7C" w:rsidRDefault="00116B7C" w:rsidP="00116B7C">
      <w:pPr>
        <w:pStyle w:val="Default"/>
        <w:jc w:val="both"/>
        <w:rPr>
          <w:sz w:val="22"/>
          <w:szCs w:val="22"/>
        </w:rPr>
      </w:pPr>
      <w:r w:rsidRPr="00116B7C">
        <w:rPr>
          <w:sz w:val="22"/>
          <w:szCs w:val="22"/>
        </w:rPr>
        <w:t xml:space="preserve">IFRS standards do not provide industry guidance </w:t>
      </w:r>
      <w:r w:rsidR="00152220">
        <w:rPr>
          <w:sz w:val="22"/>
          <w:szCs w:val="22"/>
        </w:rPr>
        <w:t>for entities that maintain collections.</w:t>
      </w:r>
    </w:p>
    <w:p w14:paraId="45ED1F04" w14:textId="77777777" w:rsidR="006B37DD" w:rsidRPr="00116B7C" w:rsidRDefault="006B37DD" w:rsidP="00490996">
      <w:pPr>
        <w:pStyle w:val="BodyText2"/>
        <w:rPr>
          <w:b w:val="0"/>
          <w:bCs w:val="0"/>
          <w:szCs w:val="22"/>
        </w:rPr>
      </w:pPr>
    </w:p>
    <w:p w14:paraId="659EAECD" w14:textId="77777777" w:rsidR="00025F57" w:rsidRDefault="00E63CD7" w:rsidP="00E63CD7">
      <w:pPr>
        <w:pStyle w:val="BodyText2"/>
        <w:rPr>
          <w:szCs w:val="22"/>
        </w:rPr>
      </w:pPr>
      <w:r w:rsidRPr="00016321">
        <w:rPr>
          <w:szCs w:val="22"/>
        </w:rPr>
        <w:t>Staff Recommendation:</w:t>
      </w:r>
      <w:r>
        <w:rPr>
          <w:szCs w:val="22"/>
        </w:rPr>
        <w:t xml:space="preserve"> </w:t>
      </w:r>
    </w:p>
    <w:p w14:paraId="5CC8F4F8" w14:textId="0A61D114" w:rsidR="00E63CD7" w:rsidRPr="005B30A3" w:rsidRDefault="00E63CD7" w:rsidP="00E63CD7">
      <w:pPr>
        <w:pStyle w:val="BodyText2"/>
        <w:rPr>
          <w:szCs w:val="22"/>
        </w:rPr>
      </w:pPr>
      <w:r w:rsidRPr="0057672E">
        <w:rPr>
          <w:szCs w:val="22"/>
        </w:rPr>
        <w:t xml:space="preserve">NAIC </w:t>
      </w:r>
      <w:r w:rsidRPr="005459BE">
        <w:rPr>
          <w:szCs w:val="22"/>
        </w:rPr>
        <w:t>s</w:t>
      </w:r>
      <w:r w:rsidRPr="00016321">
        <w:rPr>
          <w:szCs w:val="22"/>
        </w:rPr>
        <w:t xml:space="preserve">taff recommends that the Working Group move this item to the active listing, categorized as </w:t>
      </w:r>
      <w:r w:rsidRPr="00EB2672">
        <w:rPr>
          <w:szCs w:val="22"/>
        </w:rPr>
        <w:t>nonsubstantive</w:t>
      </w:r>
      <w:r>
        <w:rPr>
          <w:szCs w:val="22"/>
        </w:rPr>
        <w:t>,</w:t>
      </w:r>
      <w:r w:rsidRPr="00EB2672">
        <w:rPr>
          <w:szCs w:val="22"/>
        </w:rPr>
        <w:t xml:space="preserve"> and</w:t>
      </w:r>
      <w:r w:rsidRPr="00016321">
        <w:rPr>
          <w:szCs w:val="22"/>
        </w:rPr>
        <w:t xml:space="preserve"> expose revisions to </w:t>
      </w:r>
      <w:r w:rsidRPr="0015742F">
        <w:rPr>
          <w:i/>
          <w:szCs w:val="22"/>
        </w:rPr>
        <w:t>Appendix D—Nonapplicable GAAP Pronouncements</w:t>
      </w:r>
      <w:r w:rsidRPr="0015742F">
        <w:rPr>
          <w:szCs w:val="22"/>
        </w:rPr>
        <w:t xml:space="preserve"> to </w:t>
      </w:r>
      <w:r w:rsidRPr="005B30A3">
        <w:rPr>
          <w:szCs w:val="22"/>
        </w:rPr>
        <w:t xml:space="preserve">reject </w:t>
      </w:r>
      <w:bookmarkStart w:id="2" w:name="_Hlk5695663"/>
      <w:r w:rsidR="00116B7C" w:rsidRPr="00116B7C">
        <w:rPr>
          <w:bCs w:val="0"/>
          <w:i/>
          <w:szCs w:val="22"/>
        </w:rPr>
        <w:t>ASU 2019-0</w:t>
      </w:r>
      <w:r w:rsidR="009315FD">
        <w:rPr>
          <w:bCs w:val="0"/>
          <w:i/>
          <w:szCs w:val="22"/>
        </w:rPr>
        <w:t>3</w:t>
      </w:r>
      <w:r w:rsidR="00116B7C" w:rsidRPr="00116B7C">
        <w:rPr>
          <w:bCs w:val="0"/>
          <w:i/>
          <w:szCs w:val="22"/>
        </w:rPr>
        <w:t xml:space="preserve">, </w:t>
      </w:r>
      <w:r w:rsidR="009315FD">
        <w:rPr>
          <w:bCs w:val="0"/>
          <w:i/>
          <w:szCs w:val="22"/>
        </w:rPr>
        <w:t>Updating the Definition of Collections</w:t>
      </w:r>
      <w:bookmarkEnd w:id="2"/>
      <w:r w:rsidR="009315FD">
        <w:rPr>
          <w:bCs w:val="0"/>
          <w:i/>
          <w:szCs w:val="22"/>
        </w:rPr>
        <w:t xml:space="preserve"> </w:t>
      </w:r>
      <w:r w:rsidRPr="005B30A3">
        <w:rPr>
          <w:szCs w:val="22"/>
        </w:rPr>
        <w:t>as not applicable to statutory accounting.</w:t>
      </w:r>
    </w:p>
    <w:p w14:paraId="246AB280" w14:textId="77777777" w:rsidR="00E63CD7" w:rsidRDefault="00E63CD7" w:rsidP="00E63CD7">
      <w:pPr>
        <w:pStyle w:val="BodyText2"/>
        <w:rPr>
          <w:szCs w:val="22"/>
        </w:rPr>
      </w:pPr>
    </w:p>
    <w:p w14:paraId="2C4E9B43" w14:textId="4C545981" w:rsidR="00E63CD7" w:rsidRPr="00016321" w:rsidRDefault="00E63CD7" w:rsidP="00E63CD7">
      <w:pPr>
        <w:pStyle w:val="BodyText2"/>
        <w:rPr>
          <w:szCs w:val="22"/>
        </w:rPr>
      </w:pPr>
      <w:r>
        <w:rPr>
          <w:b w:val="0"/>
          <w:bCs w:val="0"/>
          <w:szCs w:val="22"/>
        </w:rPr>
        <w:t xml:space="preserve">This item is proposed to be rejected as not applicable as ASU </w:t>
      </w:r>
      <w:r w:rsidR="00116B7C">
        <w:rPr>
          <w:b w:val="0"/>
          <w:bCs w:val="0"/>
          <w:szCs w:val="22"/>
        </w:rPr>
        <w:t>2019-0</w:t>
      </w:r>
      <w:r w:rsidR="009315FD">
        <w:rPr>
          <w:b w:val="0"/>
          <w:bCs w:val="0"/>
          <w:szCs w:val="22"/>
        </w:rPr>
        <w:t>3</w:t>
      </w:r>
      <w:r>
        <w:rPr>
          <w:b w:val="0"/>
          <w:bCs w:val="0"/>
          <w:szCs w:val="22"/>
        </w:rPr>
        <w:t xml:space="preserve"> </w:t>
      </w:r>
      <w:r w:rsidR="00116B7C">
        <w:rPr>
          <w:b w:val="0"/>
          <w:bCs w:val="0"/>
          <w:szCs w:val="22"/>
        </w:rPr>
        <w:t>provides specific guidance</w:t>
      </w:r>
      <w:r w:rsidR="00152220">
        <w:rPr>
          <w:b w:val="0"/>
          <w:bCs w:val="0"/>
          <w:szCs w:val="22"/>
        </w:rPr>
        <w:t>, primarily for certain not-for-profit entities that maintain collections,</w:t>
      </w:r>
      <w:r w:rsidR="00116B7C">
        <w:rPr>
          <w:b w:val="0"/>
          <w:bCs w:val="0"/>
          <w:szCs w:val="22"/>
        </w:rPr>
        <w:t xml:space="preserve"> which is </w:t>
      </w:r>
      <w:r>
        <w:rPr>
          <w:b w:val="0"/>
          <w:bCs w:val="0"/>
          <w:szCs w:val="22"/>
        </w:rPr>
        <w:t>not applicable for statutory accounting purposes.</w:t>
      </w:r>
    </w:p>
    <w:p w14:paraId="5EA72D1C" w14:textId="77777777" w:rsidR="00E63CD7" w:rsidRPr="00016321" w:rsidRDefault="00E63CD7" w:rsidP="00E63CD7">
      <w:pPr>
        <w:pStyle w:val="BodyText2"/>
        <w:rPr>
          <w:b w:val="0"/>
          <w:bCs w:val="0"/>
          <w:szCs w:val="22"/>
        </w:rPr>
      </w:pPr>
    </w:p>
    <w:p w14:paraId="7D7AE2A1" w14:textId="77777777" w:rsidR="00025F57" w:rsidRDefault="00E63CD7" w:rsidP="001158CA">
      <w:pPr>
        <w:pStyle w:val="BodyText2"/>
        <w:tabs>
          <w:tab w:val="left" w:pos="7025"/>
        </w:tabs>
        <w:rPr>
          <w:szCs w:val="22"/>
        </w:rPr>
      </w:pPr>
      <w:r w:rsidRPr="00016321">
        <w:rPr>
          <w:szCs w:val="22"/>
        </w:rPr>
        <w:t xml:space="preserve">Staff Review Completed </w:t>
      </w:r>
      <w:proofErr w:type="gramStart"/>
      <w:r w:rsidRPr="00016321">
        <w:rPr>
          <w:szCs w:val="22"/>
        </w:rPr>
        <w:t>by:</w:t>
      </w:r>
      <w:proofErr w:type="gramEnd"/>
      <w:r>
        <w:rPr>
          <w:szCs w:val="22"/>
        </w:rPr>
        <w:t xml:space="preserve"> </w:t>
      </w:r>
      <w:r w:rsidR="00870B84">
        <w:rPr>
          <w:szCs w:val="22"/>
        </w:rPr>
        <w:t>Jim Pinegar</w:t>
      </w:r>
      <w:r>
        <w:rPr>
          <w:szCs w:val="22"/>
        </w:rPr>
        <w:t xml:space="preserve"> – </w:t>
      </w:r>
      <w:r w:rsidR="00870B84">
        <w:rPr>
          <w:szCs w:val="22"/>
        </w:rPr>
        <w:t>June</w:t>
      </w:r>
      <w:r w:rsidR="00116B7C">
        <w:rPr>
          <w:szCs w:val="22"/>
        </w:rPr>
        <w:t xml:space="preserve"> 2019</w:t>
      </w:r>
      <w:r w:rsidR="001158CA">
        <w:rPr>
          <w:szCs w:val="22"/>
        </w:rPr>
        <w:tab/>
      </w:r>
      <w:r w:rsidR="00025F57">
        <w:rPr>
          <w:szCs w:val="22"/>
        </w:rPr>
        <w:t xml:space="preserve"> </w:t>
      </w:r>
    </w:p>
    <w:p w14:paraId="73A3860C" w14:textId="43FAAA2A" w:rsidR="00CC6E36" w:rsidRDefault="00CC6E36" w:rsidP="001158CA">
      <w:pPr>
        <w:pStyle w:val="BodyText2"/>
        <w:tabs>
          <w:tab w:val="left" w:pos="7025"/>
        </w:tabs>
        <w:rPr>
          <w:szCs w:val="22"/>
        </w:rPr>
      </w:pPr>
    </w:p>
    <w:p w14:paraId="025EE3A7" w14:textId="0D5041B5" w:rsidR="00594B6E" w:rsidRDefault="00594B6E" w:rsidP="001158CA">
      <w:pPr>
        <w:pStyle w:val="BodyText2"/>
        <w:tabs>
          <w:tab w:val="left" w:pos="7025"/>
        </w:tabs>
        <w:rPr>
          <w:szCs w:val="22"/>
        </w:rPr>
      </w:pPr>
    </w:p>
    <w:p w14:paraId="5AF56D89" w14:textId="1477F4C2" w:rsidR="00594B6E" w:rsidRDefault="00594B6E" w:rsidP="001158CA">
      <w:pPr>
        <w:pStyle w:val="BodyText2"/>
        <w:tabs>
          <w:tab w:val="left" w:pos="7025"/>
        </w:tabs>
        <w:rPr>
          <w:szCs w:val="22"/>
        </w:rPr>
      </w:pPr>
    </w:p>
    <w:p w14:paraId="58F5726B" w14:textId="77777777" w:rsidR="00594B6E" w:rsidRDefault="00594B6E" w:rsidP="001158CA">
      <w:pPr>
        <w:pStyle w:val="BodyText2"/>
        <w:tabs>
          <w:tab w:val="left" w:pos="7025"/>
        </w:tabs>
        <w:rPr>
          <w:szCs w:val="22"/>
        </w:rPr>
      </w:pPr>
    </w:p>
    <w:p w14:paraId="21B5513F" w14:textId="77777777" w:rsidR="00594B6E" w:rsidRDefault="00025F57" w:rsidP="00025F57">
      <w:pPr>
        <w:pStyle w:val="BodyText2"/>
        <w:rPr>
          <w:szCs w:val="22"/>
        </w:rPr>
      </w:pPr>
      <w:r>
        <w:rPr>
          <w:szCs w:val="22"/>
        </w:rPr>
        <w:lastRenderedPageBreak/>
        <w:t xml:space="preserve">Status: </w:t>
      </w:r>
    </w:p>
    <w:p w14:paraId="54E9DAE4" w14:textId="14EB4B52" w:rsidR="00025F57" w:rsidRPr="00025F57" w:rsidRDefault="00025F57" w:rsidP="00025F57">
      <w:pPr>
        <w:pStyle w:val="BodyText2"/>
        <w:rPr>
          <w:b w:val="0"/>
          <w:bCs w:val="0"/>
          <w:szCs w:val="22"/>
        </w:rPr>
      </w:pPr>
      <w:r>
        <w:rPr>
          <w:b w:val="0"/>
          <w:bCs w:val="0"/>
          <w:szCs w:val="22"/>
        </w:rPr>
        <w:t xml:space="preserve">On August 3, 2019, the Statutory Accounting Principles (E) Working Group moved this agenda item to the active listing, categorized as nonsubstantive, and exposed revisions to </w:t>
      </w:r>
      <w:r w:rsidRPr="00025F57">
        <w:rPr>
          <w:b w:val="0"/>
          <w:bCs w:val="0"/>
          <w:i/>
          <w:szCs w:val="22"/>
        </w:rPr>
        <w:t>Appendix D—Nonapplicable GAAP Pronouncements</w:t>
      </w:r>
      <w:r w:rsidRPr="00025F57">
        <w:rPr>
          <w:b w:val="0"/>
          <w:bCs w:val="0"/>
          <w:szCs w:val="22"/>
        </w:rPr>
        <w:t xml:space="preserve"> to reject </w:t>
      </w:r>
      <w:r w:rsidRPr="00025F57">
        <w:rPr>
          <w:b w:val="0"/>
          <w:bCs w:val="0"/>
          <w:i/>
          <w:szCs w:val="22"/>
        </w:rPr>
        <w:t xml:space="preserve">ASU 2019-03, Updating the Definition of Collections </w:t>
      </w:r>
      <w:r w:rsidRPr="00025F57">
        <w:rPr>
          <w:b w:val="0"/>
          <w:bCs w:val="0"/>
          <w:szCs w:val="22"/>
        </w:rPr>
        <w:t>as not applicable to statutory accounting.</w:t>
      </w:r>
    </w:p>
    <w:p w14:paraId="368247AC" w14:textId="5CAC5F89" w:rsidR="00870B84" w:rsidRPr="00025F57" w:rsidRDefault="00870B84" w:rsidP="00025F57">
      <w:pPr>
        <w:pStyle w:val="BodyText2"/>
        <w:tabs>
          <w:tab w:val="left" w:pos="7025"/>
        </w:tabs>
        <w:rPr>
          <w:b w:val="0"/>
          <w:bCs w:val="0"/>
          <w:szCs w:val="22"/>
        </w:rPr>
      </w:pPr>
    </w:p>
    <w:p w14:paraId="25392B1B" w14:textId="77777777" w:rsidR="004D137A" w:rsidRDefault="004D137A" w:rsidP="00116B7C">
      <w:pPr>
        <w:rPr>
          <w:sz w:val="16"/>
          <w:szCs w:val="16"/>
        </w:rPr>
      </w:pPr>
    </w:p>
    <w:p w14:paraId="279620D3" w14:textId="77777777" w:rsidR="00870B84" w:rsidRDefault="00870B84" w:rsidP="00116B7C">
      <w:pPr>
        <w:rPr>
          <w:sz w:val="16"/>
          <w:szCs w:val="16"/>
        </w:rPr>
      </w:pPr>
    </w:p>
    <w:p w14:paraId="556BD7C7" w14:textId="1950DB40" w:rsidR="00AA1DC0"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99608D">
        <w:rPr>
          <w:noProof/>
          <w:sz w:val="16"/>
          <w:szCs w:val="16"/>
        </w:rPr>
        <w:t>G:\FRS\DATA\Stat Acctg\3. National Meetings\A. National Meeting Materials\2019\Summer\NM Exposures\19-30 - ASU 2019-03 - Not for Profit Entities (definition of collections).docx</w:t>
      </w:r>
      <w:r w:rsidRPr="000579B6">
        <w:rPr>
          <w:sz w:val="16"/>
          <w:szCs w:val="16"/>
        </w:rPr>
        <w:fldChar w:fldCharType="end"/>
      </w:r>
      <w:bookmarkStart w:id="3" w:name="_GoBack"/>
      <w:bookmarkEnd w:id="3"/>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025F57" w:rsidRDefault="00025F57">
      <w:r>
        <w:separator/>
      </w:r>
    </w:p>
  </w:endnote>
  <w:endnote w:type="continuationSeparator" w:id="0">
    <w:p w14:paraId="7A4CE54C" w14:textId="77777777" w:rsidR="00025F57" w:rsidRDefault="0002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025F57" w:rsidRDefault="00025F57">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025F57" w:rsidRDefault="00025F57"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025F57" w:rsidRDefault="00025F57">
      <w:r>
        <w:separator/>
      </w:r>
    </w:p>
  </w:footnote>
  <w:footnote w:type="continuationSeparator" w:id="0">
    <w:p w14:paraId="1BD68B07" w14:textId="77777777" w:rsidR="00025F57" w:rsidRDefault="00025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00D2" w14:textId="77777777" w:rsidR="00025F57" w:rsidRPr="00F04F9A" w:rsidRDefault="00025F57" w:rsidP="0012799A">
    <w:pPr>
      <w:pStyle w:val="Header"/>
      <w:jc w:val="right"/>
      <w:rPr>
        <w:bCs/>
        <w:sz w:val="20"/>
      </w:rPr>
    </w:pPr>
    <w:r w:rsidRPr="00F04F9A">
      <w:rPr>
        <w:bCs/>
        <w:sz w:val="20"/>
      </w:rPr>
      <w:t>Ref #201</w:t>
    </w:r>
    <w:r>
      <w:rPr>
        <w:bCs/>
        <w:sz w:val="20"/>
      </w:rPr>
      <w:t>9</w:t>
    </w:r>
    <w:r w:rsidRPr="00F04F9A">
      <w:rPr>
        <w:bCs/>
        <w:sz w:val="20"/>
      </w:rPr>
      <w:t>-</w:t>
    </w:r>
    <w:r>
      <w:rPr>
        <w:bCs/>
        <w:sz w:val="20"/>
      </w:rPr>
      <w:t>30</w:t>
    </w:r>
  </w:p>
  <w:p w14:paraId="12DAC63B" w14:textId="77777777" w:rsidR="00025F57" w:rsidRDefault="00025F5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022" w14:textId="23A3246B" w:rsidR="00025F57" w:rsidRPr="00F04F9A" w:rsidRDefault="00025F57" w:rsidP="00AE74CF">
    <w:pPr>
      <w:pStyle w:val="Header"/>
      <w:jc w:val="right"/>
      <w:rPr>
        <w:bCs/>
        <w:sz w:val="20"/>
      </w:rPr>
    </w:pPr>
    <w:r w:rsidRPr="00F04F9A">
      <w:rPr>
        <w:bCs/>
        <w:sz w:val="20"/>
      </w:rPr>
      <w:t>Ref #201</w:t>
    </w:r>
    <w:r>
      <w:rPr>
        <w:bCs/>
        <w:sz w:val="20"/>
      </w:rPr>
      <w:t>9</w:t>
    </w:r>
    <w:r w:rsidRPr="00F04F9A">
      <w:rPr>
        <w:bCs/>
        <w:sz w:val="20"/>
      </w:rPr>
      <w:t>-</w:t>
    </w:r>
    <w:r>
      <w:rPr>
        <w:bCs/>
        <w:sz w:val="20"/>
      </w:rPr>
      <w:t>30</w:t>
    </w:r>
  </w:p>
  <w:p w14:paraId="7E519226" w14:textId="77777777" w:rsidR="00025F57" w:rsidRDefault="00025F57"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8"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0"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17"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19"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2"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3"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1"/>
  </w:num>
  <w:num w:numId="2">
    <w:abstractNumId w:val="20"/>
  </w:num>
  <w:num w:numId="3">
    <w:abstractNumId w:val="17"/>
  </w:num>
  <w:num w:numId="4">
    <w:abstractNumId w:val="13"/>
  </w:num>
  <w:num w:numId="5">
    <w:abstractNumId w:val="14"/>
  </w:num>
  <w:num w:numId="6">
    <w:abstractNumId w:val="10"/>
  </w:num>
  <w:num w:numId="7">
    <w:abstractNumId w:val="7"/>
  </w:num>
  <w:num w:numId="8">
    <w:abstractNumId w:val="12"/>
  </w:num>
  <w:num w:numId="9">
    <w:abstractNumId w:val="16"/>
  </w:num>
  <w:num w:numId="10">
    <w:abstractNumId w:val="18"/>
  </w:num>
  <w:num w:numId="11">
    <w:abstractNumId w:val="3"/>
  </w:num>
  <w:num w:numId="12">
    <w:abstractNumId w:val="15"/>
  </w:num>
  <w:num w:numId="13">
    <w:abstractNumId w:val="19"/>
  </w:num>
  <w:num w:numId="14">
    <w:abstractNumId w:val="0"/>
  </w:num>
  <w:num w:numId="15">
    <w:abstractNumId w:val="5"/>
  </w:num>
  <w:num w:numId="16">
    <w:abstractNumId w:val="21"/>
  </w:num>
  <w:num w:numId="17">
    <w:abstractNumId w:val="23"/>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9"/>
  </w:num>
  <w:num w:numId="20">
    <w:abstractNumId w:val="4"/>
  </w:num>
  <w:num w:numId="21">
    <w:abstractNumId w:val="1"/>
  </w:num>
  <w:num w:numId="22">
    <w:abstractNumId w:val="22"/>
  </w:num>
  <w:num w:numId="23">
    <w:abstractNumId w:val="1"/>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25F57"/>
    <w:rsid w:val="00034B2F"/>
    <w:rsid w:val="00037798"/>
    <w:rsid w:val="000579B6"/>
    <w:rsid w:val="00062300"/>
    <w:rsid w:val="00091380"/>
    <w:rsid w:val="000967FA"/>
    <w:rsid w:val="000A5712"/>
    <w:rsid w:val="000D6AE8"/>
    <w:rsid w:val="000E1131"/>
    <w:rsid w:val="000E16CA"/>
    <w:rsid w:val="001158CA"/>
    <w:rsid w:val="00116B7C"/>
    <w:rsid w:val="0012799A"/>
    <w:rsid w:val="00133830"/>
    <w:rsid w:val="0013539B"/>
    <w:rsid w:val="00141F6F"/>
    <w:rsid w:val="00142B77"/>
    <w:rsid w:val="00152220"/>
    <w:rsid w:val="00184144"/>
    <w:rsid w:val="0019505A"/>
    <w:rsid w:val="001B3138"/>
    <w:rsid w:val="001F3CF4"/>
    <w:rsid w:val="001F46EB"/>
    <w:rsid w:val="00203FF7"/>
    <w:rsid w:val="002046F5"/>
    <w:rsid w:val="00261273"/>
    <w:rsid w:val="002867F7"/>
    <w:rsid w:val="002A1316"/>
    <w:rsid w:val="002A44FE"/>
    <w:rsid w:val="002D70E6"/>
    <w:rsid w:val="002F6FF9"/>
    <w:rsid w:val="00304CEC"/>
    <w:rsid w:val="003148E8"/>
    <w:rsid w:val="00325660"/>
    <w:rsid w:val="003325E9"/>
    <w:rsid w:val="00333FC0"/>
    <w:rsid w:val="003415C3"/>
    <w:rsid w:val="0034544B"/>
    <w:rsid w:val="0035609F"/>
    <w:rsid w:val="00357190"/>
    <w:rsid w:val="0039600A"/>
    <w:rsid w:val="003B12DE"/>
    <w:rsid w:val="0040093D"/>
    <w:rsid w:val="00433AC1"/>
    <w:rsid w:val="00434970"/>
    <w:rsid w:val="00435DAC"/>
    <w:rsid w:val="0044022E"/>
    <w:rsid w:val="00446244"/>
    <w:rsid w:val="004516AB"/>
    <w:rsid w:val="00452842"/>
    <w:rsid w:val="004829CD"/>
    <w:rsid w:val="0048680B"/>
    <w:rsid w:val="00490996"/>
    <w:rsid w:val="004953BB"/>
    <w:rsid w:val="0049733D"/>
    <w:rsid w:val="004A166E"/>
    <w:rsid w:val="004B51B6"/>
    <w:rsid w:val="004D137A"/>
    <w:rsid w:val="004D4855"/>
    <w:rsid w:val="004E2BB9"/>
    <w:rsid w:val="004E3B7D"/>
    <w:rsid w:val="00562444"/>
    <w:rsid w:val="00594B6E"/>
    <w:rsid w:val="005A259E"/>
    <w:rsid w:val="005E15E0"/>
    <w:rsid w:val="00624E04"/>
    <w:rsid w:val="00626152"/>
    <w:rsid w:val="00626EC0"/>
    <w:rsid w:val="00630368"/>
    <w:rsid w:val="00634598"/>
    <w:rsid w:val="00637C40"/>
    <w:rsid w:val="00650629"/>
    <w:rsid w:val="00654938"/>
    <w:rsid w:val="00676A9F"/>
    <w:rsid w:val="00690138"/>
    <w:rsid w:val="006B37DD"/>
    <w:rsid w:val="006C78E6"/>
    <w:rsid w:val="006D2084"/>
    <w:rsid w:val="006D3A59"/>
    <w:rsid w:val="00706B68"/>
    <w:rsid w:val="00715743"/>
    <w:rsid w:val="0072525D"/>
    <w:rsid w:val="007306B9"/>
    <w:rsid w:val="00751409"/>
    <w:rsid w:val="0075619C"/>
    <w:rsid w:val="00756AE3"/>
    <w:rsid w:val="007574AB"/>
    <w:rsid w:val="00761440"/>
    <w:rsid w:val="007653AD"/>
    <w:rsid w:val="00774EEB"/>
    <w:rsid w:val="007767B8"/>
    <w:rsid w:val="007774AA"/>
    <w:rsid w:val="00794B81"/>
    <w:rsid w:val="00795898"/>
    <w:rsid w:val="007B4554"/>
    <w:rsid w:val="007F1389"/>
    <w:rsid w:val="007F344C"/>
    <w:rsid w:val="00837C7F"/>
    <w:rsid w:val="00870B84"/>
    <w:rsid w:val="008758B4"/>
    <w:rsid w:val="008869A6"/>
    <w:rsid w:val="008C3A60"/>
    <w:rsid w:val="008C59AA"/>
    <w:rsid w:val="0092196B"/>
    <w:rsid w:val="009249B4"/>
    <w:rsid w:val="009315FD"/>
    <w:rsid w:val="00957780"/>
    <w:rsid w:val="00972A11"/>
    <w:rsid w:val="00980638"/>
    <w:rsid w:val="00984FA6"/>
    <w:rsid w:val="0098632A"/>
    <w:rsid w:val="0099608D"/>
    <w:rsid w:val="009B20EB"/>
    <w:rsid w:val="009C702B"/>
    <w:rsid w:val="00A11581"/>
    <w:rsid w:val="00A202AF"/>
    <w:rsid w:val="00A82C39"/>
    <w:rsid w:val="00A92C59"/>
    <w:rsid w:val="00AA1DC0"/>
    <w:rsid w:val="00AA6691"/>
    <w:rsid w:val="00AC14AF"/>
    <w:rsid w:val="00AE2105"/>
    <w:rsid w:val="00AE6149"/>
    <w:rsid w:val="00AE74CF"/>
    <w:rsid w:val="00B03013"/>
    <w:rsid w:val="00B10C19"/>
    <w:rsid w:val="00B2330A"/>
    <w:rsid w:val="00B30CA0"/>
    <w:rsid w:val="00BB5939"/>
    <w:rsid w:val="00C04FA0"/>
    <w:rsid w:val="00C051DB"/>
    <w:rsid w:val="00C26B71"/>
    <w:rsid w:val="00C6544D"/>
    <w:rsid w:val="00C869B8"/>
    <w:rsid w:val="00C9066D"/>
    <w:rsid w:val="00CA39BF"/>
    <w:rsid w:val="00CB7CFA"/>
    <w:rsid w:val="00CC3EFA"/>
    <w:rsid w:val="00CC53AA"/>
    <w:rsid w:val="00CC6E36"/>
    <w:rsid w:val="00CE3B76"/>
    <w:rsid w:val="00CF3750"/>
    <w:rsid w:val="00D15744"/>
    <w:rsid w:val="00D21513"/>
    <w:rsid w:val="00D506C4"/>
    <w:rsid w:val="00D563A2"/>
    <w:rsid w:val="00D924B0"/>
    <w:rsid w:val="00D95095"/>
    <w:rsid w:val="00DA1C46"/>
    <w:rsid w:val="00DC071A"/>
    <w:rsid w:val="00E077F0"/>
    <w:rsid w:val="00E136A0"/>
    <w:rsid w:val="00E2462E"/>
    <w:rsid w:val="00E30ACC"/>
    <w:rsid w:val="00E63CD7"/>
    <w:rsid w:val="00E90A65"/>
    <w:rsid w:val="00EA2736"/>
    <w:rsid w:val="00EC15C1"/>
    <w:rsid w:val="00EC61F1"/>
    <w:rsid w:val="00EE64C3"/>
    <w:rsid w:val="00EF720B"/>
    <w:rsid w:val="00F04F9A"/>
    <w:rsid w:val="00F05F13"/>
    <w:rsid w:val="00F179AD"/>
    <w:rsid w:val="00F36D97"/>
    <w:rsid w:val="00F45D51"/>
    <w:rsid w:val="00F51B43"/>
    <w:rsid w:val="00F723F1"/>
    <w:rsid w:val="00F858B9"/>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037798"/>
    <w:rPr>
      <w:rFonts w:ascii="Segoe UI" w:hAnsi="Segoe UI" w:cs="Segoe UI"/>
      <w:sz w:val="18"/>
      <w:szCs w:val="18"/>
    </w:rPr>
  </w:style>
  <w:style w:type="character" w:customStyle="1" w:styleId="BalloonTextChar">
    <w:name w:val="Balloon Text Char"/>
    <w:basedOn w:val="DefaultParagraphFont"/>
    <w:link w:val="BalloonText"/>
    <w:semiHidden/>
    <w:rsid w:val="00037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14C4F-2F6A-4B51-AA96-B3AC68CD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217284FD</Template>
  <TotalTime>54</TotalTime>
  <Pages>2</Pages>
  <Words>489</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15</cp:revision>
  <cp:lastPrinted>2019-06-12T20:26:00Z</cp:lastPrinted>
  <dcterms:created xsi:type="dcterms:W3CDTF">2019-06-12T20:10:00Z</dcterms:created>
  <dcterms:modified xsi:type="dcterms:W3CDTF">2019-08-06T18:50:00Z</dcterms:modified>
</cp:coreProperties>
</file>