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5BC9F20" w14:textId="323787A8" w:rsidR="00E97134" w:rsidRPr="00016321" w:rsidRDefault="002A1316" w:rsidP="00E97134">
      <w:pPr>
        <w:pStyle w:val="Heading2"/>
        <w:rPr>
          <w:sz w:val="22"/>
          <w:szCs w:val="22"/>
        </w:rPr>
      </w:pPr>
      <w:r w:rsidRPr="00016321">
        <w:rPr>
          <w:b/>
          <w:sz w:val="22"/>
          <w:szCs w:val="22"/>
        </w:rPr>
        <w:t>Issue:</w:t>
      </w:r>
      <w:r w:rsidR="00EC61F1" w:rsidRPr="00016321">
        <w:rPr>
          <w:b/>
          <w:sz w:val="22"/>
          <w:szCs w:val="22"/>
        </w:rPr>
        <w:t xml:space="preserve"> </w:t>
      </w:r>
      <w:bookmarkStart w:id="0" w:name="_Hlk3796705"/>
      <w:r w:rsidR="00E97134" w:rsidRPr="006C78E6">
        <w:rPr>
          <w:i/>
          <w:sz w:val="22"/>
          <w:szCs w:val="22"/>
        </w:rPr>
        <w:t>ASU 201</w:t>
      </w:r>
      <w:r w:rsidR="00E97134">
        <w:rPr>
          <w:i/>
          <w:sz w:val="22"/>
          <w:szCs w:val="22"/>
        </w:rPr>
        <w:t>6</w:t>
      </w:r>
      <w:r w:rsidR="00E97134" w:rsidRPr="006C78E6">
        <w:rPr>
          <w:i/>
          <w:sz w:val="22"/>
          <w:szCs w:val="22"/>
        </w:rPr>
        <w:t>-</w:t>
      </w:r>
      <w:r w:rsidR="00E97134">
        <w:rPr>
          <w:i/>
          <w:sz w:val="22"/>
          <w:szCs w:val="22"/>
        </w:rPr>
        <w:t>14</w:t>
      </w:r>
      <w:r w:rsidR="00E97134" w:rsidRPr="006C78E6">
        <w:rPr>
          <w:i/>
          <w:sz w:val="22"/>
          <w:szCs w:val="22"/>
        </w:rPr>
        <w:t xml:space="preserve">, </w:t>
      </w:r>
      <w:r w:rsidR="00E97134">
        <w:rPr>
          <w:i/>
          <w:sz w:val="22"/>
          <w:szCs w:val="22"/>
        </w:rPr>
        <w:t>Presentation of Financial Statements of Not-for-Profit Entities</w:t>
      </w:r>
      <w:bookmarkEnd w:id="0"/>
      <w:r w:rsidR="0035124D">
        <w:rPr>
          <w:i/>
          <w:sz w:val="22"/>
          <w:szCs w:val="22"/>
        </w:rPr>
        <w:t xml:space="preserve"> </w:t>
      </w:r>
    </w:p>
    <w:p w14:paraId="10F0B4B2" w14:textId="77777777" w:rsidR="002A1316" w:rsidRPr="00016321" w:rsidRDefault="002A1316" w:rsidP="00B30CA0">
      <w:pPr>
        <w:pStyle w:val="Heading2"/>
        <w:rPr>
          <w:sz w:val="22"/>
          <w:szCs w:val="22"/>
        </w:rPr>
      </w:pP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0F1D4C">
        <w:rPr>
          <w:sz w:val="22"/>
          <w:szCs w:val="22"/>
        </w:rPr>
      </w:r>
      <w:r w:rsidR="000F1D4C">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F1D4C">
        <w:rPr>
          <w:sz w:val="22"/>
          <w:szCs w:val="22"/>
        </w:rPr>
      </w:r>
      <w:r w:rsidR="000F1D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F1D4C">
        <w:rPr>
          <w:sz w:val="22"/>
          <w:szCs w:val="22"/>
        </w:rPr>
      </w:r>
      <w:r w:rsidR="000F1D4C">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F1D4C">
        <w:rPr>
          <w:sz w:val="22"/>
          <w:szCs w:val="22"/>
        </w:rPr>
      </w:r>
      <w:r w:rsidR="000F1D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F1D4C">
        <w:rPr>
          <w:sz w:val="22"/>
          <w:szCs w:val="22"/>
        </w:rPr>
      </w:r>
      <w:r w:rsidR="000F1D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F1D4C">
        <w:rPr>
          <w:sz w:val="22"/>
          <w:szCs w:val="22"/>
        </w:rPr>
      </w:r>
      <w:r w:rsidR="000F1D4C">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F1D4C">
        <w:rPr>
          <w:sz w:val="22"/>
          <w:szCs w:val="22"/>
        </w:rPr>
      </w:r>
      <w:r w:rsidR="000F1D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F1D4C">
        <w:rPr>
          <w:sz w:val="22"/>
          <w:szCs w:val="22"/>
        </w:rPr>
      </w:r>
      <w:r w:rsidR="000F1D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F1D4C">
        <w:rPr>
          <w:sz w:val="22"/>
          <w:szCs w:val="22"/>
        </w:rPr>
      </w:r>
      <w:r w:rsidR="000F1D4C">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6AAAD2EC" w14:textId="4A74944C" w:rsidR="00130DD8" w:rsidRDefault="002A1316" w:rsidP="00B30CA0">
      <w:pPr>
        <w:pStyle w:val="BodyText2"/>
        <w:rPr>
          <w:b w:val="0"/>
          <w:bCs w:val="0"/>
        </w:rPr>
      </w:pPr>
      <w:r w:rsidRPr="00016321">
        <w:rPr>
          <w:bCs w:val="0"/>
          <w:szCs w:val="22"/>
        </w:rPr>
        <w:t>Description of Issue:</w:t>
      </w:r>
      <w:r w:rsidR="00E97134">
        <w:rPr>
          <w:bCs w:val="0"/>
          <w:szCs w:val="22"/>
        </w:rPr>
        <w:t xml:space="preserve"> </w:t>
      </w:r>
      <w:r w:rsidR="00E97134" w:rsidRPr="00130DD8">
        <w:rPr>
          <w:b w:val="0"/>
          <w:bCs w:val="0"/>
        </w:rPr>
        <w:t xml:space="preserve">The FASB </w:t>
      </w:r>
      <w:r w:rsidR="00130DD8" w:rsidRPr="00130DD8">
        <w:rPr>
          <w:b w:val="0"/>
          <w:bCs w:val="0"/>
        </w:rPr>
        <w:t>issued ASU 2016-14</w:t>
      </w:r>
      <w:r w:rsidR="00E97134" w:rsidRPr="00130DD8">
        <w:rPr>
          <w:b w:val="0"/>
          <w:bCs w:val="0"/>
        </w:rPr>
        <w:t xml:space="preserve"> </w:t>
      </w:r>
      <w:r w:rsidR="00130DD8" w:rsidRPr="00130DD8">
        <w:rPr>
          <w:b w:val="0"/>
          <w:bCs w:val="0"/>
        </w:rPr>
        <w:t>to provide more useful information to donors, grantors, creditors, and other financial statements users of not-for-profit (NFP) entities. This update is to</w:t>
      </w:r>
      <w:r w:rsidR="00E97134" w:rsidRPr="00130DD8">
        <w:rPr>
          <w:b w:val="0"/>
          <w:bCs w:val="0"/>
        </w:rPr>
        <w:t xml:space="preserve"> improve the current net asset classification requirements and the information presented in financial statements </w:t>
      </w:r>
      <w:r w:rsidR="00130DD8" w:rsidRPr="00130DD8">
        <w:rPr>
          <w:b w:val="0"/>
          <w:bCs w:val="0"/>
        </w:rPr>
        <w:t>regarding</w:t>
      </w:r>
      <w:r w:rsidR="00E97134" w:rsidRPr="00130DD8">
        <w:rPr>
          <w:b w:val="0"/>
          <w:bCs w:val="0"/>
        </w:rPr>
        <w:t xml:space="preserve"> liquidity, financial performance, and cash flows.</w:t>
      </w:r>
      <w:r w:rsidR="00130DD8" w:rsidRPr="00130DD8">
        <w:rPr>
          <w:b w:val="0"/>
          <w:bCs w:val="0"/>
        </w:rPr>
        <w:t xml:space="preserve"> </w:t>
      </w:r>
      <w:r w:rsidR="00130DD8">
        <w:rPr>
          <w:b w:val="0"/>
          <w:bCs w:val="0"/>
        </w:rPr>
        <w:t>While several changes were implemented within this ASU, the main provisions include:</w:t>
      </w:r>
    </w:p>
    <w:p w14:paraId="756A0425" w14:textId="77777777" w:rsidR="005D191C" w:rsidRDefault="005D191C" w:rsidP="00B30CA0">
      <w:pPr>
        <w:pStyle w:val="BodyText2"/>
        <w:rPr>
          <w:b w:val="0"/>
          <w:bCs w:val="0"/>
        </w:rPr>
      </w:pPr>
    </w:p>
    <w:p w14:paraId="6FDF117E" w14:textId="5A172468" w:rsidR="00130DD8" w:rsidRDefault="002B6ED3" w:rsidP="00130DD8">
      <w:pPr>
        <w:pStyle w:val="BodyText2"/>
        <w:numPr>
          <w:ilvl w:val="0"/>
          <w:numId w:val="26"/>
        </w:numPr>
        <w:rPr>
          <w:b w:val="0"/>
          <w:bCs w:val="0"/>
        </w:rPr>
      </w:pPr>
      <w:r>
        <w:rPr>
          <w:b w:val="0"/>
          <w:bCs w:val="0"/>
        </w:rPr>
        <w:t xml:space="preserve">The presentation of two classes of net assets – </w:t>
      </w:r>
      <w:r w:rsidRPr="00852EE5">
        <w:rPr>
          <w:b w:val="0"/>
          <w:bCs w:val="0"/>
          <w:i/>
          <w:iCs/>
        </w:rPr>
        <w:t>with donor restrictions</w:t>
      </w:r>
      <w:r>
        <w:rPr>
          <w:b w:val="0"/>
          <w:bCs w:val="0"/>
        </w:rPr>
        <w:t xml:space="preserve"> and </w:t>
      </w:r>
      <w:r w:rsidRPr="00852EE5">
        <w:rPr>
          <w:b w:val="0"/>
          <w:bCs w:val="0"/>
          <w:i/>
          <w:iCs/>
        </w:rPr>
        <w:t>without donor restrictions</w:t>
      </w:r>
      <w:r>
        <w:rPr>
          <w:b w:val="0"/>
          <w:bCs w:val="0"/>
        </w:rPr>
        <w:t xml:space="preserve">. </w:t>
      </w:r>
      <w:r w:rsidR="00130DD8" w:rsidRPr="00474B8D">
        <w:rPr>
          <w:b w:val="0"/>
          <w:bCs w:val="0"/>
        </w:rPr>
        <w:t xml:space="preserve">Due to complexities regarding </w:t>
      </w:r>
      <w:r w:rsidR="005D191C">
        <w:rPr>
          <w:b w:val="0"/>
          <w:bCs w:val="0"/>
        </w:rPr>
        <w:t xml:space="preserve">the appropriate </w:t>
      </w:r>
      <w:r w:rsidR="00130DD8" w:rsidRPr="00474B8D">
        <w:rPr>
          <w:b w:val="0"/>
          <w:bCs w:val="0"/>
        </w:rPr>
        <w:t>use of t</w:t>
      </w:r>
      <w:r>
        <w:rPr>
          <w:b w:val="0"/>
          <w:bCs w:val="0"/>
        </w:rPr>
        <w:t xml:space="preserve">he </w:t>
      </w:r>
      <w:r w:rsidR="00D81464">
        <w:rPr>
          <w:b w:val="0"/>
          <w:bCs w:val="0"/>
        </w:rPr>
        <w:t>previous</w:t>
      </w:r>
      <w:r>
        <w:rPr>
          <w:b w:val="0"/>
          <w:bCs w:val="0"/>
        </w:rPr>
        <w:t xml:space="preserve"> t</w:t>
      </w:r>
      <w:r w:rsidR="00130DD8" w:rsidRPr="00474B8D">
        <w:rPr>
          <w:b w:val="0"/>
          <w:bCs w:val="0"/>
        </w:rPr>
        <w:t xml:space="preserve">hree classes of net assets </w:t>
      </w:r>
      <w:r w:rsidR="00474B8D" w:rsidRPr="00474B8D">
        <w:rPr>
          <w:b w:val="0"/>
          <w:bCs w:val="0"/>
        </w:rPr>
        <w:t xml:space="preserve">(unrestricted, temporarily restricted, and permanently restricted) </w:t>
      </w:r>
      <w:r w:rsidR="00130DD8" w:rsidRPr="00474B8D">
        <w:rPr>
          <w:b w:val="0"/>
          <w:bCs w:val="0"/>
        </w:rPr>
        <w:t>that focus</w:t>
      </w:r>
      <w:r w:rsidR="007B0263">
        <w:rPr>
          <w:b w:val="0"/>
          <w:bCs w:val="0"/>
        </w:rPr>
        <w:t>ed</w:t>
      </w:r>
      <w:r w:rsidR="00130DD8" w:rsidRPr="00474B8D">
        <w:rPr>
          <w:b w:val="0"/>
          <w:bCs w:val="0"/>
        </w:rPr>
        <w:t xml:space="preserve"> on the absence or presence of donor-imposed restrictions and whether those restrictions </w:t>
      </w:r>
      <w:r w:rsidR="007B0263">
        <w:rPr>
          <w:b w:val="0"/>
          <w:bCs w:val="0"/>
        </w:rPr>
        <w:t>were</w:t>
      </w:r>
      <w:r w:rsidR="00130DD8" w:rsidRPr="00474B8D">
        <w:rPr>
          <w:b w:val="0"/>
          <w:bCs w:val="0"/>
        </w:rPr>
        <w:t xml:space="preserve"> temporary or permanent</w:t>
      </w:r>
      <w:r w:rsidR="00474B8D" w:rsidRPr="00474B8D">
        <w:rPr>
          <w:b w:val="0"/>
          <w:bCs w:val="0"/>
        </w:rPr>
        <w:t xml:space="preserve">, this ASU </w:t>
      </w:r>
      <w:r w:rsidR="005D191C">
        <w:rPr>
          <w:b w:val="0"/>
          <w:bCs w:val="0"/>
        </w:rPr>
        <w:t>designates</w:t>
      </w:r>
      <w:r w:rsidR="00474B8D" w:rsidRPr="00474B8D">
        <w:rPr>
          <w:b w:val="0"/>
          <w:bCs w:val="0"/>
        </w:rPr>
        <w:t xml:space="preserve"> </w:t>
      </w:r>
      <w:r w:rsidR="005D191C">
        <w:rPr>
          <w:b w:val="0"/>
          <w:bCs w:val="0"/>
        </w:rPr>
        <w:t>presentation of two c</w:t>
      </w:r>
      <w:r w:rsidR="00130DD8" w:rsidRPr="00474B8D">
        <w:rPr>
          <w:b w:val="0"/>
          <w:bCs w:val="0"/>
        </w:rPr>
        <w:t>lasses of net assets</w:t>
      </w:r>
      <w:r>
        <w:rPr>
          <w:b w:val="0"/>
          <w:bCs w:val="0"/>
        </w:rPr>
        <w:t xml:space="preserve">. </w:t>
      </w:r>
      <w:r w:rsidR="005D191C">
        <w:rPr>
          <w:b w:val="0"/>
          <w:bCs w:val="0"/>
        </w:rPr>
        <w:t>C</w:t>
      </w:r>
      <w:r w:rsidR="00474B8D">
        <w:rPr>
          <w:b w:val="0"/>
          <w:bCs w:val="0"/>
        </w:rPr>
        <w:t>hanges in these two classes of net assets are to be reported o</w:t>
      </w:r>
      <w:r w:rsidR="007B0263">
        <w:rPr>
          <w:b w:val="0"/>
          <w:bCs w:val="0"/>
        </w:rPr>
        <w:t>n</w:t>
      </w:r>
      <w:r w:rsidR="00474B8D">
        <w:rPr>
          <w:b w:val="0"/>
          <w:bCs w:val="0"/>
        </w:rPr>
        <w:t xml:space="preserve"> the statement of activities. </w:t>
      </w:r>
    </w:p>
    <w:p w14:paraId="44DC7FB9" w14:textId="77777777" w:rsidR="001C0127" w:rsidRPr="00130DD8" w:rsidRDefault="001C0127" w:rsidP="00255D64">
      <w:pPr>
        <w:pStyle w:val="BodyText2"/>
        <w:ind w:left="720"/>
        <w:rPr>
          <w:b w:val="0"/>
          <w:bCs w:val="0"/>
        </w:rPr>
      </w:pPr>
    </w:p>
    <w:p w14:paraId="0A1DCEB1" w14:textId="724610DA" w:rsidR="00130DD8" w:rsidRPr="00130DD8" w:rsidRDefault="005D191C" w:rsidP="00130DD8">
      <w:pPr>
        <w:pStyle w:val="BodyText2"/>
        <w:numPr>
          <w:ilvl w:val="0"/>
          <w:numId w:val="26"/>
        </w:numPr>
        <w:rPr>
          <w:b w:val="0"/>
          <w:bCs w:val="0"/>
        </w:rPr>
      </w:pPr>
      <w:r>
        <w:rPr>
          <w:b w:val="0"/>
          <w:bCs w:val="0"/>
        </w:rPr>
        <w:t>The presentation of operating cash flows may continue to use</w:t>
      </w:r>
      <w:r w:rsidR="00130DD8" w:rsidRPr="00130DD8">
        <w:rPr>
          <w:b w:val="0"/>
          <w:bCs w:val="0"/>
        </w:rPr>
        <w:t xml:space="preserve"> the direct or indirect method of reporting</w:t>
      </w:r>
      <w:r w:rsidR="00D81464">
        <w:rPr>
          <w:b w:val="0"/>
          <w:bCs w:val="0"/>
        </w:rPr>
        <w:t>,</w:t>
      </w:r>
      <w:r w:rsidR="00130DD8" w:rsidRPr="00130DD8">
        <w:rPr>
          <w:b w:val="0"/>
          <w:bCs w:val="0"/>
        </w:rPr>
        <w:t xml:space="preserve"> but no longer require the presentation or disclosure of the indirect method (reconciliation) if using the direct method.</w:t>
      </w:r>
    </w:p>
    <w:p w14:paraId="7D177FA3" w14:textId="77777777" w:rsidR="005D191C" w:rsidRDefault="005D191C" w:rsidP="005D191C">
      <w:pPr>
        <w:pStyle w:val="BodyText2"/>
        <w:rPr>
          <w:b w:val="0"/>
          <w:bCs w:val="0"/>
        </w:rPr>
      </w:pPr>
    </w:p>
    <w:p w14:paraId="17870FCB" w14:textId="0ED4915D" w:rsidR="005D191C" w:rsidRDefault="005D191C" w:rsidP="005D191C">
      <w:pPr>
        <w:pStyle w:val="BodyText2"/>
        <w:rPr>
          <w:b w:val="0"/>
          <w:bCs w:val="0"/>
        </w:rPr>
      </w:pPr>
      <w:r>
        <w:rPr>
          <w:b w:val="0"/>
          <w:bCs w:val="0"/>
        </w:rPr>
        <w:t xml:space="preserve">Additionally, </w:t>
      </w:r>
      <w:r w:rsidR="002B6ED3">
        <w:rPr>
          <w:b w:val="0"/>
          <w:bCs w:val="0"/>
        </w:rPr>
        <w:t xml:space="preserve">numerous </w:t>
      </w:r>
      <w:r>
        <w:rPr>
          <w:b w:val="0"/>
          <w:bCs w:val="0"/>
        </w:rPr>
        <w:t>disclosures enhancements were included this update, several are highlighted below:</w:t>
      </w:r>
    </w:p>
    <w:p w14:paraId="18E2F3DF" w14:textId="7F2DE5CA" w:rsidR="00130DD8" w:rsidRPr="00130DD8" w:rsidRDefault="00130DD8" w:rsidP="005D191C">
      <w:pPr>
        <w:pStyle w:val="BodyText2"/>
        <w:rPr>
          <w:b w:val="0"/>
          <w:bCs w:val="0"/>
        </w:rPr>
      </w:pPr>
    </w:p>
    <w:p w14:paraId="750E6DE1" w14:textId="1DDBD094" w:rsidR="005D191C" w:rsidRPr="00130DD8" w:rsidRDefault="00F73E6E" w:rsidP="00255D64">
      <w:pPr>
        <w:pStyle w:val="BodyText2"/>
        <w:numPr>
          <w:ilvl w:val="0"/>
          <w:numId w:val="26"/>
        </w:numPr>
        <w:spacing w:after="120"/>
        <w:rPr>
          <w:b w:val="0"/>
          <w:bCs w:val="0"/>
        </w:rPr>
      </w:pPr>
      <w:r>
        <w:rPr>
          <w:b w:val="0"/>
          <w:bCs w:val="0"/>
        </w:rPr>
        <w:t>The c</w:t>
      </w:r>
      <w:r w:rsidR="005D191C" w:rsidRPr="00130DD8">
        <w:rPr>
          <w:b w:val="0"/>
          <w:bCs w:val="0"/>
        </w:rPr>
        <w:t xml:space="preserve">omposition of net assets with donor restrictions and how the restrictions affect </w:t>
      </w:r>
      <w:r w:rsidR="002B6ED3">
        <w:rPr>
          <w:b w:val="0"/>
          <w:bCs w:val="0"/>
        </w:rPr>
        <w:t xml:space="preserve">the </w:t>
      </w:r>
      <w:r w:rsidR="005D191C" w:rsidRPr="00130DD8">
        <w:rPr>
          <w:b w:val="0"/>
          <w:bCs w:val="0"/>
        </w:rPr>
        <w:t xml:space="preserve">use of </w:t>
      </w:r>
      <w:r w:rsidR="002B6ED3">
        <w:rPr>
          <w:b w:val="0"/>
          <w:bCs w:val="0"/>
        </w:rPr>
        <w:t>such</w:t>
      </w:r>
      <w:r>
        <w:rPr>
          <w:b w:val="0"/>
          <w:bCs w:val="0"/>
        </w:rPr>
        <w:t xml:space="preserve"> </w:t>
      </w:r>
      <w:r w:rsidR="005D191C" w:rsidRPr="00130DD8">
        <w:rPr>
          <w:b w:val="0"/>
          <w:bCs w:val="0"/>
        </w:rPr>
        <w:t>resources.</w:t>
      </w:r>
    </w:p>
    <w:p w14:paraId="08796624" w14:textId="129A0312" w:rsidR="00130DD8" w:rsidRPr="00130DD8" w:rsidRDefault="007830EA" w:rsidP="00255D64">
      <w:pPr>
        <w:pStyle w:val="BodyText2"/>
        <w:numPr>
          <w:ilvl w:val="0"/>
          <w:numId w:val="26"/>
        </w:numPr>
        <w:spacing w:after="120"/>
        <w:rPr>
          <w:b w:val="0"/>
          <w:bCs w:val="0"/>
        </w:rPr>
      </w:pPr>
      <w:r>
        <w:rPr>
          <w:b w:val="0"/>
          <w:bCs w:val="0"/>
        </w:rPr>
        <w:t>For resources without donor-imposed restrictions, the applicable amounts and designated purposes</w:t>
      </w:r>
      <w:r w:rsidR="00130DD8" w:rsidRPr="00130DD8">
        <w:rPr>
          <w:b w:val="0"/>
          <w:bCs w:val="0"/>
        </w:rPr>
        <w:t>, appropriations, and similar actions that result in self-imposed limits on the use of</w:t>
      </w:r>
      <w:r>
        <w:rPr>
          <w:b w:val="0"/>
          <w:bCs w:val="0"/>
        </w:rPr>
        <w:t xml:space="preserve"> </w:t>
      </w:r>
      <w:r w:rsidR="002B6ED3">
        <w:rPr>
          <w:b w:val="0"/>
          <w:bCs w:val="0"/>
        </w:rPr>
        <w:t>such</w:t>
      </w:r>
      <w:r w:rsidR="00130DD8" w:rsidRPr="00130DD8">
        <w:rPr>
          <w:b w:val="0"/>
          <w:bCs w:val="0"/>
        </w:rPr>
        <w:t xml:space="preserve"> resources</w:t>
      </w:r>
      <w:r>
        <w:rPr>
          <w:b w:val="0"/>
          <w:bCs w:val="0"/>
        </w:rPr>
        <w:t>.</w:t>
      </w:r>
    </w:p>
    <w:p w14:paraId="62381E5C" w14:textId="05BD1985" w:rsidR="00130DD8" w:rsidRPr="00130DD8" w:rsidRDefault="00411371" w:rsidP="00255D64">
      <w:pPr>
        <w:pStyle w:val="BodyText2"/>
        <w:numPr>
          <w:ilvl w:val="0"/>
          <w:numId w:val="26"/>
        </w:numPr>
        <w:spacing w:after="120"/>
        <w:rPr>
          <w:b w:val="0"/>
          <w:bCs w:val="0"/>
        </w:rPr>
      </w:pPr>
      <w:r>
        <w:rPr>
          <w:b w:val="0"/>
          <w:bCs w:val="0"/>
        </w:rPr>
        <w:t>I</w:t>
      </w:r>
      <w:r w:rsidR="00130DD8" w:rsidRPr="00130DD8">
        <w:rPr>
          <w:b w:val="0"/>
          <w:bCs w:val="0"/>
        </w:rPr>
        <w:t xml:space="preserve">nformation that communicates how </w:t>
      </w:r>
      <w:r w:rsidR="002B6ED3">
        <w:rPr>
          <w:b w:val="0"/>
          <w:bCs w:val="0"/>
        </w:rPr>
        <w:t>the</w:t>
      </w:r>
      <w:r w:rsidR="00130DD8" w:rsidRPr="00130DD8">
        <w:rPr>
          <w:b w:val="0"/>
          <w:bCs w:val="0"/>
        </w:rPr>
        <w:t xml:space="preserve"> NFP manages liquid resources to meet</w:t>
      </w:r>
      <w:r w:rsidR="002B6ED3">
        <w:rPr>
          <w:b w:val="0"/>
          <w:bCs w:val="0"/>
        </w:rPr>
        <w:t xml:space="preserve"> its</w:t>
      </w:r>
      <w:r w:rsidR="00130DD8" w:rsidRPr="00130DD8">
        <w:rPr>
          <w:b w:val="0"/>
          <w:bCs w:val="0"/>
        </w:rPr>
        <w:t xml:space="preserve"> cash</w:t>
      </w:r>
      <w:r w:rsidR="00F73E6E">
        <w:rPr>
          <w:b w:val="0"/>
          <w:bCs w:val="0"/>
        </w:rPr>
        <w:t xml:space="preserve"> </w:t>
      </w:r>
      <w:r w:rsidR="00130DD8" w:rsidRPr="00130DD8">
        <w:rPr>
          <w:b w:val="0"/>
          <w:bCs w:val="0"/>
        </w:rPr>
        <w:t xml:space="preserve">needs for general expenditures </w:t>
      </w:r>
      <w:r w:rsidR="00F73E6E">
        <w:rPr>
          <w:b w:val="0"/>
          <w:bCs w:val="0"/>
        </w:rPr>
        <w:t>for one year following the</w:t>
      </w:r>
      <w:r w:rsidR="00130DD8" w:rsidRPr="00130DD8">
        <w:rPr>
          <w:b w:val="0"/>
          <w:bCs w:val="0"/>
        </w:rPr>
        <w:t xml:space="preserve"> balance sheet date</w:t>
      </w:r>
      <w:r w:rsidR="00F73E6E">
        <w:rPr>
          <w:b w:val="0"/>
          <w:bCs w:val="0"/>
        </w:rPr>
        <w:t>.</w:t>
      </w:r>
    </w:p>
    <w:p w14:paraId="3EC43C58" w14:textId="196AB7FF" w:rsidR="00130DD8" w:rsidRPr="00130DD8" w:rsidRDefault="007830EA" w:rsidP="00255D64">
      <w:pPr>
        <w:pStyle w:val="BodyText2"/>
        <w:numPr>
          <w:ilvl w:val="0"/>
          <w:numId w:val="26"/>
        </w:numPr>
        <w:spacing w:after="120"/>
        <w:rPr>
          <w:b w:val="0"/>
          <w:bCs w:val="0"/>
        </w:rPr>
      </w:pPr>
      <w:r>
        <w:rPr>
          <w:b w:val="0"/>
          <w:bCs w:val="0"/>
        </w:rPr>
        <w:t>Regarding ‘u</w:t>
      </w:r>
      <w:r w:rsidR="00130DD8" w:rsidRPr="00130DD8">
        <w:rPr>
          <w:b w:val="0"/>
          <w:bCs w:val="0"/>
        </w:rPr>
        <w:t>nderwater endowment funds</w:t>
      </w:r>
      <w:r>
        <w:rPr>
          <w:b w:val="0"/>
          <w:bCs w:val="0"/>
        </w:rPr>
        <w:t xml:space="preserve">’ (a fund in which </w:t>
      </w:r>
      <w:r w:rsidR="00F73E6E">
        <w:rPr>
          <w:b w:val="0"/>
          <w:bCs w:val="0"/>
        </w:rPr>
        <w:t>its</w:t>
      </w:r>
      <w:r>
        <w:rPr>
          <w:b w:val="0"/>
          <w:bCs w:val="0"/>
        </w:rPr>
        <w:t xml:space="preserve"> fair value is less than the original gift amount or the amount required to be maintained by donor restrictions)</w:t>
      </w:r>
      <w:r w:rsidR="00D81464">
        <w:rPr>
          <w:b w:val="0"/>
          <w:bCs w:val="0"/>
        </w:rPr>
        <w:t>;</w:t>
      </w:r>
      <w:r w:rsidR="00130DD8" w:rsidRPr="00130DD8">
        <w:rPr>
          <w:b w:val="0"/>
          <w:bCs w:val="0"/>
        </w:rPr>
        <w:t xml:space="preserve"> disclosures </w:t>
      </w:r>
      <w:r w:rsidR="00411371">
        <w:rPr>
          <w:b w:val="0"/>
          <w:bCs w:val="0"/>
        </w:rPr>
        <w:t>concerning</w:t>
      </w:r>
      <w:r w:rsidR="00F73E6E">
        <w:rPr>
          <w:b w:val="0"/>
          <w:bCs w:val="0"/>
        </w:rPr>
        <w:t xml:space="preserve"> the NFP’s </w:t>
      </w:r>
      <w:r w:rsidR="00130DD8" w:rsidRPr="00130DD8">
        <w:rPr>
          <w:b w:val="0"/>
          <w:bCs w:val="0"/>
        </w:rPr>
        <w:t>policy, and any actions taken during the period concerning appropriation from underwater endowment funds</w:t>
      </w:r>
      <w:r w:rsidR="00F73E6E">
        <w:rPr>
          <w:b w:val="0"/>
          <w:bCs w:val="0"/>
        </w:rPr>
        <w:t xml:space="preserve"> and</w:t>
      </w:r>
      <w:r w:rsidR="00130DD8" w:rsidRPr="00130DD8">
        <w:rPr>
          <w:b w:val="0"/>
          <w:bCs w:val="0"/>
        </w:rPr>
        <w:t xml:space="preserve"> the fair value of such funds</w:t>
      </w:r>
      <w:r w:rsidR="00F73E6E">
        <w:rPr>
          <w:b w:val="0"/>
          <w:bCs w:val="0"/>
        </w:rPr>
        <w:t>. Additionally, disclosures regarding the</w:t>
      </w:r>
      <w:r w:rsidR="00130DD8" w:rsidRPr="00130DD8">
        <w:rPr>
          <w:b w:val="0"/>
          <w:bCs w:val="0"/>
        </w:rPr>
        <w:t xml:space="preserve"> original gift amounts (or level required by donor or law) to be maintained</w:t>
      </w:r>
      <w:r w:rsidR="00F73E6E">
        <w:rPr>
          <w:b w:val="0"/>
          <w:bCs w:val="0"/>
        </w:rPr>
        <w:t xml:space="preserve"> and</w:t>
      </w:r>
      <w:r w:rsidR="00130DD8" w:rsidRPr="00130DD8">
        <w:rPr>
          <w:b w:val="0"/>
          <w:bCs w:val="0"/>
        </w:rPr>
        <w:t xml:space="preserve"> amount by which </w:t>
      </w:r>
      <w:r w:rsidR="002B6ED3">
        <w:rPr>
          <w:b w:val="0"/>
          <w:bCs w:val="0"/>
        </w:rPr>
        <w:t xml:space="preserve">the </w:t>
      </w:r>
      <w:r w:rsidR="00130DD8" w:rsidRPr="00130DD8">
        <w:rPr>
          <w:b w:val="0"/>
          <w:bCs w:val="0"/>
        </w:rPr>
        <w:t xml:space="preserve">funds are </w:t>
      </w:r>
      <w:r w:rsidR="0032409A">
        <w:rPr>
          <w:b w:val="0"/>
          <w:bCs w:val="0"/>
        </w:rPr>
        <w:t>deficient</w:t>
      </w:r>
      <w:r w:rsidR="00F73E6E">
        <w:rPr>
          <w:b w:val="0"/>
          <w:bCs w:val="0"/>
        </w:rPr>
        <w:t>.</w:t>
      </w:r>
    </w:p>
    <w:p w14:paraId="61F246FD" w14:textId="0C376D9F" w:rsidR="00130DD8" w:rsidRPr="00130DD8" w:rsidRDefault="00130DD8" w:rsidP="005D191C">
      <w:pPr>
        <w:pStyle w:val="BodyText2"/>
        <w:numPr>
          <w:ilvl w:val="0"/>
          <w:numId w:val="26"/>
        </w:numPr>
        <w:rPr>
          <w:b w:val="0"/>
          <w:bCs w:val="0"/>
        </w:rPr>
      </w:pPr>
      <w:r w:rsidRPr="00130DD8">
        <w:rPr>
          <w:b w:val="0"/>
          <w:bCs w:val="0"/>
        </w:rPr>
        <w:t xml:space="preserve">Use, in the absence of donor </w:t>
      </w:r>
      <w:r w:rsidR="00C57730">
        <w:rPr>
          <w:b w:val="0"/>
          <w:bCs w:val="0"/>
        </w:rPr>
        <w:t>restrictions</w:t>
      </w:r>
      <w:r w:rsidRPr="00130DD8">
        <w:rPr>
          <w:b w:val="0"/>
          <w:bCs w:val="0"/>
        </w:rPr>
        <w:t>, the placed-in-service approach for reporting expirations of restrictions on gifts of cash or other assets to be used to acquire or construct a long-lived asset</w:t>
      </w:r>
      <w:r w:rsidR="00845924">
        <w:rPr>
          <w:b w:val="0"/>
          <w:bCs w:val="0"/>
        </w:rPr>
        <w:t>, thus reclassifying</w:t>
      </w:r>
      <w:r w:rsidRPr="00130DD8">
        <w:rPr>
          <w:b w:val="0"/>
          <w:bCs w:val="0"/>
        </w:rPr>
        <w:t xml:space="preserve"> amounts from </w:t>
      </w:r>
      <w:r w:rsidR="00845924">
        <w:rPr>
          <w:b w:val="0"/>
          <w:bCs w:val="0"/>
        </w:rPr>
        <w:t>“</w:t>
      </w:r>
      <w:r w:rsidRPr="00130DD8">
        <w:rPr>
          <w:b w:val="0"/>
          <w:bCs w:val="0"/>
        </w:rPr>
        <w:t>net assets with donor restrictions</w:t>
      </w:r>
      <w:r w:rsidR="00845924">
        <w:rPr>
          <w:b w:val="0"/>
          <w:bCs w:val="0"/>
        </w:rPr>
        <w:t>”</w:t>
      </w:r>
      <w:r w:rsidRPr="00130DD8">
        <w:rPr>
          <w:b w:val="0"/>
          <w:bCs w:val="0"/>
        </w:rPr>
        <w:t xml:space="preserve"> to </w:t>
      </w:r>
      <w:r w:rsidR="00845924">
        <w:rPr>
          <w:b w:val="0"/>
          <w:bCs w:val="0"/>
        </w:rPr>
        <w:t>“</w:t>
      </w:r>
      <w:r w:rsidRPr="00130DD8">
        <w:rPr>
          <w:b w:val="0"/>
          <w:bCs w:val="0"/>
        </w:rPr>
        <w:t>net assets without donor restrictions</w:t>
      </w:r>
      <w:r w:rsidR="00C57730">
        <w:rPr>
          <w:b w:val="0"/>
          <w:bCs w:val="0"/>
        </w:rPr>
        <w:t>” as</w:t>
      </w:r>
      <w:r w:rsidRPr="00130DD8">
        <w:rPr>
          <w:b w:val="0"/>
          <w:bCs w:val="0"/>
        </w:rPr>
        <w:t xml:space="preserve"> long-lived assets that have been placed in service as of the beginning of the period of adoption (eliminating the </w:t>
      </w:r>
      <w:r w:rsidR="00D81464">
        <w:rPr>
          <w:b w:val="0"/>
          <w:bCs w:val="0"/>
        </w:rPr>
        <w:t>previous</w:t>
      </w:r>
      <w:r w:rsidRPr="00130DD8">
        <w:rPr>
          <w:b w:val="0"/>
          <w:bCs w:val="0"/>
        </w:rPr>
        <w:t xml:space="preserve"> option to release the donor-imposed restriction over the estimated useful life of the acquired asset).</w:t>
      </w:r>
    </w:p>
    <w:p w14:paraId="040C7183" w14:textId="77777777" w:rsidR="00435DAC" w:rsidRPr="00016321" w:rsidRDefault="00435DAC" w:rsidP="00A92C59">
      <w:pPr>
        <w:pStyle w:val="BodyText2"/>
        <w:rPr>
          <w:b w:val="0"/>
          <w:szCs w:val="22"/>
        </w:rPr>
      </w:pPr>
    </w:p>
    <w:p w14:paraId="6C6B67AF" w14:textId="3AC424C7" w:rsidR="002A1316" w:rsidRPr="00016321" w:rsidRDefault="002A1316" w:rsidP="00B30CA0">
      <w:pPr>
        <w:pStyle w:val="BodyText2"/>
        <w:rPr>
          <w:bCs w:val="0"/>
          <w:szCs w:val="22"/>
        </w:rPr>
      </w:pPr>
      <w:r w:rsidRPr="00016321">
        <w:rPr>
          <w:bCs w:val="0"/>
          <w:szCs w:val="22"/>
        </w:rPr>
        <w:lastRenderedPageBreak/>
        <w:t>Existing Authoritative Literature:</w:t>
      </w:r>
      <w:r w:rsidR="00E97134" w:rsidRPr="00E97134">
        <w:rPr>
          <w:b w:val="0"/>
          <w:bCs w:val="0"/>
          <w:szCs w:val="22"/>
        </w:rPr>
        <w:t xml:space="preserve"> </w:t>
      </w:r>
      <w:r w:rsidR="00593DF8">
        <w:rPr>
          <w:b w:val="0"/>
          <w:bCs w:val="0"/>
          <w:szCs w:val="22"/>
        </w:rPr>
        <w:t xml:space="preserve">While there is SAP guidance for the financial statement presentation of assets, the concept </w:t>
      </w:r>
      <w:r w:rsidR="00411371">
        <w:rPr>
          <w:b w:val="0"/>
          <w:bCs w:val="0"/>
          <w:szCs w:val="22"/>
        </w:rPr>
        <w:t xml:space="preserve">of </w:t>
      </w:r>
      <w:r w:rsidR="00D21D69">
        <w:rPr>
          <w:b w:val="0"/>
          <w:bCs w:val="0"/>
          <w:szCs w:val="22"/>
        </w:rPr>
        <w:t xml:space="preserve">separating </w:t>
      </w:r>
      <w:r w:rsidR="00C065F6">
        <w:rPr>
          <w:b w:val="0"/>
          <w:bCs w:val="0"/>
          <w:szCs w:val="22"/>
        </w:rPr>
        <w:t>assets based on</w:t>
      </w:r>
      <w:r w:rsidR="00411371">
        <w:rPr>
          <w:b w:val="0"/>
          <w:bCs w:val="0"/>
          <w:szCs w:val="22"/>
        </w:rPr>
        <w:t xml:space="preserve"> imposed</w:t>
      </w:r>
      <w:r w:rsidR="00C065F6">
        <w:rPr>
          <w:b w:val="0"/>
          <w:bCs w:val="0"/>
          <w:szCs w:val="22"/>
        </w:rPr>
        <w:t xml:space="preserve"> </w:t>
      </w:r>
      <w:r w:rsidR="00593DF8">
        <w:rPr>
          <w:b w:val="0"/>
          <w:bCs w:val="0"/>
          <w:szCs w:val="22"/>
        </w:rPr>
        <w:t>donor restr</w:t>
      </w:r>
      <w:r w:rsidR="00411371">
        <w:rPr>
          <w:b w:val="0"/>
          <w:bCs w:val="0"/>
          <w:szCs w:val="22"/>
        </w:rPr>
        <w:t>ictions</w:t>
      </w:r>
      <w:r w:rsidR="00593DF8">
        <w:rPr>
          <w:b w:val="0"/>
          <w:bCs w:val="0"/>
          <w:szCs w:val="22"/>
        </w:rPr>
        <w:t xml:space="preserve"> and </w:t>
      </w:r>
      <w:r w:rsidR="00411371">
        <w:rPr>
          <w:b w:val="0"/>
          <w:bCs w:val="0"/>
          <w:szCs w:val="22"/>
        </w:rPr>
        <w:t xml:space="preserve">the inclusion of </w:t>
      </w:r>
      <w:r w:rsidR="00593DF8">
        <w:rPr>
          <w:b w:val="0"/>
          <w:bCs w:val="0"/>
          <w:szCs w:val="22"/>
        </w:rPr>
        <w:t xml:space="preserve">other similar related disclosures is not </w:t>
      </w:r>
      <w:r w:rsidR="00BF0C31">
        <w:rPr>
          <w:b w:val="0"/>
          <w:bCs w:val="0"/>
          <w:szCs w:val="22"/>
        </w:rPr>
        <w:t xml:space="preserve">a presentation format that is </w:t>
      </w:r>
      <w:r w:rsidR="00593DF8">
        <w:rPr>
          <w:b w:val="0"/>
          <w:bCs w:val="0"/>
          <w:szCs w:val="22"/>
        </w:rPr>
        <w:t xml:space="preserve">applicable for statutory accounting purposes. </w:t>
      </w:r>
    </w:p>
    <w:p w14:paraId="6F758E25" w14:textId="77777777" w:rsidR="004E2BB9" w:rsidRPr="00016321" w:rsidRDefault="004E2BB9" w:rsidP="00B30CA0">
      <w:pPr>
        <w:pStyle w:val="BodyText2"/>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5DE9E8C7" w:rsidR="00490996" w:rsidRPr="00016321" w:rsidRDefault="00490996" w:rsidP="00255D64">
      <w:pPr>
        <w:pStyle w:val="Default"/>
        <w:jc w:val="both"/>
        <w:rPr>
          <w:b/>
          <w:sz w:val="22"/>
          <w:szCs w:val="22"/>
        </w:rPr>
      </w:pPr>
      <w:r w:rsidRPr="00016321">
        <w:rPr>
          <w:b/>
          <w:sz w:val="22"/>
          <w:szCs w:val="22"/>
        </w:rPr>
        <w:t>Convergence with International Financial Reporting Standards (IFRS):</w:t>
      </w:r>
      <w:r w:rsidR="00C57730">
        <w:rPr>
          <w:b/>
          <w:sz w:val="22"/>
          <w:szCs w:val="22"/>
        </w:rPr>
        <w:t xml:space="preserve"> </w:t>
      </w:r>
      <w:r w:rsidR="00C57730" w:rsidRPr="00D21D69">
        <w:rPr>
          <w:bCs/>
          <w:sz w:val="22"/>
          <w:szCs w:val="22"/>
        </w:rPr>
        <w:t xml:space="preserve">None - </w:t>
      </w:r>
      <w:r w:rsidR="00C57730" w:rsidRPr="00913B21">
        <w:rPr>
          <w:bCs/>
          <w:sz w:val="22"/>
          <w:szCs w:val="22"/>
        </w:rPr>
        <w:t xml:space="preserve">There </w:t>
      </w:r>
      <w:r w:rsidR="00C57730" w:rsidRPr="00913B21">
        <w:rPr>
          <w:sz w:val="22"/>
          <w:szCs w:val="22"/>
        </w:rPr>
        <w:t>are no specific NFP accounting and reporting standards in IFRS</w:t>
      </w:r>
      <w:r w:rsidR="00593DF8" w:rsidRPr="00913B21">
        <w:rPr>
          <w:sz w:val="22"/>
          <w:szCs w:val="22"/>
        </w:rPr>
        <w:t>.</w:t>
      </w:r>
    </w:p>
    <w:p w14:paraId="03544CFF" w14:textId="77777777" w:rsidR="006B37DD" w:rsidRPr="00016321" w:rsidRDefault="006B37DD" w:rsidP="00B30CA0">
      <w:pPr>
        <w:pStyle w:val="BodyText2"/>
        <w:rPr>
          <w:szCs w:val="22"/>
        </w:rPr>
      </w:pPr>
    </w:p>
    <w:p w14:paraId="03D3668A" w14:textId="4C332965" w:rsidR="00E97134" w:rsidRPr="005B30A3" w:rsidRDefault="00E97134" w:rsidP="00E97134">
      <w:pPr>
        <w:pStyle w:val="BodyText2"/>
        <w:rPr>
          <w:szCs w:val="22"/>
        </w:rPr>
      </w:pPr>
      <w:r w:rsidRPr="00016321">
        <w:rPr>
          <w:szCs w:val="22"/>
        </w:rPr>
        <w:t>Staff Recommendation:</w:t>
      </w:r>
      <w:r>
        <w:rPr>
          <w:szCs w:val="22"/>
        </w:rPr>
        <w:t xml:space="preserve"> </w:t>
      </w:r>
      <w:r w:rsidRPr="0057672E">
        <w:rPr>
          <w:szCs w:val="22"/>
        </w:rPr>
        <w:t xml:space="preserve">NAIC </w:t>
      </w:r>
      <w:r w:rsidRPr="005459BE">
        <w:rPr>
          <w:szCs w:val="22"/>
        </w:rPr>
        <w:t>s</w:t>
      </w:r>
      <w:r w:rsidRPr="00016321">
        <w:rPr>
          <w:szCs w:val="22"/>
        </w:rPr>
        <w:t xml:space="preserve">taff recommends that the Working Group move this item to the active listing, categorized as </w:t>
      </w:r>
      <w:r w:rsidRPr="00EB2672">
        <w:rPr>
          <w:szCs w:val="22"/>
        </w:rPr>
        <w:t>nonsubstantive</w:t>
      </w:r>
      <w:r>
        <w:rPr>
          <w:szCs w:val="22"/>
        </w:rPr>
        <w:t>,</w:t>
      </w:r>
      <w:r w:rsidRPr="00EB2672">
        <w:rPr>
          <w:szCs w:val="22"/>
        </w:rPr>
        <w:t xml:space="preserve"> and</w:t>
      </w:r>
      <w:r w:rsidRPr="00016321">
        <w:rPr>
          <w:szCs w:val="22"/>
        </w:rPr>
        <w:t xml:space="preserve"> expose revisions to </w:t>
      </w:r>
      <w:r w:rsidRPr="0015742F">
        <w:rPr>
          <w:i/>
          <w:szCs w:val="22"/>
        </w:rPr>
        <w:t>Appendix D—Nonapplicable GAAP Pronouncements</w:t>
      </w:r>
      <w:r w:rsidRPr="0015742F">
        <w:rPr>
          <w:szCs w:val="22"/>
        </w:rPr>
        <w:t xml:space="preserve"> to </w:t>
      </w:r>
      <w:r w:rsidRPr="005B30A3">
        <w:rPr>
          <w:szCs w:val="22"/>
        </w:rPr>
        <w:t xml:space="preserve">reject </w:t>
      </w:r>
      <w:bookmarkStart w:id="2" w:name="_Hlk5695663"/>
      <w:r w:rsidRPr="00116B7C">
        <w:rPr>
          <w:bCs w:val="0"/>
          <w:i/>
          <w:szCs w:val="22"/>
        </w:rPr>
        <w:t>ASU 201</w:t>
      </w:r>
      <w:r>
        <w:rPr>
          <w:bCs w:val="0"/>
          <w:i/>
          <w:szCs w:val="22"/>
        </w:rPr>
        <w:t>6</w:t>
      </w:r>
      <w:r w:rsidRPr="00116B7C">
        <w:rPr>
          <w:bCs w:val="0"/>
          <w:i/>
          <w:szCs w:val="22"/>
        </w:rPr>
        <w:t>-</w:t>
      </w:r>
      <w:r>
        <w:rPr>
          <w:bCs w:val="0"/>
          <w:i/>
          <w:szCs w:val="22"/>
        </w:rPr>
        <w:t>14</w:t>
      </w:r>
      <w:r w:rsidRPr="00116B7C">
        <w:rPr>
          <w:bCs w:val="0"/>
          <w:i/>
          <w:szCs w:val="22"/>
        </w:rPr>
        <w:t xml:space="preserve">, </w:t>
      </w:r>
      <w:r>
        <w:rPr>
          <w:bCs w:val="0"/>
          <w:i/>
          <w:szCs w:val="22"/>
        </w:rPr>
        <w:t>Presentation of Financial Statements of Not-for-Profit Entities</w:t>
      </w:r>
      <w:bookmarkEnd w:id="2"/>
      <w:r>
        <w:rPr>
          <w:bCs w:val="0"/>
          <w:i/>
          <w:szCs w:val="22"/>
        </w:rPr>
        <w:t xml:space="preserve"> </w:t>
      </w:r>
      <w:r w:rsidRPr="005B30A3">
        <w:rPr>
          <w:szCs w:val="22"/>
        </w:rPr>
        <w:t>as not applicable to statutory accounting.</w:t>
      </w:r>
    </w:p>
    <w:p w14:paraId="601165DE" w14:textId="77777777" w:rsidR="00E97134" w:rsidRDefault="00E97134" w:rsidP="00E97134">
      <w:pPr>
        <w:pStyle w:val="BodyText2"/>
        <w:rPr>
          <w:szCs w:val="22"/>
        </w:rPr>
      </w:pPr>
    </w:p>
    <w:p w14:paraId="1675B0C9" w14:textId="14D8F897" w:rsidR="00984FA6" w:rsidRPr="00016321" w:rsidRDefault="00E97134" w:rsidP="00E97134">
      <w:pPr>
        <w:pStyle w:val="BodyText2"/>
        <w:rPr>
          <w:b w:val="0"/>
          <w:bCs w:val="0"/>
          <w:szCs w:val="22"/>
        </w:rPr>
      </w:pPr>
      <w:r>
        <w:rPr>
          <w:b w:val="0"/>
          <w:bCs w:val="0"/>
          <w:szCs w:val="22"/>
        </w:rPr>
        <w:t xml:space="preserve">This item is proposed to be rejected as not applicable as </w:t>
      </w:r>
      <w:r w:rsidR="00D21D69">
        <w:rPr>
          <w:b w:val="0"/>
          <w:bCs w:val="0"/>
          <w:szCs w:val="22"/>
        </w:rPr>
        <w:t xml:space="preserve">statutory accounting guidance does not separately present assets based on donor restrictions. If assets are restricted, they must be identified as restricted in the investment schedules and captured in the restricted note disclosure. Furthermore, the concept of donor-restrictions for insurance reporting entities is not </w:t>
      </w:r>
      <w:r w:rsidR="00EA5F31">
        <w:rPr>
          <w:b w:val="0"/>
          <w:bCs w:val="0"/>
          <w:szCs w:val="22"/>
        </w:rPr>
        <w:t xml:space="preserve">identified </w:t>
      </w:r>
      <w:r w:rsidR="00D21D69">
        <w:rPr>
          <w:b w:val="0"/>
          <w:bCs w:val="0"/>
          <w:szCs w:val="22"/>
        </w:rPr>
        <w:t xml:space="preserve">to be a prevalent concept. </w:t>
      </w:r>
    </w:p>
    <w:p w14:paraId="7EB4DF06" w14:textId="70718840" w:rsidR="00C57730" w:rsidRDefault="00C57730" w:rsidP="00B30CA0">
      <w:pPr>
        <w:pStyle w:val="BodyText2"/>
        <w:rPr>
          <w:szCs w:val="22"/>
        </w:rPr>
      </w:pPr>
    </w:p>
    <w:p w14:paraId="4E8503F3" w14:textId="5FF54F20" w:rsidR="00C065F6" w:rsidRDefault="00C065F6" w:rsidP="00B30CA0">
      <w:pPr>
        <w:pStyle w:val="BodyText2"/>
        <w:rPr>
          <w:szCs w:val="22"/>
        </w:rPr>
      </w:pPr>
    </w:p>
    <w:p w14:paraId="60E97443" w14:textId="77777777" w:rsidR="00C065F6" w:rsidRDefault="00C065F6" w:rsidP="00B30CA0">
      <w:pPr>
        <w:pStyle w:val="BodyText2"/>
        <w:rPr>
          <w:szCs w:val="22"/>
        </w:rPr>
      </w:pPr>
    </w:p>
    <w:p w14:paraId="3C0BC26C" w14:textId="5D180CEE" w:rsidR="002A1316" w:rsidRPr="00016321" w:rsidRDefault="002A1316" w:rsidP="00B30CA0">
      <w:pPr>
        <w:pStyle w:val="BodyText2"/>
        <w:rPr>
          <w:szCs w:val="22"/>
        </w:rPr>
      </w:pPr>
      <w:r w:rsidRPr="00016321">
        <w:rPr>
          <w:szCs w:val="22"/>
        </w:rPr>
        <w:t xml:space="preserve">Staff Review Completed </w:t>
      </w:r>
      <w:proofErr w:type="gramStart"/>
      <w:r w:rsidRPr="00016321">
        <w:rPr>
          <w:szCs w:val="22"/>
        </w:rPr>
        <w:t>by:</w:t>
      </w:r>
      <w:proofErr w:type="gramEnd"/>
      <w:r w:rsidR="00E97134">
        <w:rPr>
          <w:szCs w:val="22"/>
        </w:rPr>
        <w:t xml:space="preserve"> Jim Pinegar – August 2019</w:t>
      </w:r>
    </w:p>
    <w:p w14:paraId="2A2E73F1" w14:textId="77777777" w:rsidR="006B37DD" w:rsidRPr="00016321" w:rsidRDefault="006B37DD" w:rsidP="00B30CA0">
      <w:pPr>
        <w:rPr>
          <w:sz w:val="22"/>
          <w:szCs w:val="22"/>
        </w:rPr>
      </w:pPr>
    </w:p>
    <w:p w14:paraId="400005D3" w14:textId="0ACF0AED" w:rsidR="006B37DD" w:rsidRDefault="00866D48" w:rsidP="00B30CA0">
      <w:pPr>
        <w:rPr>
          <w:b/>
          <w:bCs/>
          <w:sz w:val="22"/>
        </w:rPr>
      </w:pPr>
      <w:r>
        <w:rPr>
          <w:b/>
          <w:bCs/>
          <w:sz w:val="22"/>
        </w:rPr>
        <w:t>Status:</w:t>
      </w:r>
    </w:p>
    <w:p w14:paraId="4528EE7D" w14:textId="77777777" w:rsidR="00866D48" w:rsidRPr="00866D48" w:rsidRDefault="00866D48" w:rsidP="00866D48">
      <w:pPr>
        <w:pStyle w:val="BodyText2"/>
        <w:rPr>
          <w:b w:val="0"/>
          <w:bCs w:val="0"/>
          <w:szCs w:val="22"/>
        </w:rPr>
      </w:pPr>
      <w:r w:rsidRPr="00866D48">
        <w:rPr>
          <w:b w:val="0"/>
          <w:bCs w:val="0"/>
          <w:szCs w:val="22"/>
        </w:rPr>
        <w:t xml:space="preserve">On December 7, 2019, the Statutory Accounting Principles (E) Working Group moved this agenda item to the active listing, categorized as nonsubstantive, and exposed revisions to </w:t>
      </w:r>
      <w:r w:rsidRPr="00866D48">
        <w:rPr>
          <w:b w:val="0"/>
          <w:bCs w:val="0"/>
          <w:i/>
          <w:szCs w:val="22"/>
        </w:rPr>
        <w:t>Appendix D—Nonapplicable GAAP Pronouncements</w:t>
      </w:r>
      <w:r w:rsidRPr="00866D48">
        <w:rPr>
          <w:b w:val="0"/>
          <w:bCs w:val="0"/>
          <w:szCs w:val="22"/>
        </w:rPr>
        <w:t xml:space="preserve"> to reject </w:t>
      </w:r>
      <w:r w:rsidRPr="00866D48">
        <w:rPr>
          <w:b w:val="0"/>
          <w:bCs w:val="0"/>
          <w:i/>
          <w:szCs w:val="22"/>
        </w:rPr>
        <w:t xml:space="preserve">ASU 2016-14, Presentation of Financial Statements of Not-for-Profit Entities </w:t>
      </w:r>
      <w:r w:rsidRPr="00866D48">
        <w:rPr>
          <w:b w:val="0"/>
          <w:bCs w:val="0"/>
          <w:szCs w:val="22"/>
        </w:rPr>
        <w:t>as not applicable to statutory accounting.</w:t>
      </w:r>
    </w:p>
    <w:p w14:paraId="43E2CE2F" w14:textId="4E52192F" w:rsidR="00866D48" w:rsidRPr="00866D48" w:rsidRDefault="00866D48" w:rsidP="00B30CA0">
      <w:pPr>
        <w:rPr>
          <w:i/>
          <w:iCs/>
          <w:sz w:val="22"/>
          <w:szCs w:val="22"/>
        </w:rPr>
      </w:pPr>
    </w:p>
    <w:p w14:paraId="389DD8CD" w14:textId="1A92F03D" w:rsidR="00866D48" w:rsidRDefault="00866D48" w:rsidP="00B30CA0">
      <w:pPr>
        <w:rPr>
          <w:sz w:val="22"/>
          <w:szCs w:val="22"/>
        </w:rPr>
      </w:pPr>
    </w:p>
    <w:p w14:paraId="12171DBE" w14:textId="77777777" w:rsidR="00866D48" w:rsidRPr="00866D48" w:rsidRDefault="00866D48" w:rsidP="00B30CA0">
      <w:pPr>
        <w:rPr>
          <w:b/>
          <w:bCs/>
          <w:sz w:val="22"/>
        </w:rPr>
      </w:pPr>
    </w:p>
    <w:p w14:paraId="5BEC363C" w14:textId="71D8ECAA"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0F1D4C">
        <w:rPr>
          <w:noProof/>
          <w:sz w:val="16"/>
          <w:szCs w:val="16"/>
        </w:rPr>
        <w:t>G:\FRS\DATA\Stat Acctg\3. National Meetings\A. National Meeting Materials\2019\Fall\NM Exposures\19-46 - ASU 2016-14 - Presentation of Financial Statements for Not for Profit Entities.docx</w:t>
      </w:r>
      <w:r w:rsidRPr="000579B6">
        <w:rPr>
          <w:sz w:val="16"/>
          <w:szCs w:val="16"/>
        </w:rPr>
        <w:fldChar w:fldCharType="end"/>
      </w:r>
      <w:bookmarkStart w:id="3" w:name="_GoBack"/>
      <w:bookmarkEnd w:id="3"/>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D21D69" w:rsidRDefault="00D21D69">
      <w:r>
        <w:separator/>
      </w:r>
    </w:p>
  </w:endnote>
  <w:endnote w:type="continuationSeparator" w:id="0">
    <w:p w14:paraId="7A4CE54C" w14:textId="77777777" w:rsidR="00D21D69" w:rsidRDefault="00D2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45A83C0" w:rsidR="00D21D69" w:rsidRDefault="00D21D69" w:rsidP="00DF407B">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D21D69" w:rsidRDefault="00D21D69"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D21D69" w:rsidRDefault="00D21D69">
      <w:r>
        <w:separator/>
      </w:r>
    </w:p>
  </w:footnote>
  <w:footnote w:type="continuationSeparator" w:id="0">
    <w:p w14:paraId="1BD68B07" w14:textId="77777777" w:rsidR="00D21D69" w:rsidRDefault="00D2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39B05A6C" w:rsidR="00D21D69" w:rsidRPr="00F04F9A" w:rsidRDefault="00D21D69">
    <w:pPr>
      <w:pStyle w:val="Header"/>
      <w:jc w:val="right"/>
      <w:rPr>
        <w:bCs/>
        <w:sz w:val="20"/>
      </w:rPr>
    </w:pPr>
    <w:r w:rsidRPr="00F04F9A">
      <w:rPr>
        <w:bCs/>
        <w:sz w:val="20"/>
      </w:rPr>
      <w:t>Ref #201</w:t>
    </w:r>
    <w:r>
      <w:rPr>
        <w:bCs/>
        <w:sz w:val="20"/>
      </w:rPr>
      <w:t>9</w:t>
    </w:r>
    <w:r w:rsidRPr="00F04F9A">
      <w:rPr>
        <w:bCs/>
        <w:sz w:val="20"/>
      </w:rPr>
      <w:t>-</w:t>
    </w:r>
    <w:r w:rsidR="0020323F">
      <w:rPr>
        <w:bCs/>
        <w:sz w:val="20"/>
      </w:rPr>
      <w:t>46</w:t>
    </w:r>
  </w:p>
  <w:p w14:paraId="12DAC63B" w14:textId="77777777" w:rsidR="00D21D69" w:rsidRDefault="00D21D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D21D69" w:rsidRPr="00F04F9A" w:rsidRDefault="00D21D69" w:rsidP="00AE74CF">
    <w:pPr>
      <w:pStyle w:val="Header"/>
      <w:jc w:val="right"/>
      <w:rPr>
        <w:b/>
        <w:sz w:val="20"/>
      </w:rPr>
    </w:pPr>
    <w:r w:rsidRPr="00F04F9A">
      <w:rPr>
        <w:b/>
        <w:sz w:val="20"/>
      </w:rPr>
      <w:t>Attachment __</w:t>
    </w:r>
  </w:p>
  <w:p w14:paraId="6B24D022" w14:textId="403538C5" w:rsidR="00D21D69" w:rsidRPr="00F04F9A" w:rsidRDefault="00D21D69"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D21D69" w:rsidRDefault="00D21D6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BAE62BE"/>
    <w:multiLevelType w:val="hybridMultilevel"/>
    <w:tmpl w:val="BCCE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1"/>
  </w:num>
  <w:num w:numId="2">
    <w:abstractNumId w:val="21"/>
  </w:num>
  <w:num w:numId="3">
    <w:abstractNumId w:val="18"/>
  </w:num>
  <w:num w:numId="4">
    <w:abstractNumId w:val="13"/>
  </w:num>
  <w:num w:numId="5">
    <w:abstractNumId w:val="14"/>
  </w:num>
  <w:num w:numId="6">
    <w:abstractNumId w:val="10"/>
  </w:num>
  <w:num w:numId="7">
    <w:abstractNumId w:val="7"/>
  </w:num>
  <w:num w:numId="8">
    <w:abstractNumId w:val="12"/>
  </w:num>
  <w:num w:numId="9">
    <w:abstractNumId w:val="17"/>
  </w:num>
  <w:num w:numId="10">
    <w:abstractNumId w:val="19"/>
  </w:num>
  <w:num w:numId="11">
    <w:abstractNumId w:val="3"/>
  </w:num>
  <w:num w:numId="12">
    <w:abstractNumId w:val="15"/>
  </w:num>
  <w:num w:numId="13">
    <w:abstractNumId w:val="20"/>
  </w:num>
  <w:num w:numId="14">
    <w:abstractNumId w:val="0"/>
  </w:num>
  <w:num w:numId="15">
    <w:abstractNumId w:val="5"/>
  </w:num>
  <w:num w:numId="16">
    <w:abstractNumId w:val="22"/>
  </w:num>
  <w:num w:numId="17">
    <w:abstractNumId w:val="24"/>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4"/>
  </w:num>
  <w:num w:numId="21">
    <w:abstractNumId w:val="1"/>
  </w:num>
  <w:num w:numId="22">
    <w:abstractNumId w:val="23"/>
  </w:num>
  <w:num w:numId="23">
    <w:abstractNumId w:val="1"/>
  </w:num>
  <w:num w:numId="24">
    <w:abstractNumId w:val="6"/>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2300"/>
    <w:rsid w:val="00091380"/>
    <w:rsid w:val="000967FA"/>
    <w:rsid w:val="000D6905"/>
    <w:rsid w:val="000D6AE8"/>
    <w:rsid w:val="000E1131"/>
    <w:rsid w:val="000E16CA"/>
    <w:rsid w:val="000F1D4C"/>
    <w:rsid w:val="00123B68"/>
    <w:rsid w:val="00130DD8"/>
    <w:rsid w:val="00133830"/>
    <w:rsid w:val="0013539B"/>
    <w:rsid w:val="00184144"/>
    <w:rsid w:val="0019505A"/>
    <w:rsid w:val="001B3138"/>
    <w:rsid w:val="001C0127"/>
    <w:rsid w:val="001F3CF4"/>
    <w:rsid w:val="001F46EB"/>
    <w:rsid w:val="0020323F"/>
    <w:rsid w:val="00203FF7"/>
    <w:rsid w:val="002046F5"/>
    <w:rsid w:val="00255D64"/>
    <w:rsid w:val="00261273"/>
    <w:rsid w:val="002A1316"/>
    <w:rsid w:val="002A44FE"/>
    <w:rsid w:val="002B6ED3"/>
    <w:rsid w:val="002D70E6"/>
    <w:rsid w:val="002F6FF9"/>
    <w:rsid w:val="00304CEC"/>
    <w:rsid w:val="003148E8"/>
    <w:rsid w:val="0032409A"/>
    <w:rsid w:val="00325660"/>
    <w:rsid w:val="003325E9"/>
    <w:rsid w:val="00333FC0"/>
    <w:rsid w:val="003415C3"/>
    <w:rsid w:val="0034544B"/>
    <w:rsid w:val="0035124D"/>
    <w:rsid w:val="0035609F"/>
    <w:rsid w:val="00357190"/>
    <w:rsid w:val="0039600A"/>
    <w:rsid w:val="003B12DE"/>
    <w:rsid w:val="0040093D"/>
    <w:rsid w:val="0040337C"/>
    <w:rsid w:val="00411371"/>
    <w:rsid w:val="00434970"/>
    <w:rsid w:val="00435DAC"/>
    <w:rsid w:val="0044022E"/>
    <w:rsid w:val="00446244"/>
    <w:rsid w:val="004516AB"/>
    <w:rsid w:val="00452842"/>
    <w:rsid w:val="0046577D"/>
    <w:rsid w:val="00474B8D"/>
    <w:rsid w:val="004829CD"/>
    <w:rsid w:val="0048680B"/>
    <w:rsid w:val="00490996"/>
    <w:rsid w:val="004953BB"/>
    <w:rsid w:val="0049733D"/>
    <w:rsid w:val="004A166E"/>
    <w:rsid w:val="004B51B6"/>
    <w:rsid w:val="004D4855"/>
    <w:rsid w:val="004E2BB9"/>
    <w:rsid w:val="004E3B7D"/>
    <w:rsid w:val="005574CC"/>
    <w:rsid w:val="00562444"/>
    <w:rsid w:val="00593DF8"/>
    <w:rsid w:val="005A259E"/>
    <w:rsid w:val="005D191C"/>
    <w:rsid w:val="005E15E0"/>
    <w:rsid w:val="00624E04"/>
    <w:rsid w:val="00626152"/>
    <w:rsid w:val="00626EC0"/>
    <w:rsid w:val="00630368"/>
    <w:rsid w:val="00634598"/>
    <w:rsid w:val="00637C40"/>
    <w:rsid w:val="00654938"/>
    <w:rsid w:val="00676A9F"/>
    <w:rsid w:val="00690138"/>
    <w:rsid w:val="006B37DD"/>
    <w:rsid w:val="006D3A59"/>
    <w:rsid w:val="00706B68"/>
    <w:rsid w:val="00715743"/>
    <w:rsid w:val="0072525D"/>
    <w:rsid w:val="007306B9"/>
    <w:rsid w:val="00756AE3"/>
    <w:rsid w:val="007574AB"/>
    <w:rsid w:val="00761440"/>
    <w:rsid w:val="00774EEB"/>
    <w:rsid w:val="007767B8"/>
    <w:rsid w:val="007774AA"/>
    <w:rsid w:val="007830EA"/>
    <w:rsid w:val="00794B81"/>
    <w:rsid w:val="00795898"/>
    <w:rsid w:val="007B0263"/>
    <w:rsid w:val="007B4554"/>
    <w:rsid w:val="007F1389"/>
    <w:rsid w:val="007F344C"/>
    <w:rsid w:val="00845924"/>
    <w:rsid w:val="00852EE5"/>
    <w:rsid w:val="00866D48"/>
    <w:rsid w:val="008758B4"/>
    <w:rsid w:val="008869A6"/>
    <w:rsid w:val="008C3A60"/>
    <w:rsid w:val="008C59AA"/>
    <w:rsid w:val="00913B21"/>
    <w:rsid w:val="0092196B"/>
    <w:rsid w:val="009249B4"/>
    <w:rsid w:val="00957780"/>
    <w:rsid w:val="00972A11"/>
    <w:rsid w:val="00980638"/>
    <w:rsid w:val="00984FA6"/>
    <w:rsid w:val="0098632A"/>
    <w:rsid w:val="009B20EB"/>
    <w:rsid w:val="009C702B"/>
    <w:rsid w:val="00A11581"/>
    <w:rsid w:val="00A202AF"/>
    <w:rsid w:val="00A82C39"/>
    <w:rsid w:val="00A83237"/>
    <w:rsid w:val="00A92C59"/>
    <w:rsid w:val="00AA1DC0"/>
    <w:rsid w:val="00AA6691"/>
    <w:rsid w:val="00AC14AF"/>
    <w:rsid w:val="00AE6149"/>
    <w:rsid w:val="00AE74CF"/>
    <w:rsid w:val="00B10C19"/>
    <w:rsid w:val="00B30CA0"/>
    <w:rsid w:val="00BB5939"/>
    <w:rsid w:val="00BF0C31"/>
    <w:rsid w:val="00C04FA0"/>
    <w:rsid w:val="00C051DB"/>
    <w:rsid w:val="00C065F6"/>
    <w:rsid w:val="00C26B71"/>
    <w:rsid w:val="00C57730"/>
    <w:rsid w:val="00C6544D"/>
    <w:rsid w:val="00C9066D"/>
    <w:rsid w:val="00CA39BF"/>
    <w:rsid w:val="00CB7CFA"/>
    <w:rsid w:val="00CC53AA"/>
    <w:rsid w:val="00CE3B76"/>
    <w:rsid w:val="00CF3750"/>
    <w:rsid w:val="00D21513"/>
    <w:rsid w:val="00D21D69"/>
    <w:rsid w:val="00D506C4"/>
    <w:rsid w:val="00D81464"/>
    <w:rsid w:val="00D924B0"/>
    <w:rsid w:val="00DA1C46"/>
    <w:rsid w:val="00DC071A"/>
    <w:rsid w:val="00DF407B"/>
    <w:rsid w:val="00E077F0"/>
    <w:rsid w:val="00E136A0"/>
    <w:rsid w:val="00E2462E"/>
    <w:rsid w:val="00E30ACC"/>
    <w:rsid w:val="00E90A65"/>
    <w:rsid w:val="00E97134"/>
    <w:rsid w:val="00EA2736"/>
    <w:rsid w:val="00EA5F31"/>
    <w:rsid w:val="00EC15C1"/>
    <w:rsid w:val="00EC61F1"/>
    <w:rsid w:val="00EF720B"/>
    <w:rsid w:val="00F04F9A"/>
    <w:rsid w:val="00F05F13"/>
    <w:rsid w:val="00F179AD"/>
    <w:rsid w:val="00F36D97"/>
    <w:rsid w:val="00F45D51"/>
    <w:rsid w:val="00F723F1"/>
    <w:rsid w:val="00F73E6E"/>
    <w:rsid w:val="00F858B9"/>
    <w:rsid w:val="00FE7FAA"/>
    <w:rsid w:val="00FF1017"/>
    <w:rsid w:val="00FF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styleId="CommentReference">
    <w:name w:val="annotation reference"/>
    <w:basedOn w:val="DefaultParagraphFont"/>
    <w:semiHidden/>
    <w:unhideWhenUsed/>
    <w:rsid w:val="00D21D69"/>
    <w:rPr>
      <w:sz w:val="16"/>
      <w:szCs w:val="16"/>
    </w:rPr>
  </w:style>
  <w:style w:type="paragraph" w:styleId="CommentText">
    <w:name w:val="annotation text"/>
    <w:basedOn w:val="Normal"/>
    <w:link w:val="CommentTextChar"/>
    <w:semiHidden/>
    <w:unhideWhenUsed/>
    <w:rsid w:val="00D21D69"/>
    <w:rPr>
      <w:sz w:val="20"/>
      <w:szCs w:val="20"/>
    </w:rPr>
  </w:style>
  <w:style w:type="character" w:customStyle="1" w:styleId="CommentTextChar">
    <w:name w:val="Comment Text Char"/>
    <w:basedOn w:val="DefaultParagraphFont"/>
    <w:link w:val="CommentText"/>
    <w:semiHidden/>
    <w:rsid w:val="00D21D69"/>
  </w:style>
  <w:style w:type="paragraph" w:styleId="CommentSubject">
    <w:name w:val="annotation subject"/>
    <w:basedOn w:val="CommentText"/>
    <w:next w:val="CommentText"/>
    <w:link w:val="CommentSubjectChar"/>
    <w:semiHidden/>
    <w:unhideWhenUsed/>
    <w:rsid w:val="00D21D69"/>
    <w:rPr>
      <w:b/>
      <w:bCs/>
    </w:rPr>
  </w:style>
  <w:style w:type="character" w:customStyle="1" w:styleId="CommentSubjectChar">
    <w:name w:val="Comment Subject Char"/>
    <w:basedOn w:val="CommentTextChar"/>
    <w:link w:val="CommentSubject"/>
    <w:semiHidden/>
    <w:rsid w:val="00D21D69"/>
    <w:rPr>
      <w:b/>
      <w:bCs/>
    </w:rPr>
  </w:style>
  <w:style w:type="paragraph" w:styleId="Revision">
    <w:name w:val="Revision"/>
    <w:hidden/>
    <w:uiPriority w:val="99"/>
    <w:semiHidden/>
    <w:rsid w:val="00D21D69"/>
    <w:rPr>
      <w:sz w:val="24"/>
      <w:szCs w:val="24"/>
    </w:rPr>
  </w:style>
  <w:style w:type="paragraph" w:styleId="BalloonText">
    <w:name w:val="Balloon Text"/>
    <w:basedOn w:val="Normal"/>
    <w:link w:val="BalloonTextChar"/>
    <w:semiHidden/>
    <w:unhideWhenUsed/>
    <w:rsid w:val="00D21D69"/>
    <w:rPr>
      <w:rFonts w:ascii="Segoe UI" w:hAnsi="Segoe UI" w:cs="Segoe UI"/>
      <w:sz w:val="18"/>
      <w:szCs w:val="18"/>
    </w:rPr>
  </w:style>
  <w:style w:type="character" w:customStyle="1" w:styleId="BalloonTextChar">
    <w:name w:val="Balloon Text Char"/>
    <w:basedOn w:val="DefaultParagraphFont"/>
    <w:link w:val="BalloonText"/>
    <w:semiHidden/>
    <w:rsid w:val="00D21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D219-F7C9-4815-A066-5F925E8A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2F083DE2</Template>
  <TotalTime>5</TotalTime>
  <Pages>2</Pages>
  <Words>760</Words>
  <Characters>4743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8</cp:revision>
  <cp:lastPrinted>2019-08-14T14:41:00Z</cp:lastPrinted>
  <dcterms:created xsi:type="dcterms:W3CDTF">2019-10-29T22:46:00Z</dcterms:created>
  <dcterms:modified xsi:type="dcterms:W3CDTF">2019-12-09T18:41:00Z</dcterms:modified>
</cp:coreProperties>
</file>