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0F6D42A8"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B4D32D0" w:rsidR="002A1316" w:rsidRPr="005B1DE0" w:rsidRDefault="002A1316" w:rsidP="00881216">
      <w:pPr>
        <w:pStyle w:val="Heading2"/>
        <w:rPr>
          <w:bCs/>
          <w:i/>
          <w:iCs/>
          <w:sz w:val="22"/>
          <w:szCs w:val="22"/>
        </w:rPr>
      </w:pPr>
      <w:r w:rsidRPr="00016321">
        <w:rPr>
          <w:b/>
          <w:sz w:val="22"/>
          <w:szCs w:val="22"/>
        </w:rPr>
        <w:t>Issue</w:t>
      </w:r>
      <w:r w:rsidRPr="00476C23">
        <w:rPr>
          <w:b/>
          <w:sz w:val="22"/>
          <w:szCs w:val="22"/>
        </w:rPr>
        <w:t>:</w:t>
      </w:r>
      <w:r w:rsidR="00EC61F1" w:rsidRPr="00476C23">
        <w:rPr>
          <w:b/>
          <w:sz w:val="22"/>
          <w:szCs w:val="22"/>
        </w:rPr>
        <w:t xml:space="preserve"> </w:t>
      </w:r>
      <w:r w:rsidR="005B1DE0" w:rsidRPr="00F104C7">
        <w:rPr>
          <w:b/>
          <w:i/>
          <w:iCs/>
          <w:sz w:val="22"/>
          <w:szCs w:val="22"/>
        </w:rPr>
        <w:t>ASU 2020-02</w:t>
      </w:r>
      <w:r w:rsidR="00476C23" w:rsidRPr="00F104C7">
        <w:rPr>
          <w:b/>
          <w:i/>
          <w:iCs/>
          <w:sz w:val="22"/>
          <w:szCs w:val="22"/>
        </w:rPr>
        <w:t xml:space="preserve">—Amendments to SEC Paragraphs in </w:t>
      </w:r>
      <w:r w:rsidR="00881216" w:rsidRPr="00F104C7">
        <w:rPr>
          <w:b/>
          <w:i/>
          <w:iCs/>
          <w:sz w:val="22"/>
          <w:szCs w:val="22"/>
        </w:rPr>
        <w:t>Credit Losses (Topic 326) and Leases (Topic 842)</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70AA0">
        <w:rPr>
          <w:sz w:val="22"/>
          <w:szCs w:val="22"/>
        </w:rPr>
      </w:r>
      <w:r w:rsidR="00170AA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655F859D" w:rsidR="002A1316" w:rsidRDefault="002A1316" w:rsidP="00B30CA0">
      <w:pPr>
        <w:pStyle w:val="BodyText2"/>
        <w:rPr>
          <w:bCs w:val="0"/>
          <w:szCs w:val="22"/>
        </w:rPr>
      </w:pPr>
      <w:r w:rsidRPr="00016321">
        <w:rPr>
          <w:bCs w:val="0"/>
          <w:szCs w:val="22"/>
        </w:rPr>
        <w:t>Description of Issue:</w:t>
      </w:r>
    </w:p>
    <w:p w14:paraId="0B168B45" w14:textId="277402CE" w:rsidR="00306C82" w:rsidRPr="00B575EF" w:rsidRDefault="00B575EF" w:rsidP="00B30CA0">
      <w:pPr>
        <w:pStyle w:val="BodyText2"/>
        <w:rPr>
          <w:b w:val="0"/>
          <w:szCs w:val="22"/>
        </w:rPr>
      </w:pPr>
      <w:r>
        <w:rPr>
          <w:b w:val="0"/>
          <w:bCs w:val="0"/>
          <w:szCs w:val="22"/>
        </w:rPr>
        <w:t xml:space="preserve">FASB </w:t>
      </w:r>
      <w:r w:rsidRPr="00B575EF">
        <w:rPr>
          <w:b w:val="0"/>
          <w:bCs w:val="0"/>
          <w:szCs w:val="22"/>
        </w:rPr>
        <w:t xml:space="preserve">issued </w:t>
      </w:r>
      <w:r w:rsidRPr="00B575EF">
        <w:rPr>
          <w:b w:val="0"/>
          <w:bCs w:val="0"/>
          <w:i/>
          <w:iCs/>
          <w:szCs w:val="22"/>
        </w:rPr>
        <w:t>ASU 2020-02, Financial Instruments—Credit Losses (Topic 326) and Leases (Topic 842), Amendments to SEC Paragraphs Pursuant to SEC Staff Accounting Bulletin No. 119 and Update to SEC Section on Effective Date Related to Accounting Standards Update No. 2016-02, Leases (Topic 842)</w:t>
      </w:r>
      <w:r>
        <w:rPr>
          <w:b w:val="0"/>
          <w:szCs w:val="22"/>
        </w:rPr>
        <w:t xml:space="preserve">, which </w:t>
      </w:r>
      <w:r w:rsidR="00187E34">
        <w:rPr>
          <w:b w:val="0"/>
          <w:szCs w:val="22"/>
        </w:rPr>
        <w:t>effects the codification in Credit Losses (Topic 326) and Leases (Topic 842).</w:t>
      </w:r>
      <w:r w:rsidR="00E72E8D">
        <w:rPr>
          <w:b w:val="0"/>
          <w:szCs w:val="22"/>
        </w:rPr>
        <w:t xml:space="preserve"> </w:t>
      </w:r>
      <w:r w:rsidR="0054315F">
        <w:rPr>
          <w:b w:val="0"/>
          <w:szCs w:val="22"/>
        </w:rPr>
        <w:t xml:space="preserve"> </w:t>
      </w:r>
      <w:r w:rsidR="00E72E8D">
        <w:rPr>
          <w:b w:val="0"/>
          <w:szCs w:val="22"/>
        </w:rPr>
        <w:t>The update provides a new SEC section in Topic 326 that clarifies reporting for SEC registrants and updates the effective date for these provisions, and the updates to Topic 842 update the effective dates for the new lease guidance for SEC reporting companies.</w:t>
      </w:r>
    </w:p>
    <w:p w14:paraId="040C7183" w14:textId="77777777" w:rsidR="00435DAC" w:rsidRPr="00B575EF" w:rsidRDefault="00435DAC" w:rsidP="00A92C59">
      <w:pPr>
        <w:pStyle w:val="BodyText2"/>
        <w:rPr>
          <w:bCs w:val="0"/>
          <w:szCs w:val="22"/>
        </w:rPr>
      </w:pPr>
    </w:p>
    <w:p w14:paraId="6C6B67AF" w14:textId="77777777" w:rsidR="002A1316" w:rsidRPr="00016321" w:rsidRDefault="002A1316" w:rsidP="00B30CA0">
      <w:pPr>
        <w:pStyle w:val="BodyText2"/>
        <w:rPr>
          <w:bCs w:val="0"/>
          <w:szCs w:val="22"/>
        </w:rPr>
      </w:pPr>
      <w:r w:rsidRPr="00016321">
        <w:rPr>
          <w:bCs w:val="0"/>
          <w:szCs w:val="22"/>
        </w:rPr>
        <w:t>Existing Authoritative Literature:</w:t>
      </w:r>
    </w:p>
    <w:p w14:paraId="6F758E25" w14:textId="509DD65E" w:rsidR="004E2BB9" w:rsidRDefault="008446E7" w:rsidP="00B30CA0">
      <w:pPr>
        <w:pStyle w:val="BodyText2"/>
        <w:rPr>
          <w:b w:val="0"/>
          <w:bCs w:val="0"/>
          <w:szCs w:val="22"/>
        </w:rPr>
      </w:pPr>
      <w:r>
        <w:rPr>
          <w:b w:val="0"/>
          <w:bCs w:val="0"/>
          <w:szCs w:val="22"/>
        </w:rPr>
        <w:t xml:space="preserve">Credit Losses (Topic 326) </w:t>
      </w:r>
      <w:r w:rsidR="004863CE">
        <w:rPr>
          <w:b w:val="0"/>
          <w:bCs w:val="0"/>
          <w:szCs w:val="22"/>
        </w:rPr>
        <w:t>while</w:t>
      </w:r>
      <w:r>
        <w:rPr>
          <w:b w:val="0"/>
          <w:bCs w:val="0"/>
          <w:szCs w:val="22"/>
        </w:rPr>
        <w:t xml:space="preserve"> not yet addressed</w:t>
      </w:r>
      <w:r w:rsidR="004863CE">
        <w:rPr>
          <w:b w:val="0"/>
          <w:bCs w:val="0"/>
          <w:szCs w:val="22"/>
        </w:rPr>
        <w:t>, is being actively monitored</w:t>
      </w:r>
      <w:r>
        <w:rPr>
          <w:b w:val="0"/>
          <w:bCs w:val="0"/>
          <w:szCs w:val="22"/>
        </w:rPr>
        <w:t xml:space="preserve"> by the Working Group</w:t>
      </w:r>
      <w:r w:rsidR="0054315F">
        <w:rPr>
          <w:b w:val="0"/>
          <w:bCs w:val="0"/>
          <w:szCs w:val="22"/>
        </w:rPr>
        <w:t>.</w:t>
      </w:r>
    </w:p>
    <w:p w14:paraId="28806979" w14:textId="77777777" w:rsidR="008446E7" w:rsidRDefault="008446E7" w:rsidP="00B30CA0">
      <w:pPr>
        <w:pStyle w:val="BodyText2"/>
        <w:rPr>
          <w:b w:val="0"/>
          <w:bCs w:val="0"/>
          <w:szCs w:val="22"/>
        </w:rPr>
      </w:pPr>
    </w:p>
    <w:p w14:paraId="4BF9E2B4" w14:textId="1D3E5C35" w:rsidR="008446E7" w:rsidRDefault="008446E7" w:rsidP="008446E7">
      <w:pPr>
        <w:pStyle w:val="BodyText2"/>
        <w:rPr>
          <w:b w:val="0"/>
          <w:bCs w:val="0"/>
          <w:szCs w:val="22"/>
        </w:rPr>
      </w:pPr>
      <w:r>
        <w:rPr>
          <w:b w:val="0"/>
          <w:bCs w:val="0"/>
          <w:szCs w:val="22"/>
        </w:rPr>
        <w:t xml:space="preserve">Leases are covered in </w:t>
      </w:r>
      <w:r w:rsidRPr="00530831">
        <w:rPr>
          <w:b w:val="0"/>
          <w:bCs w:val="0"/>
          <w:i/>
          <w:szCs w:val="22"/>
        </w:rPr>
        <w:t>SSAP No. 22</w:t>
      </w:r>
      <w:r>
        <w:rPr>
          <w:b w:val="0"/>
          <w:bCs w:val="0"/>
          <w:i/>
          <w:szCs w:val="22"/>
        </w:rPr>
        <w:t>R</w:t>
      </w:r>
      <w:r w:rsidRPr="00530831">
        <w:rPr>
          <w:b w:val="0"/>
          <w:bCs w:val="0"/>
          <w:i/>
          <w:szCs w:val="22"/>
        </w:rPr>
        <w:t>—Leases</w:t>
      </w:r>
      <w:r>
        <w:rPr>
          <w:b w:val="0"/>
          <w:bCs w:val="0"/>
          <w:i/>
          <w:szCs w:val="22"/>
        </w:rPr>
        <w:t xml:space="preserve">. </w:t>
      </w:r>
      <w:r>
        <w:rPr>
          <w:b w:val="0"/>
          <w:bCs w:val="0"/>
          <w:szCs w:val="22"/>
        </w:rPr>
        <w:t xml:space="preserve">Basic discussion of the nature of assets, and specifically admitted assets, is covered in </w:t>
      </w:r>
      <w:r w:rsidRPr="00765904">
        <w:rPr>
          <w:b w:val="0"/>
          <w:bCs w:val="0"/>
          <w:i/>
          <w:szCs w:val="22"/>
        </w:rPr>
        <w:t>SSAP No. 4—Assets and Nonadmitted Assets</w:t>
      </w:r>
      <w:r>
        <w:rPr>
          <w:b w:val="0"/>
          <w:bCs w:val="0"/>
          <w:szCs w:val="22"/>
        </w:rPr>
        <w:t xml:space="preserve">. </w:t>
      </w:r>
    </w:p>
    <w:p w14:paraId="44DF7382" w14:textId="77777777" w:rsidR="00E72E8D" w:rsidRPr="00016321" w:rsidRDefault="00E72E8D" w:rsidP="00B30CA0">
      <w:pPr>
        <w:pStyle w:val="BodyText2"/>
        <w:rPr>
          <w:b w:val="0"/>
          <w:bCs w:val="0"/>
          <w:szCs w:val="22"/>
        </w:rPr>
      </w:pPr>
    </w:p>
    <w:p w14:paraId="0BDB1F1A" w14:textId="01F06AF8"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8446E7">
        <w:rPr>
          <w:b w:val="0"/>
          <w:szCs w:val="22"/>
        </w:rPr>
        <w:t xml:space="preserve">The </w:t>
      </w:r>
      <w:r w:rsidR="004F5CB3">
        <w:rPr>
          <w:b w:val="0"/>
          <w:szCs w:val="22"/>
        </w:rPr>
        <w:t>Working</w:t>
      </w:r>
      <w:r w:rsidR="008446E7">
        <w:rPr>
          <w:b w:val="0"/>
          <w:szCs w:val="22"/>
        </w:rPr>
        <w:t xml:space="preserve"> Group </w:t>
      </w:r>
      <w:r w:rsidR="004F5CB3">
        <w:rPr>
          <w:b w:val="0"/>
          <w:szCs w:val="22"/>
        </w:rPr>
        <w:t xml:space="preserve">adopted substantive revisions to create SSAP No. 22R, which brings in language from Topic 842 but </w:t>
      </w:r>
      <w:r w:rsidR="00476C23">
        <w:rPr>
          <w:b w:val="0"/>
          <w:szCs w:val="22"/>
        </w:rPr>
        <w:t>retains</w:t>
      </w:r>
      <w:r w:rsidR="004F5CB3">
        <w:rPr>
          <w:b w:val="0"/>
          <w:szCs w:val="22"/>
        </w:rPr>
        <w:t xml:space="preserve"> the operating lease treatment for statutory accounting.</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77777777" w:rsidR="00490996" w:rsidRPr="00016321" w:rsidRDefault="00490996" w:rsidP="00490996">
      <w:pPr>
        <w:pStyle w:val="Default"/>
        <w:rPr>
          <w:b/>
          <w:sz w:val="22"/>
          <w:szCs w:val="22"/>
        </w:rPr>
      </w:pPr>
      <w:r w:rsidRPr="00016321">
        <w:rPr>
          <w:b/>
          <w:sz w:val="22"/>
          <w:szCs w:val="22"/>
        </w:rPr>
        <w:t>Convergence with International Financial Reporting Standards (IFRS):</w:t>
      </w:r>
    </w:p>
    <w:p w14:paraId="1F1F1EA7" w14:textId="77777777" w:rsidR="002156FF" w:rsidRPr="00016321" w:rsidRDefault="002156FF" w:rsidP="002156FF">
      <w:pPr>
        <w:pStyle w:val="Default"/>
        <w:jc w:val="both"/>
        <w:rPr>
          <w:b/>
          <w:sz w:val="22"/>
          <w:szCs w:val="22"/>
        </w:rPr>
      </w:pPr>
      <w:r w:rsidRPr="008B3632">
        <w:rPr>
          <w:color w:val="auto"/>
          <w:sz w:val="22"/>
          <w:szCs w:val="22"/>
        </w:rPr>
        <w:t>The leases project began as a joint project with the IASB and many of the requirements in Topic 842 are the same as the requirements in IFRS 16.</w:t>
      </w:r>
    </w:p>
    <w:p w14:paraId="6E612040" w14:textId="77777777" w:rsidR="002156FF" w:rsidRPr="00016321" w:rsidRDefault="002156FF" w:rsidP="00490996">
      <w:pPr>
        <w:pStyle w:val="BodyText2"/>
        <w:rPr>
          <w:b w:val="0"/>
          <w:bCs w:val="0"/>
          <w:szCs w:val="22"/>
        </w:rPr>
      </w:pPr>
    </w:p>
    <w:p w14:paraId="4A57F060" w14:textId="5BDC41DF" w:rsidR="002156FF" w:rsidRPr="002156FF" w:rsidRDefault="002A1316" w:rsidP="002156FF">
      <w:pPr>
        <w:pStyle w:val="BodyText2"/>
        <w:rPr>
          <w:szCs w:val="22"/>
        </w:rPr>
      </w:pPr>
      <w:r w:rsidRPr="00016321">
        <w:rPr>
          <w:szCs w:val="22"/>
        </w:rPr>
        <w:t>Staff Recommendation:</w:t>
      </w:r>
      <w:r w:rsidR="002156FF">
        <w:rPr>
          <w:szCs w:val="22"/>
        </w:rPr>
        <w:t xml:space="preserve"> </w:t>
      </w:r>
      <w:bookmarkStart w:id="1" w:name="_Hlk33432049"/>
      <w:r w:rsidR="002156FF" w:rsidRPr="0057672E">
        <w:rPr>
          <w:szCs w:val="22"/>
        </w:rPr>
        <w:t xml:space="preserve">NAIC </w:t>
      </w:r>
      <w:r w:rsidR="002156FF" w:rsidRPr="005459BE">
        <w:rPr>
          <w:szCs w:val="22"/>
        </w:rPr>
        <w:t>s</w:t>
      </w:r>
      <w:r w:rsidR="002156FF" w:rsidRPr="00016321">
        <w:rPr>
          <w:szCs w:val="22"/>
        </w:rPr>
        <w:t xml:space="preserve">taff recommends that the Working Group move this item to the active listing, categorized as </w:t>
      </w:r>
      <w:r w:rsidR="002156FF" w:rsidRPr="00EB2672">
        <w:rPr>
          <w:szCs w:val="22"/>
        </w:rPr>
        <w:t>nonsubstantive</w:t>
      </w:r>
      <w:r w:rsidR="002156FF">
        <w:rPr>
          <w:szCs w:val="22"/>
        </w:rPr>
        <w:t>,</w:t>
      </w:r>
      <w:r w:rsidR="002156FF" w:rsidRPr="00EB2672">
        <w:rPr>
          <w:szCs w:val="22"/>
        </w:rPr>
        <w:t xml:space="preserve"> and</w:t>
      </w:r>
      <w:r w:rsidR="002156FF" w:rsidRPr="00016321">
        <w:rPr>
          <w:szCs w:val="22"/>
        </w:rPr>
        <w:t xml:space="preserve"> expose revisions to </w:t>
      </w:r>
      <w:r w:rsidR="002156FF" w:rsidRPr="0015742F">
        <w:rPr>
          <w:i/>
          <w:szCs w:val="22"/>
        </w:rPr>
        <w:t>Appendix D—Nonapplicable GAAP Pronouncements</w:t>
      </w:r>
      <w:r w:rsidR="002156FF" w:rsidRPr="0015742F">
        <w:rPr>
          <w:szCs w:val="22"/>
        </w:rPr>
        <w:t xml:space="preserve"> to </w:t>
      </w:r>
      <w:r w:rsidR="002156FF" w:rsidRPr="002156FF">
        <w:rPr>
          <w:szCs w:val="22"/>
        </w:rPr>
        <w:t xml:space="preserve">reject </w:t>
      </w:r>
      <w:r w:rsidR="002156FF" w:rsidRPr="002156FF">
        <w:rPr>
          <w:i/>
          <w:iCs/>
          <w:szCs w:val="22"/>
        </w:rPr>
        <w:t>ASU 2020-02, Financial Instruments—Credit Losses (Topic 326) and Leases (Topic 842), Amendments to SEC Paragraphs Pursuant to SEC Staff Accounting Bulletin No. 119 and Update to SEC Section on Effective Date Related to Accounting Standards Update No. 2016-02, Leases (Topic 842)</w:t>
      </w:r>
      <w:r w:rsidR="002156FF" w:rsidRPr="002156FF">
        <w:rPr>
          <w:i/>
          <w:szCs w:val="22"/>
        </w:rPr>
        <w:t xml:space="preserve"> </w:t>
      </w:r>
      <w:r w:rsidR="002156FF" w:rsidRPr="002156FF">
        <w:rPr>
          <w:szCs w:val="22"/>
        </w:rPr>
        <w:t>as not applicable to statutory accounting.</w:t>
      </w:r>
    </w:p>
    <w:p w14:paraId="2AAD654C" w14:textId="77777777" w:rsidR="002156FF" w:rsidRDefault="002156FF" w:rsidP="002156FF">
      <w:pPr>
        <w:pStyle w:val="BodyText2"/>
        <w:rPr>
          <w:szCs w:val="22"/>
        </w:rPr>
      </w:pPr>
    </w:p>
    <w:p w14:paraId="5913E6F4" w14:textId="6EBF0F72" w:rsidR="002156FF" w:rsidRPr="00016321" w:rsidRDefault="002156FF" w:rsidP="002156FF">
      <w:pPr>
        <w:pStyle w:val="BodyText2"/>
        <w:rPr>
          <w:szCs w:val="22"/>
        </w:rPr>
      </w:pPr>
      <w:r>
        <w:rPr>
          <w:b w:val="0"/>
          <w:bCs w:val="0"/>
          <w:szCs w:val="22"/>
        </w:rPr>
        <w:t>This item is proposed to be rejected as not applicable as ASU 2020-02 is specific to deletion of SEC paragraphs, which are not applicable for statutory accounting purposes.</w:t>
      </w:r>
    </w:p>
    <w:bookmarkEnd w:id="1"/>
    <w:p w14:paraId="2A2E73F1" w14:textId="77777777" w:rsidR="006B37DD" w:rsidRPr="00016321" w:rsidRDefault="006B37DD" w:rsidP="00B30CA0">
      <w:pPr>
        <w:rPr>
          <w:sz w:val="22"/>
          <w:szCs w:val="22"/>
        </w:rPr>
      </w:pPr>
    </w:p>
    <w:p w14:paraId="44BEB325" w14:textId="77777777" w:rsidR="00EC5218" w:rsidRDefault="002156FF" w:rsidP="002156FF">
      <w:pPr>
        <w:pStyle w:val="BodyText2"/>
        <w:rPr>
          <w:szCs w:val="22"/>
        </w:rPr>
      </w:pPr>
      <w:r w:rsidRPr="00016321">
        <w:rPr>
          <w:szCs w:val="22"/>
        </w:rPr>
        <w:t>Staff Review Completed by:</w:t>
      </w:r>
      <w:r>
        <w:rPr>
          <w:szCs w:val="22"/>
        </w:rPr>
        <w:t xml:space="preserve"> Jake Stultz – February 2020</w:t>
      </w:r>
      <w:r w:rsidR="00EC5218">
        <w:rPr>
          <w:szCs w:val="22"/>
        </w:rPr>
        <w:t xml:space="preserve"> </w:t>
      </w:r>
    </w:p>
    <w:p w14:paraId="7EAE206B" w14:textId="77777777" w:rsidR="00EC5218" w:rsidRDefault="00EC5218" w:rsidP="002156FF">
      <w:pPr>
        <w:pStyle w:val="BodyText2"/>
        <w:rPr>
          <w:szCs w:val="22"/>
        </w:rPr>
      </w:pPr>
    </w:p>
    <w:p w14:paraId="0AEDC50C" w14:textId="62EB79D7" w:rsidR="002156FF" w:rsidRPr="00016321" w:rsidRDefault="00EC5218" w:rsidP="005B593D">
      <w:pPr>
        <w:pStyle w:val="BodyText2"/>
        <w:rPr>
          <w:szCs w:val="22"/>
        </w:rPr>
      </w:pPr>
      <w:r>
        <w:rPr>
          <w:szCs w:val="22"/>
        </w:rPr>
        <w:t>Status:</w:t>
      </w:r>
    </w:p>
    <w:p w14:paraId="791E979D" w14:textId="4D274ABA" w:rsidR="00EC5218" w:rsidRPr="0050299C" w:rsidRDefault="00EC5218" w:rsidP="005B593D">
      <w:pPr>
        <w:jc w:val="both"/>
        <w:rPr>
          <w:sz w:val="22"/>
        </w:rPr>
      </w:pPr>
      <w:r w:rsidRPr="008E56C6">
        <w:rPr>
          <w:sz w:val="22"/>
          <w:szCs w:val="22"/>
        </w:rPr>
        <w:t xml:space="preserve">On March 18, 2020, the Statutory Accounting Principles (E) Working Group </w:t>
      </w:r>
      <w:r>
        <w:rPr>
          <w:sz w:val="22"/>
          <w:szCs w:val="22"/>
        </w:rPr>
        <w:t xml:space="preserve">moved this item to the active listing, categorized as nonsubstantive, </w:t>
      </w:r>
      <w:r w:rsidRPr="00D273C7">
        <w:rPr>
          <w:sz w:val="22"/>
          <w:szCs w:val="22"/>
        </w:rPr>
        <w:t xml:space="preserve">and exposed revisions to </w:t>
      </w:r>
      <w:r w:rsidRPr="005B15F3">
        <w:rPr>
          <w:i/>
          <w:iCs/>
          <w:sz w:val="22"/>
          <w:szCs w:val="22"/>
        </w:rPr>
        <w:t>Appendix D—Nonapplicable GAAP Pronouncements</w:t>
      </w:r>
      <w:r w:rsidRPr="00D273C7">
        <w:rPr>
          <w:i/>
          <w:iCs/>
          <w:sz w:val="22"/>
          <w:szCs w:val="22"/>
        </w:rPr>
        <w:t xml:space="preserve"> </w:t>
      </w:r>
      <w:r w:rsidRPr="00D273C7">
        <w:rPr>
          <w:sz w:val="22"/>
          <w:szCs w:val="22"/>
        </w:rPr>
        <w:t xml:space="preserve">to </w:t>
      </w:r>
      <w:r>
        <w:rPr>
          <w:sz w:val="22"/>
          <w:szCs w:val="22"/>
        </w:rPr>
        <w:lastRenderedPageBreak/>
        <w:t xml:space="preserve">reject </w:t>
      </w:r>
      <w:r>
        <w:rPr>
          <w:i/>
          <w:iCs/>
          <w:sz w:val="22"/>
          <w:szCs w:val="22"/>
        </w:rPr>
        <w:t xml:space="preserve">ASU 2020-02—Amendments to SEC Paragraphs in Credit Losses (Topic 326) and Leases (Topics 842) </w:t>
      </w:r>
      <w:r w:rsidRPr="00EC5218">
        <w:rPr>
          <w:sz w:val="22"/>
          <w:szCs w:val="22"/>
        </w:rPr>
        <w:t>as not applicable for statutory</w:t>
      </w:r>
      <w:r>
        <w:rPr>
          <w:i/>
          <w:iCs/>
          <w:sz w:val="22"/>
          <w:szCs w:val="22"/>
        </w:rPr>
        <w:t xml:space="preserve"> </w:t>
      </w:r>
      <w:r>
        <w:rPr>
          <w:sz w:val="22"/>
          <w:szCs w:val="22"/>
        </w:rPr>
        <w:t>accounting.</w:t>
      </w:r>
      <w:r w:rsidR="004D56F1">
        <w:rPr>
          <w:sz w:val="22"/>
          <w:szCs w:val="22"/>
        </w:rPr>
        <w:t xml:space="preserve"> </w:t>
      </w:r>
      <w:bookmarkStart w:id="2" w:name="_GoBack"/>
      <w:bookmarkEnd w:id="2"/>
      <w:r w:rsidR="004D56F1">
        <w:rPr>
          <w:sz w:val="22"/>
          <w:szCs w:val="22"/>
        </w:rPr>
        <w:t>This item has a shortened comment period ending May 1, 2020.</w:t>
      </w:r>
    </w:p>
    <w:p w14:paraId="3F84B878" w14:textId="06E7F344" w:rsidR="002156FF" w:rsidRDefault="002156FF" w:rsidP="000579B6">
      <w:pPr>
        <w:rPr>
          <w:sz w:val="16"/>
          <w:szCs w:val="16"/>
        </w:rPr>
      </w:pPr>
    </w:p>
    <w:p w14:paraId="0B6C3094" w14:textId="77777777" w:rsidR="00EC5218" w:rsidRDefault="00EC5218" w:rsidP="000579B6">
      <w:pPr>
        <w:rPr>
          <w:sz w:val="16"/>
          <w:szCs w:val="16"/>
        </w:rPr>
      </w:pPr>
    </w:p>
    <w:p w14:paraId="0FE979AF" w14:textId="66EAE8CA"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A3D48">
        <w:rPr>
          <w:noProof/>
          <w:sz w:val="16"/>
          <w:szCs w:val="16"/>
        </w:rPr>
        <w:t>G:\FRS\DATA\Stat Acctg\3. National Meetings\A. National Meeting Materials\2020\Spring\NM Exposures\20-11 - ASU 2020-02 - SEC Paragraphs for Credit Losses and Leases.docx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4863CE" w:rsidRDefault="004863CE">
      <w:r>
        <w:separator/>
      </w:r>
    </w:p>
  </w:endnote>
  <w:endnote w:type="continuationSeparator" w:id="0">
    <w:p w14:paraId="7A4CE54C" w14:textId="77777777" w:rsidR="004863CE" w:rsidRDefault="0048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4880B234" w:rsidR="004863CE" w:rsidRDefault="004863CE"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4863CE" w:rsidRDefault="004863CE"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4863CE" w:rsidRDefault="004863CE">
      <w:r>
        <w:separator/>
      </w:r>
    </w:p>
  </w:footnote>
  <w:footnote w:type="continuationSeparator" w:id="0">
    <w:p w14:paraId="1BD68B07" w14:textId="77777777" w:rsidR="004863CE" w:rsidRDefault="00486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67567F9D" w:rsidR="004863CE" w:rsidRPr="00F04F9A" w:rsidRDefault="004863CE">
    <w:pPr>
      <w:pStyle w:val="Header"/>
      <w:jc w:val="right"/>
      <w:rPr>
        <w:bCs/>
        <w:sz w:val="20"/>
      </w:rPr>
    </w:pPr>
    <w:r w:rsidRPr="00F04F9A">
      <w:rPr>
        <w:bCs/>
        <w:sz w:val="20"/>
      </w:rPr>
      <w:t>Ref #20</w:t>
    </w:r>
    <w:r>
      <w:rPr>
        <w:bCs/>
        <w:sz w:val="20"/>
      </w:rPr>
      <w:t>20</w:t>
    </w:r>
    <w:r w:rsidRPr="00F04F9A">
      <w:rPr>
        <w:bCs/>
        <w:sz w:val="20"/>
      </w:rPr>
      <w:t>-</w:t>
    </w:r>
    <w:r w:rsidR="00830EAF">
      <w:rPr>
        <w:bCs/>
        <w:sz w:val="20"/>
      </w:rPr>
      <w:t>1</w:t>
    </w:r>
    <w:r w:rsidR="000D51AD">
      <w:rPr>
        <w:bCs/>
        <w:sz w:val="20"/>
      </w:rPr>
      <w:t>1</w:t>
    </w:r>
  </w:p>
  <w:p w14:paraId="12DAC63B" w14:textId="77777777" w:rsidR="004863CE" w:rsidRDefault="004863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4863CE" w:rsidRPr="00F04F9A" w:rsidRDefault="004863CE" w:rsidP="00AE74CF">
    <w:pPr>
      <w:pStyle w:val="Header"/>
      <w:jc w:val="right"/>
      <w:rPr>
        <w:b/>
        <w:sz w:val="20"/>
      </w:rPr>
    </w:pPr>
    <w:r w:rsidRPr="00F04F9A">
      <w:rPr>
        <w:b/>
        <w:sz w:val="20"/>
      </w:rPr>
      <w:t>Attachment __</w:t>
    </w:r>
  </w:p>
  <w:p w14:paraId="6B24D022" w14:textId="403538C5" w:rsidR="004863CE" w:rsidRPr="00F04F9A" w:rsidRDefault="004863CE"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4863CE" w:rsidRDefault="004863CE"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1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0"/>
  </w:num>
  <w:num w:numId="3">
    <w:abstractNumId w:val="17"/>
  </w:num>
  <w:num w:numId="4">
    <w:abstractNumId w:val="13"/>
  </w:num>
  <w:num w:numId="5">
    <w:abstractNumId w:val="14"/>
  </w:num>
  <w:num w:numId="6">
    <w:abstractNumId w:val="10"/>
  </w:num>
  <w:num w:numId="7">
    <w:abstractNumId w:val="7"/>
  </w:num>
  <w:num w:numId="8">
    <w:abstractNumId w:val="12"/>
  </w:num>
  <w:num w:numId="9">
    <w:abstractNumId w:val="16"/>
  </w:num>
  <w:num w:numId="10">
    <w:abstractNumId w:val="18"/>
  </w:num>
  <w:num w:numId="11">
    <w:abstractNumId w:val="3"/>
  </w:num>
  <w:num w:numId="12">
    <w:abstractNumId w:val="15"/>
  </w:num>
  <w:num w:numId="13">
    <w:abstractNumId w:val="19"/>
  </w:num>
  <w:num w:numId="14">
    <w:abstractNumId w:val="0"/>
  </w:num>
  <w:num w:numId="15">
    <w:abstractNumId w:val="5"/>
  </w:num>
  <w:num w:numId="16">
    <w:abstractNumId w:val="21"/>
  </w:num>
  <w:num w:numId="17">
    <w:abstractNumId w:val="2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2"/>
  </w:num>
  <w:num w:numId="23">
    <w:abstractNumId w:val="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51AD"/>
    <w:rsid w:val="000D6AE8"/>
    <w:rsid w:val="000E1131"/>
    <w:rsid w:val="000E16CA"/>
    <w:rsid w:val="00133830"/>
    <w:rsid w:val="0013539B"/>
    <w:rsid w:val="00170AA0"/>
    <w:rsid w:val="00184144"/>
    <w:rsid w:val="00187E34"/>
    <w:rsid w:val="0019505A"/>
    <w:rsid w:val="001B3138"/>
    <w:rsid w:val="001F3CF4"/>
    <w:rsid w:val="001F46EB"/>
    <w:rsid w:val="00203FF7"/>
    <w:rsid w:val="002046F5"/>
    <w:rsid w:val="002156FF"/>
    <w:rsid w:val="00261273"/>
    <w:rsid w:val="002A1316"/>
    <w:rsid w:val="002A44FE"/>
    <w:rsid w:val="002D70E6"/>
    <w:rsid w:val="002F6FF9"/>
    <w:rsid w:val="00304CEC"/>
    <w:rsid w:val="00306C82"/>
    <w:rsid w:val="003148E8"/>
    <w:rsid w:val="00325660"/>
    <w:rsid w:val="003325E9"/>
    <w:rsid w:val="00333FC0"/>
    <w:rsid w:val="003415C3"/>
    <w:rsid w:val="0034544B"/>
    <w:rsid w:val="0035609F"/>
    <w:rsid w:val="00357190"/>
    <w:rsid w:val="00392DF5"/>
    <w:rsid w:val="0039600A"/>
    <w:rsid w:val="003B12DE"/>
    <w:rsid w:val="0040093D"/>
    <w:rsid w:val="0040337C"/>
    <w:rsid w:val="00434970"/>
    <w:rsid w:val="00435DAC"/>
    <w:rsid w:val="0044022E"/>
    <w:rsid w:val="00440DC7"/>
    <w:rsid w:val="00446244"/>
    <w:rsid w:val="004516AB"/>
    <w:rsid w:val="00452842"/>
    <w:rsid w:val="00476C23"/>
    <w:rsid w:val="004829CD"/>
    <w:rsid w:val="004863CE"/>
    <w:rsid w:val="0048680B"/>
    <w:rsid w:val="00490996"/>
    <w:rsid w:val="004953BB"/>
    <w:rsid w:val="0049733D"/>
    <w:rsid w:val="004A166E"/>
    <w:rsid w:val="004B51B6"/>
    <w:rsid w:val="004D4855"/>
    <w:rsid w:val="004D56F1"/>
    <w:rsid w:val="004E2BB9"/>
    <w:rsid w:val="004E3B7D"/>
    <w:rsid w:val="004F5CB3"/>
    <w:rsid w:val="004F7E41"/>
    <w:rsid w:val="0054315F"/>
    <w:rsid w:val="00562444"/>
    <w:rsid w:val="005A259E"/>
    <w:rsid w:val="005B1DE0"/>
    <w:rsid w:val="005B593D"/>
    <w:rsid w:val="005E15E0"/>
    <w:rsid w:val="00624E04"/>
    <w:rsid w:val="00626152"/>
    <w:rsid w:val="00626EC0"/>
    <w:rsid w:val="00630368"/>
    <w:rsid w:val="00634598"/>
    <w:rsid w:val="00637C40"/>
    <w:rsid w:val="00654938"/>
    <w:rsid w:val="006567A9"/>
    <w:rsid w:val="00676A9F"/>
    <w:rsid w:val="00690138"/>
    <w:rsid w:val="00693508"/>
    <w:rsid w:val="006B37DD"/>
    <w:rsid w:val="006D3A59"/>
    <w:rsid w:val="00706B68"/>
    <w:rsid w:val="00715743"/>
    <w:rsid w:val="0072525D"/>
    <w:rsid w:val="007306B9"/>
    <w:rsid w:val="00756AE3"/>
    <w:rsid w:val="007574AB"/>
    <w:rsid w:val="00761440"/>
    <w:rsid w:val="00774EEB"/>
    <w:rsid w:val="007767B8"/>
    <w:rsid w:val="007774AA"/>
    <w:rsid w:val="00794B81"/>
    <w:rsid w:val="00795898"/>
    <w:rsid w:val="007B4554"/>
    <w:rsid w:val="007D5EC2"/>
    <w:rsid w:val="007F1389"/>
    <w:rsid w:val="007F344C"/>
    <w:rsid w:val="00830EAF"/>
    <w:rsid w:val="008446E7"/>
    <w:rsid w:val="008758B4"/>
    <w:rsid w:val="00881216"/>
    <w:rsid w:val="008869A6"/>
    <w:rsid w:val="008C3A60"/>
    <w:rsid w:val="008C59AA"/>
    <w:rsid w:val="0092196B"/>
    <w:rsid w:val="009249B4"/>
    <w:rsid w:val="00957780"/>
    <w:rsid w:val="009636DC"/>
    <w:rsid w:val="00972A11"/>
    <w:rsid w:val="00980638"/>
    <w:rsid w:val="00984FA6"/>
    <w:rsid w:val="0098632A"/>
    <w:rsid w:val="009B20EB"/>
    <w:rsid w:val="009C702B"/>
    <w:rsid w:val="00A11581"/>
    <w:rsid w:val="00A202AF"/>
    <w:rsid w:val="00A82C39"/>
    <w:rsid w:val="00A92C59"/>
    <w:rsid w:val="00AA1DC0"/>
    <w:rsid w:val="00AA6691"/>
    <w:rsid w:val="00AC14AF"/>
    <w:rsid w:val="00AE6149"/>
    <w:rsid w:val="00AE74CF"/>
    <w:rsid w:val="00B10C19"/>
    <w:rsid w:val="00B30CA0"/>
    <w:rsid w:val="00B575EF"/>
    <w:rsid w:val="00BB5939"/>
    <w:rsid w:val="00C04FA0"/>
    <w:rsid w:val="00C051DB"/>
    <w:rsid w:val="00C26B71"/>
    <w:rsid w:val="00C6544D"/>
    <w:rsid w:val="00C9066D"/>
    <w:rsid w:val="00CA39BF"/>
    <w:rsid w:val="00CB7CFA"/>
    <w:rsid w:val="00CC53AA"/>
    <w:rsid w:val="00CE3B76"/>
    <w:rsid w:val="00CF3750"/>
    <w:rsid w:val="00D21513"/>
    <w:rsid w:val="00D506C4"/>
    <w:rsid w:val="00D924B0"/>
    <w:rsid w:val="00DA1C46"/>
    <w:rsid w:val="00DC071A"/>
    <w:rsid w:val="00DF407B"/>
    <w:rsid w:val="00E077F0"/>
    <w:rsid w:val="00E136A0"/>
    <w:rsid w:val="00E2462E"/>
    <w:rsid w:val="00E30ACC"/>
    <w:rsid w:val="00E676CB"/>
    <w:rsid w:val="00E72E8D"/>
    <w:rsid w:val="00E90A65"/>
    <w:rsid w:val="00EA2736"/>
    <w:rsid w:val="00EA3D48"/>
    <w:rsid w:val="00EC15C1"/>
    <w:rsid w:val="00EC5218"/>
    <w:rsid w:val="00EC61F1"/>
    <w:rsid w:val="00EF720B"/>
    <w:rsid w:val="00F004F2"/>
    <w:rsid w:val="00F04F9A"/>
    <w:rsid w:val="00F05F13"/>
    <w:rsid w:val="00F104C7"/>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5B1DE0"/>
    <w:rPr>
      <w:rFonts w:ascii="Segoe UI" w:hAnsi="Segoe UI" w:cs="Segoe UI"/>
      <w:sz w:val="18"/>
      <w:szCs w:val="18"/>
    </w:rPr>
  </w:style>
  <w:style w:type="character" w:customStyle="1" w:styleId="BalloonTextChar">
    <w:name w:val="Balloon Text Char"/>
    <w:basedOn w:val="DefaultParagraphFont"/>
    <w:link w:val="BalloonText"/>
    <w:semiHidden/>
    <w:rsid w:val="005B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9ED3-FD5B-4983-A068-8714CAC7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826</TotalTime>
  <Pages>2</Pages>
  <Words>506</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21</cp:revision>
  <cp:lastPrinted>2011-03-01T22:07:00Z</cp:lastPrinted>
  <dcterms:created xsi:type="dcterms:W3CDTF">2019-08-13T15:50:00Z</dcterms:created>
  <dcterms:modified xsi:type="dcterms:W3CDTF">2020-03-19T20:25:00Z</dcterms:modified>
</cp:coreProperties>
</file>