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DD6D" w14:textId="77777777" w:rsidR="00405F30" w:rsidRPr="00016321" w:rsidRDefault="00405F30" w:rsidP="00405F30">
      <w:pPr>
        <w:pStyle w:val="Title"/>
        <w:rPr>
          <w:sz w:val="22"/>
          <w:szCs w:val="22"/>
        </w:rPr>
      </w:pPr>
      <w:r w:rsidRPr="00016321">
        <w:rPr>
          <w:sz w:val="22"/>
          <w:szCs w:val="22"/>
        </w:rPr>
        <w:t>Statutory Accounting Principles (E) Working Group</w:t>
      </w:r>
    </w:p>
    <w:p w14:paraId="413562DC" w14:textId="77777777" w:rsidR="00405F30" w:rsidRPr="00016321" w:rsidRDefault="00405F30" w:rsidP="00405F30">
      <w:pPr>
        <w:jc w:val="center"/>
        <w:rPr>
          <w:b/>
        </w:rPr>
      </w:pPr>
      <w:r w:rsidRPr="00016321">
        <w:rPr>
          <w:b/>
        </w:rPr>
        <w:t>Maintenance Agenda Submission Form</w:t>
      </w:r>
    </w:p>
    <w:p w14:paraId="381E579B" w14:textId="77777777" w:rsidR="00405F30" w:rsidRPr="00016321" w:rsidRDefault="00405F30" w:rsidP="00405F30">
      <w:pPr>
        <w:jc w:val="center"/>
        <w:rPr>
          <w:b/>
        </w:rPr>
      </w:pPr>
      <w:r w:rsidRPr="00016321">
        <w:rPr>
          <w:b/>
        </w:rPr>
        <w:t>Form A</w:t>
      </w:r>
    </w:p>
    <w:p w14:paraId="7F13AC4C" w14:textId="77777777" w:rsidR="00405F30" w:rsidRPr="00016321" w:rsidRDefault="00405F30" w:rsidP="00405F30">
      <w:pPr>
        <w:pStyle w:val="Heading2"/>
        <w:jc w:val="center"/>
        <w:rPr>
          <w:sz w:val="22"/>
          <w:szCs w:val="22"/>
        </w:rPr>
      </w:pPr>
    </w:p>
    <w:p w14:paraId="30C5DB64" w14:textId="12A09818" w:rsidR="00405F30" w:rsidRPr="00016321" w:rsidRDefault="00405F30" w:rsidP="00405F30">
      <w:pPr>
        <w:pStyle w:val="Heading2"/>
        <w:rPr>
          <w:sz w:val="22"/>
          <w:szCs w:val="22"/>
        </w:rPr>
      </w:pPr>
      <w:r w:rsidRPr="00016321">
        <w:rPr>
          <w:b/>
          <w:sz w:val="22"/>
          <w:szCs w:val="22"/>
        </w:rPr>
        <w:t xml:space="preserve">Issue: </w:t>
      </w:r>
      <w:r w:rsidR="001A7D0C" w:rsidRPr="001D3018">
        <w:rPr>
          <w:b/>
          <w:i/>
          <w:iCs/>
          <w:sz w:val="22"/>
          <w:szCs w:val="22"/>
        </w:rPr>
        <w:t>ASU 201</w:t>
      </w:r>
      <w:r w:rsidR="009157B2" w:rsidRPr="001D3018">
        <w:rPr>
          <w:b/>
          <w:i/>
          <w:iCs/>
          <w:sz w:val="22"/>
          <w:szCs w:val="22"/>
        </w:rPr>
        <w:t>5</w:t>
      </w:r>
      <w:r w:rsidR="001A7D0C" w:rsidRPr="001D3018">
        <w:rPr>
          <w:b/>
          <w:i/>
          <w:iCs/>
          <w:sz w:val="22"/>
          <w:szCs w:val="22"/>
        </w:rPr>
        <w:t>-1</w:t>
      </w:r>
      <w:r w:rsidR="009157B2" w:rsidRPr="001D3018">
        <w:rPr>
          <w:b/>
          <w:i/>
          <w:iCs/>
          <w:sz w:val="22"/>
          <w:szCs w:val="22"/>
        </w:rPr>
        <w:t>0</w:t>
      </w:r>
      <w:r w:rsidR="001A7D0C" w:rsidRPr="001D3018">
        <w:rPr>
          <w:b/>
          <w:i/>
          <w:iCs/>
          <w:sz w:val="22"/>
          <w:szCs w:val="22"/>
        </w:rPr>
        <w:t>, Technical Corrections &amp; Improvements</w:t>
      </w:r>
    </w:p>
    <w:p w14:paraId="317E67DE" w14:textId="77777777" w:rsidR="00405F30" w:rsidRPr="00016321" w:rsidRDefault="00405F30" w:rsidP="00405F30"/>
    <w:p w14:paraId="59636FA3" w14:textId="77777777" w:rsidR="00405F30" w:rsidRPr="00016321" w:rsidRDefault="00405F30" w:rsidP="00405F30">
      <w:pPr>
        <w:rPr>
          <w:b/>
        </w:rPr>
      </w:pPr>
      <w:r w:rsidRPr="00016321">
        <w:rPr>
          <w:b/>
        </w:rPr>
        <w:t>Check (applicable entity):</w:t>
      </w:r>
    </w:p>
    <w:p w14:paraId="56BE9EB3" w14:textId="77777777" w:rsidR="00405F30" w:rsidRPr="00016321" w:rsidRDefault="00405F30" w:rsidP="00405F30">
      <w:pPr>
        <w:tabs>
          <w:tab w:val="center" w:pos="4455"/>
          <w:tab w:val="center" w:pos="5886"/>
          <w:tab w:val="center" w:pos="7326"/>
        </w:tabs>
      </w:pPr>
      <w:r w:rsidRPr="00016321">
        <w:tab/>
        <w:t>P/C</w:t>
      </w:r>
      <w:r w:rsidRPr="00016321">
        <w:tab/>
        <w:t>Life</w:t>
      </w:r>
      <w:r w:rsidRPr="00016321">
        <w:tab/>
        <w:t>Health</w:t>
      </w:r>
    </w:p>
    <w:p w14:paraId="69DB14BD" w14:textId="77777777" w:rsidR="00405F30" w:rsidRPr="00016321" w:rsidRDefault="00405F30" w:rsidP="00405F30">
      <w:pPr>
        <w:ind w:firstLine="720"/>
      </w:pPr>
      <w:r w:rsidRPr="00016321">
        <w:t>Modification of existing SSAP</w:t>
      </w:r>
      <w:r w:rsidRPr="00016321">
        <w:tab/>
      </w:r>
      <w:r w:rsidRPr="00016321">
        <w:tab/>
      </w:r>
      <w:r w:rsidRPr="00016321">
        <w:fldChar w:fldCharType="begin">
          <w:ffData>
            <w:name w:val="Check1"/>
            <w:enabled/>
            <w:calcOnExit w:val="0"/>
            <w:checkBox>
              <w:sizeAuto/>
              <w:default w:val="1"/>
            </w:checkBox>
          </w:ffData>
        </w:fldChar>
      </w:r>
      <w:bookmarkStart w:id="0" w:name="Check1"/>
      <w:r w:rsidRPr="00016321">
        <w:instrText xml:space="preserve"> FORMCHECKBOX </w:instrText>
      </w:r>
      <w:r w:rsidR="00A0044C">
        <w:fldChar w:fldCharType="separate"/>
      </w:r>
      <w:r w:rsidRPr="00016321">
        <w:fldChar w:fldCharType="end"/>
      </w:r>
      <w:bookmarkEnd w:id="0"/>
      <w:r w:rsidRPr="00016321">
        <w:tab/>
      </w:r>
      <w:r w:rsidRPr="00016321">
        <w:tab/>
      </w:r>
      <w:r w:rsidRPr="00016321">
        <w:fldChar w:fldCharType="begin">
          <w:ffData>
            <w:name w:val=""/>
            <w:enabled/>
            <w:calcOnExit w:val="0"/>
            <w:checkBox>
              <w:sizeAuto/>
              <w:default w:val="1"/>
            </w:checkBox>
          </w:ffData>
        </w:fldChar>
      </w:r>
      <w:r w:rsidRPr="00016321">
        <w:instrText xml:space="preserve"> FORMCHECKBOX </w:instrText>
      </w:r>
      <w:r w:rsidR="00A0044C">
        <w:fldChar w:fldCharType="separate"/>
      </w:r>
      <w:r w:rsidRPr="00016321">
        <w:fldChar w:fldCharType="end"/>
      </w:r>
      <w:r w:rsidRPr="00016321">
        <w:tab/>
      </w:r>
      <w:r w:rsidRPr="00016321">
        <w:tab/>
      </w:r>
      <w:r w:rsidRPr="00016321">
        <w:fldChar w:fldCharType="begin">
          <w:ffData>
            <w:name w:val=""/>
            <w:enabled/>
            <w:calcOnExit w:val="0"/>
            <w:checkBox>
              <w:sizeAuto/>
              <w:default w:val="1"/>
            </w:checkBox>
          </w:ffData>
        </w:fldChar>
      </w:r>
      <w:r w:rsidRPr="00016321">
        <w:instrText xml:space="preserve"> FORMCHECKBOX </w:instrText>
      </w:r>
      <w:r w:rsidR="00A0044C">
        <w:fldChar w:fldCharType="separate"/>
      </w:r>
      <w:r w:rsidRPr="00016321">
        <w:fldChar w:fldCharType="end"/>
      </w:r>
    </w:p>
    <w:p w14:paraId="14B77D17" w14:textId="77777777" w:rsidR="00405F30" w:rsidRPr="00016321" w:rsidRDefault="00405F30" w:rsidP="00405F30">
      <w:pPr>
        <w:ind w:firstLine="720"/>
      </w:pPr>
      <w:r w:rsidRPr="00016321">
        <w:t xml:space="preserve">New Issue or SSAP   </w:t>
      </w:r>
      <w:r w:rsidRPr="00016321">
        <w:tab/>
      </w:r>
      <w:r w:rsidRPr="00016321">
        <w:tab/>
        <w:t xml:space="preserve">       </w:t>
      </w:r>
      <w:r w:rsidRPr="00016321">
        <w:tab/>
      </w:r>
      <w:r w:rsidRPr="00016321">
        <w:fldChar w:fldCharType="begin">
          <w:ffData>
            <w:name w:val=""/>
            <w:enabled/>
            <w:calcOnExit w:val="0"/>
            <w:checkBox>
              <w:sizeAuto/>
              <w:default w:val="0"/>
            </w:checkBox>
          </w:ffData>
        </w:fldChar>
      </w:r>
      <w:r w:rsidRPr="00016321">
        <w:instrText xml:space="preserve"> FORMCHECKBOX </w:instrText>
      </w:r>
      <w:r w:rsidR="00A0044C">
        <w:fldChar w:fldCharType="separate"/>
      </w:r>
      <w:r w:rsidRPr="00016321">
        <w:fldChar w:fldCharType="end"/>
      </w:r>
      <w:r w:rsidRPr="00016321">
        <w:tab/>
      </w:r>
      <w:r w:rsidRPr="00016321">
        <w:tab/>
      </w:r>
      <w:r w:rsidRPr="00016321">
        <w:fldChar w:fldCharType="begin">
          <w:ffData>
            <w:name w:val=""/>
            <w:enabled/>
            <w:calcOnExit w:val="0"/>
            <w:checkBox>
              <w:sizeAuto/>
              <w:default w:val="0"/>
            </w:checkBox>
          </w:ffData>
        </w:fldChar>
      </w:r>
      <w:r w:rsidRPr="00016321">
        <w:instrText xml:space="preserve"> FORMCHECKBOX </w:instrText>
      </w:r>
      <w:r w:rsidR="00A0044C">
        <w:fldChar w:fldCharType="separate"/>
      </w:r>
      <w:r w:rsidRPr="00016321">
        <w:fldChar w:fldCharType="end"/>
      </w:r>
      <w:r w:rsidRPr="00016321">
        <w:tab/>
      </w:r>
      <w:r w:rsidRPr="00016321">
        <w:tab/>
      </w:r>
      <w:r w:rsidRPr="00016321">
        <w:fldChar w:fldCharType="begin">
          <w:ffData>
            <w:name w:val=""/>
            <w:enabled/>
            <w:calcOnExit w:val="0"/>
            <w:checkBox>
              <w:sizeAuto/>
              <w:default w:val="0"/>
            </w:checkBox>
          </w:ffData>
        </w:fldChar>
      </w:r>
      <w:r w:rsidRPr="00016321">
        <w:instrText xml:space="preserve"> FORMCHECKBOX </w:instrText>
      </w:r>
      <w:r w:rsidR="00A0044C">
        <w:fldChar w:fldCharType="separate"/>
      </w:r>
      <w:r w:rsidRPr="00016321">
        <w:fldChar w:fldCharType="end"/>
      </w:r>
    </w:p>
    <w:p w14:paraId="5E469A72" w14:textId="77777777" w:rsidR="00405F30" w:rsidRPr="00016321" w:rsidRDefault="00405F30" w:rsidP="00405F30">
      <w:pPr>
        <w:ind w:firstLine="720"/>
      </w:pPr>
      <w:r w:rsidRPr="00016321">
        <w:t xml:space="preserve">Interpretation </w:t>
      </w:r>
      <w:r w:rsidRPr="00016321">
        <w:tab/>
      </w:r>
      <w:r w:rsidRPr="00016321">
        <w:tab/>
      </w:r>
      <w:r w:rsidRPr="00016321">
        <w:tab/>
      </w:r>
      <w:r w:rsidRPr="00016321">
        <w:tab/>
      </w:r>
      <w:r w:rsidRPr="00016321">
        <w:fldChar w:fldCharType="begin">
          <w:ffData>
            <w:name w:val=""/>
            <w:enabled/>
            <w:calcOnExit w:val="0"/>
            <w:checkBox>
              <w:sizeAuto/>
              <w:default w:val="0"/>
            </w:checkBox>
          </w:ffData>
        </w:fldChar>
      </w:r>
      <w:r w:rsidRPr="00016321">
        <w:instrText xml:space="preserve"> FORMCHECKBOX </w:instrText>
      </w:r>
      <w:r w:rsidR="00A0044C">
        <w:fldChar w:fldCharType="separate"/>
      </w:r>
      <w:r w:rsidRPr="00016321">
        <w:fldChar w:fldCharType="end"/>
      </w:r>
      <w:r w:rsidRPr="00016321">
        <w:tab/>
      </w:r>
      <w:r w:rsidRPr="00016321">
        <w:tab/>
      </w:r>
      <w:r w:rsidRPr="00016321">
        <w:fldChar w:fldCharType="begin">
          <w:ffData>
            <w:name w:val=""/>
            <w:enabled/>
            <w:calcOnExit w:val="0"/>
            <w:checkBox>
              <w:sizeAuto/>
              <w:default w:val="0"/>
            </w:checkBox>
          </w:ffData>
        </w:fldChar>
      </w:r>
      <w:r w:rsidRPr="00016321">
        <w:instrText xml:space="preserve"> FORMCHECKBOX </w:instrText>
      </w:r>
      <w:r w:rsidR="00A0044C">
        <w:fldChar w:fldCharType="separate"/>
      </w:r>
      <w:r w:rsidRPr="00016321">
        <w:fldChar w:fldCharType="end"/>
      </w:r>
      <w:r w:rsidRPr="00016321">
        <w:tab/>
      </w:r>
      <w:r w:rsidRPr="00016321">
        <w:tab/>
      </w:r>
      <w:r w:rsidRPr="00016321">
        <w:fldChar w:fldCharType="begin">
          <w:ffData>
            <w:name w:val=""/>
            <w:enabled/>
            <w:calcOnExit w:val="0"/>
            <w:checkBox>
              <w:sizeAuto/>
              <w:default w:val="0"/>
            </w:checkBox>
          </w:ffData>
        </w:fldChar>
      </w:r>
      <w:r w:rsidRPr="00016321">
        <w:instrText xml:space="preserve"> FORMCHECKBOX </w:instrText>
      </w:r>
      <w:r w:rsidR="00A0044C">
        <w:fldChar w:fldCharType="separate"/>
      </w:r>
      <w:r w:rsidRPr="00016321">
        <w:fldChar w:fldCharType="end"/>
      </w:r>
    </w:p>
    <w:p w14:paraId="559FDF01" w14:textId="77777777" w:rsidR="00405F30" w:rsidRPr="00016321" w:rsidRDefault="00405F30" w:rsidP="00405F30"/>
    <w:p w14:paraId="713B102A" w14:textId="5C96893D" w:rsidR="00405F30" w:rsidRDefault="00405F30" w:rsidP="00405F30">
      <w:pPr>
        <w:pStyle w:val="BodyText2"/>
        <w:rPr>
          <w:bCs w:val="0"/>
          <w:szCs w:val="22"/>
        </w:rPr>
      </w:pPr>
      <w:r w:rsidRPr="00016321">
        <w:rPr>
          <w:bCs w:val="0"/>
          <w:szCs w:val="22"/>
        </w:rPr>
        <w:t>Description of Issue:</w:t>
      </w:r>
    </w:p>
    <w:p w14:paraId="161BD4FC" w14:textId="5970E4F8" w:rsidR="00676427" w:rsidRDefault="00676427" w:rsidP="00405F30">
      <w:pPr>
        <w:pStyle w:val="BodyText2"/>
        <w:rPr>
          <w:b w:val="0"/>
          <w:szCs w:val="22"/>
        </w:rPr>
      </w:pPr>
      <w:bookmarkStart w:id="1" w:name="_Hlk44416360"/>
      <w:r>
        <w:rPr>
          <w:b w:val="0"/>
          <w:szCs w:val="22"/>
        </w:rPr>
        <w:t xml:space="preserve">FASB issued </w:t>
      </w:r>
      <w:r w:rsidRPr="00A87C65">
        <w:rPr>
          <w:b w:val="0"/>
          <w:i/>
          <w:iCs/>
          <w:szCs w:val="22"/>
        </w:rPr>
        <w:t>ASU 2015-10, Technical Corrections &amp; Improvements</w:t>
      </w:r>
      <w:r>
        <w:rPr>
          <w:b w:val="0"/>
          <w:szCs w:val="22"/>
        </w:rPr>
        <w:t xml:space="preserve"> to </w:t>
      </w:r>
      <w:r w:rsidR="00A87C65">
        <w:rPr>
          <w:b w:val="0"/>
          <w:szCs w:val="22"/>
        </w:rPr>
        <w:t>update</w:t>
      </w:r>
      <w:r w:rsidR="00B36AE2">
        <w:rPr>
          <w:b w:val="0"/>
          <w:szCs w:val="22"/>
        </w:rPr>
        <w:t xml:space="preserve"> various</w:t>
      </w:r>
      <w:r w:rsidR="00A87C65">
        <w:rPr>
          <w:b w:val="0"/>
          <w:szCs w:val="22"/>
        </w:rPr>
        <w:t xml:space="preserve"> FASB Accounting Standards Codification for minor corrections that were provided by stakeholders. FASB added a </w:t>
      </w:r>
      <w:bookmarkStart w:id="2" w:name="_Hlk44416414"/>
      <w:r w:rsidR="00A87C65">
        <w:rPr>
          <w:b w:val="0"/>
          <w:szCs w:val="22"/>
        </w:rPr>
        <w:t>standing project to address feedback received from stakeholders on Codification and to make other incremental improvements to</w:t>
      </w:r>
      <w:r w:rsidR="005C512F">
        <w:rPr>
          <w:b w:val="0"/>
          <w:szCs w:val="22"/>
        </w:rPr>
        <w:t xml:space="preserve"> U.S.</w:t>
      </w:r>
      <w:r w:rsidR="00A87C65">
        <w:rPr>
          <w:b w:val="0"/>
          <w:szCs w:val="22"/>
        </w:rPr>
        <w:t xml:space="preserve"> GAAP</w:t>
      </w:r>
      <w:r w:rsidR="00006E46">
        <w:rPr>
          <w:b w:val="0"/>
          <w:szCs w:val="22"/>
        </w:rPr>
        <w:t xml:space="preserve">. </w:t>
      </w:r>
      <w:bookmarkEnd w:id="2"/>
      <w:r w:rsidR="00006E46">
        <w:rPr>
          <w:b w:val="0"/>
          <w:szCs w:val="22"/>
        </w:rPr>
        <w:t>This perpetual project will update Codification for technical corrections, clarifications and improvements.</w:t>
      </w:r>
      <w:bookmarkEnd w:id="1"/>
    </w:p>
    <w:p w14:paraId="01E7FD31" w14:textId="77777777" w:rsidR="00405F30" w:rsidRPr="00016321" w:rsidRDefault="00405F30" w:rsidP="00405F30">
      <w:pPr>
        <w:pStyle w:val="BodyText2"/>
        <w:rPr>
          <w:b w:val="0"/>
          <w:szCs w:val="22"/>
        </w:rPr>
      </w:pPr>
    </w:p>
    <w:p w14:paraId="3BE903DD" w14:textId="77777777" w:rsidR="00405F30" w:rsidRPr="00016321" w:rsidRDefault="00405F30" w:rsidP="00405F30">
      <w:pPr>
        <w:pStyle w:val="BodyText2"/>
        <w:rPr>
          <w:bCs w:val="0"/>
          <w:szCs w:val="22"/>
        </w:rPr>
      </w:pPr>
      <w:r w:rsidRPr="00016321">
        <w:rPr>
          <w:bCs w:val="0"/>
          <w:szCs w:val="22"/>
        </w:rPr>
        <w:t>Existing Authoritative Literature:</w:t>
      </w:r>
    </w:p>
    <w:p w14:paraId="2DB5134A" w14:textId="77777777" w:rsidR="00777B17" w:rsidRPr="00676427" w:rsidRDefault="00777B17" w:rsidP="00777B17">
      <w:pPr>
        <w:pStyle w:val="BodyText2"/>
        <w:rPr>
          <w:b w:val="0"/>
          <w:szCs w:val="22"/>
        </w:rPr>
      </w:pPr>
      <w:r>
        <w:rPr>
          <w:b w:val="0"/>
          <w:szCs w:val="22"/>
        </w:rPr>
        <w:t>The table starting on page 2 summarizes the updates in this ASU, as well as defines the recommended actions for statutory accounting.</w:t>
      </w:r>
    </w:p>
    <w:p w14:paraId="7545FE90" w14:textId="77777777" w:rsidR="00405F30" w:rsidRPr="00016321" w:rsidRDefault="00405F30" w:rsidP="00405F30">
      <w:pPr>
        <w:pStyle w:val="BodyText2"/>
        <w:rPr>
          <w:b w:val="0"/>
          <w:bCs w:val="0"/>
          <w:szCs w:val="22"/>
        </w:rPr>
      </w:pPr>
    </w:p>
    <w:p w14:paraId="1943E3E2" w14:textId="77777777" w:rsidR="00405F30" w:rsidRPr="00016321" w:rsidRDefault="00405F30" w:rsidP="00405F30">
      <w:pPr>
        <w:pStyle w:val="BodyText2"/>
        <w:rPr>
          <w:szCs w:val="22"/>
        </w:rPr>
      </w:pPr>
      <w:r w:rsidRPr="00016321">
        <w:rPr>
          <w:szCs w:val="22"/>
        </w:rPr>
        <w:t xml:space="preserve">Activity to Date (issues previously addressed by the </w:t>
      </w:r>
      <w:r>
        <w:rPr>
          <w:szCs w:val="22"/>
        </w:rPr>
        <w:t>Working Group</w:t>
      </w:r>
      <w:r w:rsidRPr="00016321">
        <w:rPr>
          <w:szCs w:val="22"/>
        </w:rPr>
        <w:t xml:space="preserve">, Emerging Accounting Issues </w:t>
      </w:r>
      <w:r>
        <w:rPr>
          <w:szCs w:val="22"/>
        </w:rPr>
        <w:t>(E) Working Group</w:t>
      </w:r>
      <w:r w:rsidRPr="00016321">
        <w:rPr>
          <w:szCs w:val="22"/>
        </w:rPr>
        <w:t xml:space="preserve">, SEC, FASB, other State Departments of Insurance or other NAIC groups): </w:t>
      </w:r>
      <w:r w:rsidRPr="00016321">
        <w:rPr>
          <w:b w:val="0"/>
          <w:szCs w:val="22"/>
        </w:rPr>
        <w:t>None</w:t>
      </w:r>
    </w:p>
    <w:p w14:paraId="5C8A1B75" w14:textId="77777777" w:rsidR="00405F30" w:rsidRPr="00016321" w:rsidRDefault="00405F30" w:rsidP="00405F30">
      <w:pPr>
        <w:pStyle w:val="BodyText2"/>
        <w:rPr>
          <w:rFonts w:eastAsia="MS Mincho"/>
          <w:b w:val="0"/>
          <w:szCs w:val="22"/>
          <w:lang w:eastAsia="ja-JP"/>
        </w:rPr>
      </w:pPr>
    </w:p>
    <w:p w14:paraId="77D6D449" w14:textId="5D665DA4" w:rsidR="00777B17" w:rsidRPr="00016321" w:rsidRDefault="00405F30" w:rsidP="00777B17">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Pr>
          <w:b/>
          <w:sz w:val="22"/>
          <w:szCs w:val="22"/>
        </w:rPr>
        <w:t>Working Group</w:t>
      </w:r>
      <w:r w:rsidRPr="00016321">
        <w:rPr>
          <w:b/>
          <w:sz w:val="22"/>
          <w:szCs w:val="22"/>
        </w:rPr>
        <w:t>:</w:t>
      </w:r>
      <w:r w:rsidR="00777B17" w:rsidRPr="00777B17">
        <w:rPr>
          <w:bCs/>
          <w:sz w:val="22"/>
          <w:szCs w:val="22"/>
        </w:rPr>
        <w:t xml:space="preserve"> </w:t>
      </w:r>
      <w:r w:rsidR="00777B17" w:rsidRPr="00016321">
        <w:rPr>
          <w:bCs/>
          <w:sz w:val="22"/>
          <w:szCs w:val="22"/>
        </w:rPr>
        <w:t>None</w:t>
      </w:r>
    </w:p>
    <w:p w14:paraId="3CADF997" w14:textId="77777777" w:rsidR="00405F30" w:rsidRPr="00016321" w:rsidRDefault="00405F30" w:rsidP="00405F30">
      <w:pPr>
        <w:pStyle w:val="BodyText2"/>
        <w:rPr>
          <w:b w:val="0"/>
          <w:bCs w:val="0"/>
          <w:szCs w:val="22"/>
        </w:rPr>
      </w:pPr>
    </w:p>
    <w:p w14:paraId="794CDC82" w14:textId="159B94D2" w:rsidR="00405F30" w:rsidRPr="00016321" w:rsidRDefault="00405F30" w:rsidP="00405F30">
      <w:pPr>
        <w:pStyle w:val="Default"/>
        <w:rPr>
          <w:b/>
          <w:sz w:val="22"/>
          <w:szCs w:val="22"/>
        </w:rPr>
      </w:pPr>
      <w:r w:rsidRPr="00016321">
        <w:rPr>
          <w:b/>
          <w:sz w:val="22"/>
          <w:szCs w:val="22"/>
        </w:rPr>
        <w:t>Convergence with International Financial Reporting Standards (IFRS):</w:t>
      </w:r>
      <w:r w:rsidR="00B324DA">
        <w:rPr>
          <w:b/>
          <w:sz w:val="22"/>
          <w:szCs w:val="22"/>
        </w:rPr>
        <w:t xml:space="preserve"> </w:t>
      </w:r>
      <w:r w:rsidR="00777B17">
        <w:rPr>
          <w:bCs/>
          <w:sz w:val="22"/>
          <w:szCs w:val="22"/>
        </w:rPr>
        <w:t>N/A</w:t>
      </w:r>
    </w:p>
    <w:p w14:paraId="14B47272" w14:textId="77777777" w:rsidR="00405F30" w:rsidRPr="00016321" w:rsidRDefault="00405F30" w:rsidP="00405F30">
      <w:pPr>
        <w:pStyle w:val="BodyText2"/>
        <w:rPr>
          <w:b w:val="0"/>
          <w:bCs w:val="0"/>
          <w:szCs w:val="22"/>
        </w:rPr>
      </w:pPr>
    </w:p>
    <w:p w14:paraId="699745C5" w14:textId="77777777" w:rsidR="00405F30" w:rsidRPr="00B324DA" w:rsidRDefault="00405F30" w:rsidP="00405F30">
      <w:pPr>
        <w:pStyle w:val="BodyText2"/>
        <w:rPr>
          <w:szCs w:val="22"/>
        </w:rPr>
      </w:pPr>
      <w:r w:rsidRPr="00016321">
        <w:rPr>
          <w:szCs w:val="22"/>
        </w:rPr>
        <w:t xml:space="preserve">Staff </w:t>
      </w:r>
      <w:r w:rsidRPr="00B324DA">
        <w:rPr>
          <w:szCs w:val="22"/>
        </w:rPr>
        <w:t>Recommendation:</w:t>
      </w:r>
    </w:p>
    <w:p w14:paraId="578A1256" w14:textId="003E665B" w:rsidR="00405F30" w:rsidRPr="00016321" w:rsidRDefault="005C512F" w:rsidP="00405F30">
      <w:pPr>
        <w:pStyle w:val="BodyText2"/>
        <w:rPr>
          <w:rFonts w:ascii="Arial" w:hAnsi="Arial" w:cs="Arial"/>
          <w:b w:val="0"/>
          <w:szCs w:val="22"/>
        </w:rPr>
      </w:pPr>
      <w:bookmarkStart w:id="3" w:name="_Hlk44416337"/>
      <w:r>
        <w:rPr>
          <w:szCs w:val="22"/>
        </w:rPr>
        <w:t xml:space="preserve">NAIC </w:t>
      </w:r>
      <w:r w:rsidR="00405F30" w:rsidRPr="00B324DA">
        <w:rPr>
          <w:szCs w:val="22"/>
        </w:rPr>
        <w:t xml:space="preserve">Staff recommends that the Working Group move this item to the active listing, categorized as nonsubstantive and expose revisions to </w:t>
      </w:r>
      <w:r w:rsidR="00B324DA" w:rsidRPr="00B324DA">
        <w:rPr>
          <w:i/>
          <w:iCs/>
          <w:szCs w:val="22"/>
        </w:rPr>
        <w:t>Appendix D—Nonapplicable GAAP Pronouncements</w:t>
      </w:r>
      <w:r w:rsidR="00B324DA" w:rsidRPr="00B324DA">
        <w:rPr>
          <w:szCs w:val="22"/>
        </w:rPr>
        <w:t xml:space="preserve"> to reject </w:t>
      </w:r>
      <w:r w:rsidR="00B324DA" w:rsidRPr="00B324DA">
        <w:rPr>
          <w:i/>
          <w:iCs/>
          <w:szCs w:val="22"/>
        </w:rPr>
        <w:t>ASU 2015-10, Technical Corrections &amp; Improvements</w:t>
      </w:r>
      <w:r w:rsidR="00B324DA">
        <w:rPr>
          <w:szCs w:val="22"/>
        </w:rPr>
        <w:t xml:space="preserve"> as not applicable for statutory accounting</w:t>
      </w:r>
      <w:bookmarkEnd w:id="3"/>
      <w:r w:rsidR="00B324DA">
        <w:rPr>
          <w:szCs w:val="22"/>
        </w:rPr>
        <w:t>.</w:t>
      </w:r>
    </w:p>
    <w:p w14:paraId="66EE4D39" w14:textId="77777777" w:rsidR="00405F30" w:rsidRPr="00016321" w:rsidRDefault="00405F30" w:rsidP="00405F30">
      <w:pPr>
        <w:pStyle w:val="BodyText2"/>
        <w:rPr>
          <w:b w:val="0"/>
          <w:bCs w:val="0"/>
          <w:szCs w:val="22"/>
        </w:rPr>
      </w:pPr>
    </w:p>
    <w:p w14:paraId="5F1577B2" w14:textId="77777777" w:rsidR="00405F30" w:rsidRPr="00016321" w:rsidRDefault="00405F30" w:rsidP="00405F30">
      <w:pPr>
        <w:pStyle w:val="BodyText2"/>
        <w:rPr>
          <w:szCs w:val="22"/>
        </w:rPr>
      </w:pPr>
      <w:r w:rsidRPr="00016321">
        <w:rPr>
          <w:szCs w:val="22"/>
        </w:rPr>
        <w:t>Staff Review Completed by:</w:t>
      </w:r>
    </w:p>
    <w:p w14:paraId="211DB7A4" w14:textId="2EC4D915" w:rsidR="00405F30" w:rsidRPr="00C06E67" w:rsidRDefault="00C541DC" w:rsidP="00405F30">
      <w:pPr>
        <w:rPr>
          <w:bCs/>
        </w:rPr>
      </w:pPr>
      <w:r w:rsidRPr="00C06E67">
        <w:rPr>
          <w:bCs/>
        </w:rPr>
        <w:t xml:space="preserve">Jim Pinegar and </w:t>
      </w:r>
      <w:r w:rsidR="00B324DA" w:rsidRPr="00C06E67">
        <w:rPr>
          <w:bCs/>
        </w:rPr>
        <w:t xml:space="preserve">Fatima Sediqzad - </w:t>
      </w:r>
      <w:r w:rsidR="00405F30" w:rsidRPr="00C06E67">
        <w:rPr>
          <w:bCs/>
        </w:rPr>
        <w:t>NAIC Staff</w:t>
      </w:r>
    </w:p>
    <w:p w14:paraId="0C1AC61A" w14:textId="006891FC" w:rsidR="00405F30" w:rsidRPr="00C06E67" w:rsidRDefault="00C541DC" w:rsidP="00405F30">
      <w:pPr>
        <w:rPr>
          <w:bCs/>
        </w:rPr>
      </w:pPr>
      <w:r w:rsidRPr="00C06E67">
        <w:rPr>
          <w:bCs/>
        </w:rPr>
        <w:t>April 2020</w:t>
      </w:r>
    </w:p>
    <w:p w14:paraId="7A2E9DC5" w14:textId="127A1439" w:rsidR="00405F30" w:rsidRDefault="00405F30" w:rsidP="00405F30"/>
    <w:p w14:paraId="70667BD0" w14:textId="2F3734B5" w:rsidR="00763EA4" w:rsidRPr="00763EA4" w:rsidRDefault="00763EA4" w:rsidP="00405F30">
      <w:pPr>
        <w:rPr>
          <w:b/>
          <w:bCs/>
        </w:rPr>
      </w:pPr>
      <w:r>
        <w:rPr>
          <w:b/>
          <w:bCs/>
        </w:rPr>
        <w:t>Status:</w:t>
      </w:r>
    </w:p>
    <w:p w14:paraId="79EC1C26" w14:textId="4C21206F" w:rsidR="00763EA4" w:rsidRPr="00D1370E" w:rsidRDefault="00763EA4" w:rsidP="00763EA4">
      <w:pPr>
        <w:rPr>
          <w:bCs/>
          <w:iCs/>
        </w:rPr>
      </w:pPr>
      <w:r w:rsidRPr="00D1370E">
        <w:rPr>
          <w:bCs/>
        </w:rPr>
        <w:t xml:space="preserve">On </w:t>
      </w:r>
      <w:r w:rsidRPr="00D1370E">
        <w:rPr>
          <w:bCs/>
        </w:rPr>
        <w:t>July 30, 2020</w:t>
      </w:r>
      <w:r w:rsidRPr="00D1370E">
        <w:rPr>
          <w:bCs/>
        </w:rPr>
        <w:t xml:space="preserve">, the Statutory Accounting Principles (E) Working Group moved this agenda item to the active listing, categorized as nonsubstantive, and exposed revisions to </w:t>
      </w:r>
      <w:r w:rsidRPr="00D1370E">
        <w:rPr>
          <w:bCs/>
          <w:i/>
          <w:iCs/>
        </w:rPr>
        <w:t>Appendix D—Nonapplicable GAAP Pronouncements</w:t>
      </w:r>
      <w:r w:rsidRPr="00D1370E">
        <w:rPr>
          <w:bCs/>
        </w:rPr>
        <w:t xml:space="preserve"> to reject </w:t>
      </w:r>
      <w:r w:rsidRPr="00D1370E">
        <w:rPr>
          <w:i/>
          <w:iCs/>
        </w:rPr>
        <w:t>ASU 2015-10, Technical Corrections &amp; Improvements</w:t>
      </w:r>
      <w:r w:rsidRPr="00D1370E">
        <w:rPr>
          <w:bCs/>
          <w:i/>
        </w:rPr>
        <w:t xml:space="preserve"> </w:t>
      </w:r>
      <w:r w:rsidRPr="00D1370E">
        <w:rPr>
          <w:bCs/>
          <w:iCs/>
        </w:rPr>
        <w:t>as not applicable to statutory accounting.</w:t>
      </w:r>
    </w:p>
    <w:p w14:paraId="696795F6" w14:textId="77777777" w:rsidR="00405F30" w:rsidRDefault="00405F30" w:rsidP="00405F30"/>
    <w:p w14:paraId="45F0E0E6" w14:textId="572C51AA" w:rsidR="00405F30" w:rsidRDefault="00405F30" w:rsidP="00405F30">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A0044C">
        <w:rPr>
          <w:noProof/>
          <w:sz w:val="16"/>
          <w:szCs w:val="16"/>
        </w:rPr>
        <w:t>G:\FRS\DATA\Stat Acctg\3. National Meetings\A. National Meeting Materials\2020\Summer\NM Exposures\20-26 - ASU 2015-10 Technical Corrections &amp; Improvements Action Chart.docx</w:t>
      </w:r>
      <w:r w:rsidRPr="000579B6">
        <w:rPr>
          <w:sz w:val="16"/>
          <w:szCs w:val="16"/>
        </w:rPr>
        <w:fldChar w:fldCharType="end"/>
      </w:r>
    </w:p>
    <w:p w14:paraId="44F0ABED" w14:textId="77777777" w:rsidR="00405F30" w:rsidRDefault="00405F30" w:rsidP="00405F30">
      <w:pPr>
        <w:rPr>
          <w:sz w:val="16"/>
          <w:szCs w:val="16"/>
        </w:rPr>
      </w:pPr>
    </w:p>
    <w:p w14:paraId="259427FC" w14:textId="77777777" w:rsidR="00D21898" w:rsidRDefault="00D21898" w:rsidP="00921534">
      <w:pPr>
        <w:widowControl w:val="0"/>
        <w:autoSpaceDE w:val="0"/>
        <w:autoSpaceDN w:val="0"/>
        <w:adjustRightInd w:val="0"/>
        <w:spacing w:line="239" w:lineRule="auto"/>
        <w:ind w:left="120" w:right="68"/>
        <w:rPr>
          <w:rFonts w:eastAsiaTheme="minorEastAsia"/>
          <w:b/>
          <w:bCs/>
          <w:color w:val="000000"/>
        </w:rPr>
      </w:pPr>
    </w:p>
    <w:p w14:paraId="7BEE9AC7" w14:textId="77777777" w:rsidR="00D21898" w:rsidRDefault="00D21898" w:rsidP="00921534">
      <w:pPr>
        <w:widowControl w:val="0"/>
        <w:autoSpaceDE w:val="0"/>
        <w:autoSpaceDN w:val="0"/>
        <w:adjustRightInd w:val="0"/>
        <w:spacing w:line="239" w:lineRule="auto"/>
        <w:ind w:left="120" w:right="68"/>
        <w:rPr>
          <w:rFonts w:eastAsiaTheme="minorEastAsia"/>
          <w:b/>
          <w:bCs/>
          <w:color w:val="000000"/>
        </w:rPr>
        <w:sectPr w:rsidR="00D21898" w:rsidSect="00D21898">
          <w:headerReference w:type="default" r:id="rId7"/>
          <w:footerReference w:type="default" r:id="rId8"/>
          <w:pgSz w:w="12240" w:h="15840"/>
          <w:pgMar w:top="1440" w:right="1440" w:bottom="1440" w:left="1440" w:header="720" w:footer="720" w:gutter="0"/>
          <w:cols w:space="720"/>
          <w:docGrid w:linePitch="360"/>
        </w:sectPr>
      </w:pPr>
      <w:bookmarkStart w:id="4" w:name="_GoBack"/>
      <w:bookmarkEnd w:id="4"/>
    </w:p>
    <w:p w14:paraId="5D80B430" w14:textId="4B775B02" w:rsidR="00921534" w:rsidRDefault="00921534" w:rsidP="00921534">
      <w:pPr>
        <w:widowControl w:val="0"/>
        <w:autoSpaceDE w:val="0"/>
        <w:autoSpaceDN w:val="0"/>
        <w:adjustRightInd w:val="0"/>
        <w:spacing w:line="239" w:lineRule="auto"/>
        <w:ind w:left="120" w:right="68"/>
      </w:pPr>
      <w:r>
        <w:rPr>
          <w:rFonts w:eastAsiaTheme="minorEastAsia"/>
          <w:b/>
          <w:bCs/>
          <w:color w:val="000000"/>
        </w:rPr>
        <w:lastRenderedPageBreak/>
        <w:t>The last column lists the status of the GAAP source literature for statutory accounting and the recommended action.</w:t>
      </w:r>
    </w:p>
    <w:p w14:paraId="2D8D7439" w14:textId="77777777" w:rsidR="004D7740" w:rsidRDefault="004D7740"/>
    <w:p w14:paraId="26B07FEE" w14:textId="77777777" w:rsidR="00921534" w:rsidRDefault="00921534"/>
    <w:tbl>
      <w:tblPr>
        <w:tblStyle w:val="TableGrid"/>
        <w:tblW w:w="13590" w:type="dxa"/>
        <w:tblInd w:w="-185" w:type="dxa"/>
        <w:tblLook w:val="04A0" w:firstRow="1" w:lastRow="0" w:firstColumn="1" w:lastColumn="0" w:noHBand="0" w:noVBand="1"/>
      </w:tblPr>
      <w:tblGrid>
        <w:gridCol w:w="2520"/>
        <w:gridCol w:w="1913"/>
        <w:gridCol w:w="4027"/>
        <w:gridCol w:w="1440"/>
        <w:gridCol w:w="3690"/>
      </w:tblGrid>
      <w:tr w:rsidR="00997FF7" w14:paraId="186BCC28" w14:textId="77777777" w:rsidTr="00DC48DA">
        <w:tc>
          <w:tcPr>
            <w:tcW w:w="2520" w:type="dxa"/>
          </w:tcPr>
          <w:p w14:paraId="5C28A367" w14:textId="77777777" w:rsidR="00997FF7" w:rsidRPr="00427079" w:rsidRDefault="00997FF7" w:rsidP="007B53FD">
            <w:pPr>
              <w:jc w:val="center"/>
              <w:rPr>
                <w:b/>
                <w:bCs/>
                <w:u w:val="single"/>
              </w:rPr>
            </w:pPr>
            <w:r w:rsidRPr="00427079">
              <w:rPr>
                <w:b/>
                <w:bCs/>
                <w:u w:val="single"/>
              </w:rPr>
              <w:t>Topic</w:t>
            </w:r>
          </w:p>
        </w:tc>
        <w:tc>
          <w:tcPr>
            <w:tcW w:w="1913" w:type="dxa"/>
          </w:tcPr>
          <w:p w14:paraId="1E118D5F" w14:textId="77777777" w:rsidR="00997FF7" w:rsidRPr="00427079" w:rsidRDefault="00997FF7" w:rsidP="007B53FD">
            <w:pPr>
              <w:jc w:val="center"/>
              <w:rPr>
                <w:b/>
                <w:bCs/>
                <w:u w:val="single"/>
              </w:rPr>
            </w:pPr>
            <w:r w:rsidRPr="00427079">
              <w:rPr>
                <w:b/>
                <w:bCs/>
                <w:u w:val="single"/>
              </w:rPr>
              <w:t>ASC Reference</w:t>
            </w:r>
          </w:p>
        </w:tc>
        <w:tc>
          <w:tcPr>
            <w:tcW w:w="4027" w:type="dxa"/>
          </w:tcPr>
          <w:p w14:paraId="22693F05" w14:textId="77777777" w:rsidR="00997FF7" w:rsidRPr="00427079" w:rsidRDefault="00997FF7" w:rsidP="00921534">
            <w:pPr>
              <w:jc w:val="center"/>
              <w:rPr>
                <w:b/>
                <w:bCs/>
                <w:u w:val="single"/>
              </w:rPr>
            </w:pPr>
            <w:r w:rsidRPr="00427079">
              <w:rPr>
                <w:b/>
                <w:bCs/>
                <w:u w:val="single"/>
              </w:rPr>
              <w:t>Abbreviated Summary of Change</w:t>
            </w:r>
          </w:p>
        </w:tc>
        <w:tc>
          <w:tcPr>
            <w:tcW w:w="1440" w:type="dxa"/>
          </w:tcPr>
          <w:p w14:paraId="3AA35D90" w14:textId="77777777" w:rsidR="00997FF7" w:rsidRPr="00427079" w:rsidRDefault="00997FF7" w:rsidP="007B53FD">
            <w:pPr>
              <w:jc w:val="center"/>
              <w:rPr>
                <w:b/>
                <w:bCs/>
                <w:u w:val="single"/>
              </w:rPr>
            </w:pPr>
            <w:r w:rsidRPr="00427079">
              <w:rPr>
                <w:b/>
                <w:bCs/>
                <w:u w:val="single"/>
              </w:rPr>
              <w:t>Related Paragraphs</w:t>
            </w:r>
          </w:p>
        </w:tc>
        <w:tc>
          <w:tcPr>
            <w:tcW w:w="3690" w:type="dxa"/>
          </w:tcPr>
          <w:p w14:paraId="28492060" w14:textId="77777777" w:rsidR="00997FF7" w:rsidRPr="00427079" w:rsidRDefault="00997FF7" w:rsidP="00921534">
            <w:pPr>
              <w:jc w:val="center"/>
              <w:rPr>
                <w:b/>
                <w:bCs/>
                <w:u w:val="single"/>
              </w:rPr>
            </w:pPr>
            <w:r w:rsidRPr="00427079">
              <w:rPr>
                <w:b/>
                <w:bCs/>
                <w:u w:val="single"/>
              </w:rPr>
              <w:t>SAP Status/Recommendation</w:t>
            </w:r>
          </w:p>
        </w:tc>
      </w:tr>
      <w:tr w:rsidR="001765C3" w14:paraId="19991FC1" w14:textId="77777777" w:rsidTr="00DC48DA">
        <w:tc>
          <w:tcPr>
            <w:tcW w:w="2520" w:type="dxa"/>
          </w:tcPr>
          <w:p w14:paraId="434B198A" w14:textId="77777777" w:rsidR="001765C3" w:rsidRDefault="001765C3" w:rsidP="007B53FD">
            <w:pPr>
              <w:jc w:val="center"/>
            </w:pPr>
          </w:p>
        </w:tc>
        <w:tc>
          <w:tcPr>
            <w:tcW w:w="1913" w:type="dxa"/>
          </w:tcPr>
          <w:p w14:paraId="331F8DF3" w14:textId="30A6A929" w:rsidR="001765C3" w:rsidRDefault="001765C3" w:rsidP="007B53FD">
            <w:pPr>
              <w:jc w:val="center"/>
            </w:pPr>
            <w:r>
              <w:t>105-10-65-3</w:t>
            </w:r>
          </w:p>
        </w:tc>
        <w:tc>
          <w:tcPr>
            <w:tcW w:w="4027" w:type="dxa"/>
          </w:tcPr>
          <w:p w14:paraId="5C957818" w14:textId="54D22B43" w:rsidR="001765C3" w:rsidRDefault="001765C3" w:rsidP="007B53FD">
            <w:r>
              <w:t>Transition related to ASU 2015-10</w:t>
            </w:r>
          </w:p>
        </w:tc>
        <w:tc>
          <w:tcPr>
            <w:tcW w:w="1440" w:type="dxa"/>
          </w:tcPr>
          <w:p w14:paraId="6D2D223C" w14:textId="1DD296F6" w:rsidR="001765C3" w:rsidRDefault="001765C3" w:rsidP="007B53FD">
            <w:pPr>
              <w:jc w:val="center"/>
            </w:pPr>
            <w:r>
              <w:t>5</w:t>
            </w:r>
          </w:p>
        </w:tc>
        <w:tc>
          <w:tcPr>
            <w:tcW w:w="3690" w:type="dxa"/>
          </w:tcPr>
          <w:p w14:paraId="778738C0" w14:textId="589E0811" w:rsidR="001765C3" w:rsidRDefault="00771F1D" w:rsidP="007B53FD">
            <w:r w:rsidRPr="00F65704">
              <w:rPr>
                <w:b/>
                <w:bCs/>
              </w:rPr>
              <w:t xml:space="preserve">This update is not applicable – no action </w:t>
            </w:r>
            <w:r>
              <w:rPr>
                <w:b/>
                <w:bCs/>
              </w:rPr>
              <w:t>required</w:t>
            </w:r>
            <w:r w:rsidRPr="00F65704">
              <w:rPr>
                <w:b/>
                <w:bCs/>
              </w:rPr>
              <w:t>.</w:t>
            </w:r>
          </w:p>
        </w:tc>
      </w:tr>
      <w:tr w:rsidR="00997FF7" w14:paraId="28879A45" w14:textId="77777777" w:rsidTr="00DC48DA">
        <w:tc>
          <w:tcPr>
            <w:tcW w:w="2520" w:type="dxa"/>
          </w:tcPr>
          <w:p w14:paraId="7A83E6BB" w14:textId="77777777" w:rsidR="00997FF7" w:rsidRDefault="00997FF7" w:rsidP="00981F81">
            <w:pPr>
              <w:jc w:val="left"/>
            </w:pPr>
            <w:r>
              <w:t>Discontinued Operations</w:t>
            </w:r>
          </w:p>
        </w:tc>
        <w:tc>
          <w:tcPr>
            <w:tcW w:w="1913" w:type="dxa"/>
          </w:tcPr>
          <w:p w14:paraId="313789B9" w14:textId="77777777" w:rsidR="00997FF7" w:rsidRDefault="00997FF7" w:rsidP="007B53FD">
            <w:pPr>
              <w:jc w:val="center"/>
            </w:pPr>
            <w:r>
              <w:t>205-20-45-1D</w:t>
            </w:r>
          </w:p>
        </w:tc>
        <w:tc>
          <w:tcPr>
            <w:tcW w:w="4027" w:type="dxa"/>
          </w:tcPr>
          <w:p w14:paraId="3AAB465D" w14:textId="77777777" w:rsidR="00997FF7" w:rsidRDefault="00997FF7" w:rsidP="007B53FD">
            <w:r>
              <w:t>If the one-year requirement in paragraph 205-20-45-1E(d) is met, a business or nonprofit activity shall be classified as held for sale as a discontinued operation at the acquisition date if the other criteria in paragraph 205-20-45-1E (effectively ready and being marketed for sale) are probable of being met within a short period following the acquisition (usually within three months).</w:t>
            </w:r>
          </w:p>
        </w:tc>
        <w:tc>
          <w:tcPr>
            <w:tcW w:w="1440" w:type="dxa"/>
          </w:tcPr>
          <w:p w14:paraId="57B7348D" w14:textId="77777777" w:rsidR="00997FF7" w:rsidRDefault="00997FF7" w:rsidP="007B53FD">
            <w:pPr>
              <w:jc w:val="center"/>
            </w:pPr>
            <w:r>
              <w:t>6-7</w:t>
            </w:r>
          </w:p>
        </w:tc>
        <w:tc>
          <w:tcPr>
            <w:tcW w:w="3690" w:type="dxa"/>
          </w:tcPr>
          <w:p w14:paraId="2A67EC1A" w14:textId="77777777" w:rsidR="00997FF7" w:rsidRDefault="00997FF7" w:rsidP="007B53FD">
            <w:r>
              <w:t xml:space="preserve">Guidance for discontinued operations is in SSAP No. 24 – in that discontinued operations shall be reported with the entity’s reporting of continuing operations. </w:t>
            </w:r>
          </w:p>
          <w:p w14:paraId="6FD963FB" w14:textId="77777777" w:rsidR="00997FF7" w:rsidRDefault="00997FF7" w:rsidP="007B53FD"/>
          <w:p w14:paraId="01DD796A" w14:textId="77777777" w:rsidR="00997FF7" w:rsidRPr="00F65704" w:rsidRDefault="00997FF7" w:rsidP="007B53FD">
            <w:pPr>
              <w:rPr>
                <w:b/>
                <w:bCs/>
              </w:rPr>
            </w:pPr>
            <w:r w:rsidRPr="00F65704">
              <w:rPr>
                <w:b/>
                <w:bCs/>
              </w:rPr>
              <w:t xml:space="preserve">This update is not applicable – no action </w:t>
            </w:r>
            <w:r w:rsidR="006F3CCA">
              <w:rPr>
                <w:b/>
                <w:bCs/>
              </w:rPr>
              <w:t>required</w:t>
            </w:r>
            <w:r w:rsidRPr="00F65704">
              <w:rPr>
                <w:b/>
                <w:bCs/>
              </w:rPr>
              <w:t>.</w:t>
            </w:r>
          </w:p>
        </w:tc>
      </w:tr>
      <w:tr w:rsidR="00997FF7" w14:paraId="44A07979" w14:textId="77777777" w:rsidTr="00DC48DA">
        <w:tc>
          <w:tcPr>
            <w:tcW w:w="2520" w:type="dxa"/>
          </w:tcPr>
          <w:p w14:paraId="75361CD6" w14:textId="77777777" w:rsidR="00997FF7" w:rsidRDefault="00997FF7" w:rsidP="00981F81">
            <w:pPr>
              <w:jc w:val="left"/>
            </w:pPr>
            <w:r>
              <w:t>Statements of Cashflows</w:t>
            </w:r>
          </w:p>
        </w:tc>
        <w:tc>
          <w:tcPr>
            <w:tcW w:w="1913" w:type="dxa"/>
          </w:tcPr>
          <w:p w14:paraId="37FD316F" w14:textId="77777777" w:rsidR="00997FF7" w:rsidRDefault="00997FF7" w:rsidP="007B53FD">
            <w:pPr>
              <w:jc w:val="center"/>
            </w:pPr>
            <w:r>
              <w:t>230-10-45-20</w:t>
            </w:r>
          </w:p>
          <w:p w14:paraId="075E3430" w14:textId="77777777" w:rsidR="00F65704" w:rsidRDefault="00F65704" w:rsidP="007B53FD">
            <w:pPr>
              <w:jc w:val="center"/>
            </w:pPr>
          </w:p>
          <w:p w14:paraId="4404C624" w14:textId="77777777" w:rsidR="00F65704" w:rsidRDefault="00F65704" w:rsidP="007B53FD">
            <w:pPr>
              <w:jc w:val="center"/>
            </w:pPr>
            <w:r>
              <w:t>255-10-55-2</w:t>
            </w:r>
          </w:p>
        </w:tc>
        <w:tc>
          <w:tcPr>
            <w:tcW w:w="4027" w:type="dxa"/>
          </w:tcPr>
          <w:p w14:paraId="06322F78" w14:textId="77777777" w:rsidR="00997FF7" w:rsidRDefault="00997FF7" w:rsidP="007B53FD">
            <w:pPr>
              <w:rPr>
                <w:i/>
                <w:iCs/>
              </w:rPr>
            </w:pPr>
            <w:r>
              <w:t xml:space="preserve">Updates the term </w:t>
            </w:r>
            <w:r>
              <w:rPr>
                <w:i/>
                <w:iCs/>
              </w:rPr>
              <w:t>market value</w:t>
            </w:r>
            <w:r>
              <w:t xml:space="preserve"> to </w:t>
            </w:r>
            <w:r>
              <w:rPr>
                <w:i/>
                <w:iCs/>
              </w:rPr>
              <w:t>fair value.</w:t>
            </w:r>
          </w:p>
          <w:p w14:paraId="4E53C0A5" w14:textId="77777777" w:rsidR="00997FF7" w:rsidRDefault="00997FF7" w:rsidP="007B53FD">
            <w:pPr>
              <w:rPr>
                <w:i/>
                <w:iCs/>
              </w:rPr>
            </w:pPr>
          </w:p>
          <w:p w14:paraId="7E1260AA" w14:textId="77777777" w:rsidR="00997FF7" w:rsidRDefault="00997FF7" w:rsidP="007B53FD">
            <w:r>
              <w:t xml:space="preserve">Cash receipts and cash payments resulting from purchases and sales of other securities and other assets shall be classified as operating cash flows if those assets are acquired specifically for resale </w:t>
            </w:r>
            <w:r w:rsidRPr="00F65704">
              <w:t xml:space="preserve">and </w:t>
            </w:r>
            <w:r w:rsidRPr="00427079">
              <w:t>are carried at fair value in a trading account.</w:t>
            </w:r>
          </w:p>
          <w:p w14:paraId="22135B16" w14:textId="77777777" w:rsidR="00F65704" w:rsidRDefault="00F65704" w:rsidP="007B53FD">
            <w:pPr>
              <w:rPr>
                <w:i/>
                <w:iCs/>
              </w:rPr>
            </w:pPr>
          </w:p>
          <w:p w14:paraId="5B9A223F" w14:textId="77777777" w:rsidR="00F65704" w:rsidRPr="00F65704" w:rsidRDefault="00F65704" w:rsidP="007B53FD"/>
        </w:tc>
        <w:tc>
          <w:tcPr>
            <w:tcW w:w="1440" w:type="dxa"/>
          </w:tcPr>
          <w:p w14:paraId="4320C120" w14:textId="77777777" w:rsidR="00997FF7" w:rsidRDefault="00997FF7" w:rsidP="007B53FD">
            <w:pPr>
              <w:jc w:val="center"/>
            </w:pPr>
            <w:r>
              <w:t>8-11</w:t>
            </w:r>
          </w:p>
        </w:tc>
        <w:tc>
          <w:tcPr>
            <w:tcW w:w="3690" w:type="dxa"/>
          </w:tcPr>
          <w:p w14:paraId="5A9DB43A" w14:textId="77777777" w:rsidR="00997FF7" w:rsidRDefault="00997FF7" w:rsidP="007B53FD">
            <w:r>
              <w:t>Security classifications</w:t>
            </w:r>
            <w:r w:rsidR="00F65704">
              <w:t xml:space="preserve">, trading, held to maturity, etc., are not utilized for statutory accounting purposes. However, SSAP Nos. 26R, 37, 43R, already reference fair value in lieu of market value. </w:t>
            </w:r>
          </w:p>
          <w:p w14:paraId="6F17F979" w14:textId="77777777" w:rsidR="00F65704" w:rsidRDefault="00F65704" w:rsidP="007B53FD"/>
          <w:p w14:paraId="05CA8016" w14:textId="77777777" w:rsidR="00F65704" w:rsidRDefault="00F65704" w:rsidP="007B53FD">
            <w:r w:rsidRPr="00F65704">
              <w:rPr>
                <w:b/>
                <w:bCs/>
              </w:rPr>
              <w:t xml:space="preserve">This update is not applicable – no action </w:t>
            </w:r>
            <w:r w:rsidR="006F3CCA">
              <w:rPr>
                <w:b/>
                <w:bCs/>
              </w:rPr>
              <w:t>required</w:t>
            </w:r>
            <w:r w:rsidRPr="00F65704">
              <w:rPr>
                <w:b/>
                <w:bCs/>
              </w:rPr>
              <w:t>.</w:t>
            </w:r>
          </w:p>
        </w:tc>
      </w:tr>
      <w:tr w:rsidR="006F3CCA" w14:paraId="29ECEE9C" w14:textId="77777777" w:rsidTr="00DC48DA">
        <w:tc>
          <w:tcPr>
            <w:tcW w:w="2520" w:type="dxa"/>
          </w:tcPr>
          <w:p w14:paraId="5B60FA9C" w14:textId="77777777" w:rsidR="006F3CCA" w:rsidRDefault="006F3CCA" w:rsidP="00AD706B">
            <w:pPr>
              <w:jc w:val="left"/>
            </w:pPr>
            <w:r>
              <w:t>Personal Financial Statements</w:t>
            </w:r>
          </w:p>
        </w:tc>
        <w:tc>
          <w:tcPr>
            <w:tcW w:w="1913" w:type="dxa"/>
          </w:tcPr>
          <w:p w14:paraId="327B22D7" w14:textId="77777777" w:rsidR="006F3CCA" w:rsidRDefault="006F3CCA" w:rsidP="007B53FD">
            <w:pPr>
              <w:jc w:val="center"/>
            </w:pPr>
            <w:r>
              <w:t>274-10</w:t>
            </w:r>
          </w:p>
        </w:tc>
        <w:tc>
          <w:tcPr>
            <w:tcW w:w="4027" w:type="dxa"/>
          </w:tcPr>
          <w:p w14:paraId="38F468B9" w14:textId="77777777" w:rsidR="006F3CCA" w:rsidRDefault="00427079" w:rsidP="007B53FD">
            <w:r>
              <w:t>The e</w:t>
            </w:r>
            <w:r w:rsidR="007F3ED4">
              <w:t xml:space="preserve">xample provided </w:t>
            </w:r>
            <w:r>
              <w:t>was an error and</w:t>
            </w:r>
            <w:r w:rsidR="007F3ED4">
              <w:t xml:space="preserve"> did not correctly illustrate </w:t>
            </w:r>
            <w:r>
              <w:t xml:space="preserve">the demonstrated disclosure. </w:t>
            </w:r>
          </w:p>
        </w:tc>
        <w:tc>
          <w:tcPr>
            <w:tcW w:w="1440" w:type="dxa"/>
          </w:tcPr>
          <w:p w14:paraId="13625A26" w14:textId="77777777" w:rsidR="006F3CCA" w:rsidRDefault="00427079" w:rsidP="007B53FD">
            <w:pPr>
              <w:jc w:val="center"/>
            </w:pPr>
            <w:r>
              <w:t>12-14</w:t>
            </w:r>
          </w:p>
        </w:tc>
        <w:tc>
          <w:tcPr>
            <w:tcW w:w="3690" w:type="dxa"/>
          </w:tcPr>
          <w:p w14:paraId="3F292E95" w14:textId="77777777" w:rsidR="00427079" w:rsidRDefault="00427079" w:rsidP="007B53FD">
            <w:r w:rsidRPr="00F65704">
              <w:rPr>
                <w:b/>
                <w:bCs/>
              </w:rPr>
              <w:t xml:space="preserve">This update is not applicable – no action </w:t>
            </w:r>
            <w:r>
              <w:rPr>
                <w:b/>
                <w:bCs/>
              </w:rPr>
              <w:t>required</w:t>
            </w:r>
            <w:r w:rsidRPr="00F65704">
              <w:rPr>
                <w:b/>
                <w:bCs/>
              </w:rPr>
              <w:t>.</w:t>
            </w:r>
          </w:p>
        </w:tc>
      </w:tr>
      <w:tr w:rsidR="00427079" w14:paraId="54BFD09E" w14:textId="77777777" w:rsidTr="00DC48DA">
        <w:tc>
          <w:tcPr>
            <w:tcW w:w="2520" w:type="dxa"/>
          </w:tcPr>
          <w:p w14:paraId="018AA068" w14:textId="77777777" w:rsidR="00427079" w:rsidRDefault="00427079" w:rsidP="00981F81">
            <w:pPr>
              <w:jc w:val="left"/>
            </w:pPr>
            <w:r>
              <w:t>Receivables – Overall</w:t>
            </w:r>
          </w:p>
        </w:tc>
        <w:tc>
          <w:tcPr>
            <w:tcW w:w="1913" w:type="dxa"/>
          </w:tcPr>
          <w:p w14:paraId="3E385F11" w14:textId="77777777" w:rsidR="00427079" w:rsidRDefault="00427079" w:rsidP="007B53FD">
            <w:pPr>
              <w:jc w:val="center"/>
            </w:pPr>
            <w:r>
              <w:t>310-10-35</w:t>
            </w:r>
          </w:p>
          <w:p w14:paraId="13A3EC3E" w14:textId="77777777" w:rsidR="007B53FD" w:rsidRDefault="007B53FD" w:rsidP="007B53FD">
            <w:pPr>
              <w:jc w:val="center"/>
            </w:pPr>
          </w:p>
          <w:p w14:paraId="12AAB608" w14:textId="77777777" w:rsidR="007B53FD" w:rsidRDefault="007B53FD" w:rsidP="007B53FD">
            <w:pPr>
              <w:jc w:val="center"/>
            </w:pPr>
          </w:p>
          <w:p w14:paraId="3A160A87" w14:textId="77777777" w:rsidR="007B53FD" w:rsidRDefault="007B53FD" w:rsidP="007B53FD">
            <w:pPr>
              <w:jc w:val="center"/>
            </w:pPr>
            <w:r>
              <w:t>310-10-45</w:t>
            </w:r>
          </w:p>
        </w:tc>
        <w:tc>
          <w:tcPr>
            <w:tcW w:w="4027" w:type="dxa"/>
          </w:tcPr>
          <w:p w14:paraId="7A9EAAAA" w14:textId="77777777" w:rsidR="00427079" w:rsidRDefault="00427079" w:rsidP="007B53FD">
            <w:pPr>
              <w:pStyle w:val="ListParagraph"/>
              <w:numPr>
                <w:ilvl w:val="0"/>
                <w:numId w:val="1"/>
              </w:numPr>
            </w:pPr>
            <w:r>
              <w:t xml:space="preserve">Heading changes to certain sections </w:t>
            </w:r>
            <w:r w:rsidR="007B53FD">
              <w:t>to ease of finding certain information</w:t>
            </w:r>
          </w:p>
          <w:p w14:paraId="340642DB" w14:textId="77777777" w:rsidR="007B53FD" w:rsidRDefault="007B53FD" w:rsidP="007B53FD">
            <w:pPr>
              <w:pStyle w:val="ListParagraph"/>
              <w:numPr>
                <w:ilvl w:val="0"/>
                <w:numId w:val="1"/>
              </w:numPr>
            </w:pPr>
            <w:r>
              <w:t xml:space="preserve">Removed additional explanatory language regarding impairment loss based on the fair value of collateral </w:t>
            </w:r>
            <w:r>
              <w:lastRenderedPageBreak/>
              <w:t>when a creditor determines foreclosure is probable.</w:t>
            </w:r>
          </w:p>
          <w:p w14:paraId="6F3F9237" w14:textId="77777777" w:rsidR="007B53FD" w:rsidRDefault="007B53FD" w:rsidP="007B53FD">
            <w:pPr>
              <w:pStyle w:val="ListParagraph"/>
              <w:numPr>
                <w:ilvl w:val="0"/>
                <w:numId w:val="1"/>
              </w:numPr>
            </w:pPr>
            <w:r>
              <w:t>Updates reference links to other applicable paragraphs</w:t>
            </w:r>
          </w:p>
        </w:tc>
        <w:tc>
          <w:tcPr>
            <w:tcW w:w="1440" w:type="dxa"/>
          </w:tcPr>
          <w:p w14:paraId="74D92CD5" w14:textId="77777777" w:rsidR="00427079" w:rsidRDefault="007B53FD" w:rsidP="007B53FD">
            <w:pPr>
              <w:jc w:val="center"/>
            </w:pPr>
            <w:r>
              <w:lastRenderedPageBreak/>
              <w:t>15-21</w:t>
            </w:r>
          </w:p>
        </w:tc>
        <w:tc>
          <w:tcPr>
            <w:tcW w:w="3690" w:type="dxa"/>
          </w:tcPr>
          <w:p w14:paraId="4A99D419" w14:textId="77777777" w:rsidR="00427079" w:rsidRDefault="007B53FD" w:rsidP="007B53FD">
            <w:r>
              <w:t>Bullets #1 and #3 are not applicable.</w:t>
            </w:r>
          </w:p>
          <w:p w14:paraId="0A6AB281" w14:textId="77777777" w:rsidR="007B53FD" w:rsidRDefault="007B53FD" w:rsidP="007B53FD"/>
          <w:p w14:paraId="3A4EB629" w14:textId="77777777" w:rsidR="007B53FD" w:rsidRDefault="007B53FD" w:rsidP="007B53FD">
            <w:r>
              <w:t xml:space="preserve">Bullet #2 is referenced in SSAP No. 37 – which contains language regarding the </w:t>
            </w:r>
            <w:r w:rsidR="008C1CFA">
              <w:t>impairment</w:t>
            </w:r>
            <w:r>
              <w:t xml:space="preserve"> measurement based on the fair value of collateral less costs to </w:t>
            </w:r>
            <w:r>
              <w:lastRenderedPageBreak/>
              <w:t xml:space="preserve">obtain and sell. The additional </w:t>
            </w:r>
            <w:r w:rsidR="008C1CFA">
              <w:t>explanatory</w:t>
            </w:r>
            <w:r>
              <w:t xml:space="preserve"> language, which the FASB deemed may confuse readers, was not included in the SSAP.</w:t>
            </w:r>
          </w:p>
          <w:p w14:paraId="78AF1EAE" w14:textId="77777777" w:rsidR="007B53FD" w:rsidRDefault="007B53FD" w:rsidP="007B53FD"/>
          <w:p w14:paraId="2EF3A9A4" w14:textId="544FC543" w:rsidR="007B53FD" w:rsidRPr="007B53FD" w:rsidRDefault="007B53FD" w:rsidP="007B53FD">
            <w:r w:rsidRPr="00F65704">
              <w:rPr>
                <w:b/>
                <w:bCs/>
              </w:rPr>
              <w:t xml:space="preserve">This update is not applicable – no action </w:t>
            </w:r>
            <w:r>
              <w:rPr>
                <w:b/>
                <w:bCs/>
              </w:rPr>
              <w:t>required</w:t>
            </w:r>
            <w:r w:rsidRPr="00F65704">
              <w:rPr>
                <w:b/>
                <w:bCs/>
              </w:rPr>
              <w:t>.</w:t>
            </w:r>
          </w:p>
        </w:tc>
      </w:tr>
      <w:tr w:rsidR="008C1CFA" w14:paraId="6B0226C5" w14:textId="77777777" w:rsidTr="00DC48DA">
        <w:tc>
          <w:tcPr>
            <w:tcW w:w="2520" w:type="dxa"/>
          </w:tcPr>
          <w:p w14:paraId="5DB327A5" w14:textId="77777777" w:rsidR="008C1CFA" w:rsidRDefault="008C1CFA" w:rsidP="00981F81">
            <w:pPr>
              <w:jc w:val="left"/>
            </w:pPr>
            <w:r>
              <w:lastRenderedPageBreak/>
              <w:t>Receivables – Nonrefundable Fees and Other Costs</w:t>
            </w:r>
          </w:p>
        </w:tc>
        <w:tc>
          <w:tcPr>
            <w:tcW w:w="1913" w:type="dxa"/>
          </w:tcPr>
          <w:p w14:paraId="3D04D483" w14:textId="77777777" w:rsidR="008C1CFA" w:rsidRDefault="008C1CFA" w:rsidP="007B53FD">
            <w:pPr>
              <w:jc w:val="center"/>
            </w:pPr>
            <w:r>
              <w:t>310-20-35</w:t>
            </w:r>
          </w:p>
          <w:p w14:paraId="7D596AD2" w14:textId="77777777" w:rsidR="008C1CFA" w:rsidRDefault="008C1CFA" w:rsidP="007B53FD">
            <w:pPr>
              <w:jc w:val="center"/>
            </w:pPr>
            <w:r>
              <w:t>310-20-50</w:t>
            </w:r>
          </w:p>
        </w:tc>
        <w:tc>
          <w:tcPr>
            <w:tcW w:w="4027" w:type="dxa"/>
          </w:tcPr>
          <w:p w14:paraId="6A63F432" w14:textId="77777777" w:rsidR="008C1CFA" w:rsidRDefault="008C1CFA" w:rsidP="00EE15C3">
            <w:r>
              <w:t>Discusses the immediate expensing and related disclosures of certain origination costs associated with the issuance of a credit card that is not a private label credit card.</w:t>
            </w:r>
          </w:p>
          <w:p w14:paraId="179C1063" w14:textId="77777777" w:rsidR="008C1CFA" w:rsidRDefault="008C1CFA" w:rsidP="008C1CFA"/>
        </w:tc>
        <w:tc>
          <w:tcPr>
            <w:tcW w:w="1440" w:type="dxa"/>
          </w:tcPr>
          <w:p w14:paraId="592D60DB" w14:textId="77777777" w:rsidR="008C1CFA" w:rsidRDefault="008C1CFA" w:rsidP="008C1CFA">
            <w:pPr>
              <w:jc w:val="center"/>
            </w:pPr>
            <w:r>
              <w:t>22-24</w:t>
            </w:r>
          </w:p>
        </w:tc>
        <w:tc>
          <w:tcPr>
            <w:tcW w:w="3690" w:type="dxa"/>
          </w:tcPr>
          <w:p w14:paraId="0214A750" w14:textId="77777777" w:rsidR="008C1CFA" w:rsidRDefault="00DD7956" w:rsidP="007B53FD">
            <w:r>
              <w:t xml:space="preserve">Private label credit cards are not addressed in statutory accounting. </w:t>
            </w:r>
          </w:p>
          <w:p w14:paraId="17BB8ECF" w14:textId="77777777" w:rsidR="00DD7956" w:rsidRDefault="00DD7956" w:rsidP="007B53FD"/>
          <w:p w14:paraId="1162654E" w14:textId="77777777" w:rsidR="00DD7956" w:rsidRDefault="00DD7956" w:rsidP="00DD7956">
            <w:r w:rsidRPr="00F65704">
              <w:rPr>
                <w:b/>
                <w:bCs/>
              </w:rPr>
              <w:t xml:space="preserve">This update is not applicable – no action </w:t>
            </w:r>
            <w:r>
              <w:rPr>
                <w:b/>
                <w:bCs/>
              </w:rPr>
              <w:t>required</w:t>
            </w:r>
            <w:r w:rsidRPr="00F65704">
              <w:rPr>
                <w:b/>
                <w:bCs/>
              </w:rPr>
              <w:t>.</w:t>
            </w:r>
          </w:p>
          <w:p w14:paraId="3CE9A8EB" w14:textId="6D635B89" w:rsidR="00DD7956" w:rsidRDefault="00DD7956" w:rsidP="007B53FD"/>
        </w:tc>
      </w:tr>
      <w:tr w:rsidR="008C1CFA" w14:paraId="00DE11D9" w14:textId="77777777" w:rsidTr="00DC48DA">
        <w:tc>
          <w:tcPr>
            <w:tcW w:w="2520" w:type="dxa"/>
          </w:tcPr>
          <w:p w14:paraId="4C9646E1" w14:textId="77777777" w:rsidR="008C1CFA" w:rsidRDefault="008C1CFA" w:rsidP="00981F81">
            <w:pPr>
              <w:jc w:val="left"/>
            </w:pPr>
            <w:r>
              <w:t>Receivables – Loans and Debt Securities Acquired with Deteriorated Credit Quality</w:t>
            </w:r>
          </w:p>
        </w:tc>
        <w:tc>
          <w:tcPr>
            <w:tcW w:w="1913" w:type="dxa"/>
          </w:tcPr>
          <w:p w14:paraId="3C2A148F" w14:textId="77777777" w:rsidR="008C1CFA" w:rsidRDefault="008C1CFA" w:rsidP="007B53FD">
            <w:pPr>
              <w:jc w:val="center"/>
            </w:pPr>
            <w:r>
              <w:t>310-30-35-10</w:t>
            </w:r>
          </w:p>
        </w:tc>
        <w:tc>
          <w:tcPr>
            <w:tcW w:w="4027" w:type="dxa"/>
          </w:tcPr>
          <w:p w14:paraId="35637E3A" w14:textId="2137A813" w:rsidR="008C1CFA" w:rsidRDefault="00EE15C3" w:rsidP="00EE15C3">
            <w:r>
              <w:t>Sentence structure changes for ease of reading</w:t>
            </w:r>
            <w:r w:rsidR="00DD7956">
              <w:t xml:space="preserve">. The primary change was the </w:t>
            </w:r>
            <w:r w:rsidR="0043613B">
              <w:t>location</w:t>
            </w:r>
            <w:r w:rsidR="00DD7956">
              <w:t xml:space="preserve"> of the verbiage “based on current information,” when determining impairment of certain loans.</w:t>
            </w:r>
          </w:p>
        </w:tc>
        <w:tc>
          <w:tcPr>
            <w:tcW w:w="1440" w:type="dxa"/>
          </w:tcPr>
          <w:p w14:paraId="44EE4D76" w14:textId="77777777" w:rsidR="008C1CFA" w:rsidRDefault="00EE15C3" w:rsidP="008C1CFA">
            <w:pPr>
              <w:jc w:val="center"/>
            </w:pPr>
            <w:r>
              <w:t>25-26</w:t>
            </w:r>
          </w:p>
        </w:tc>
        <w:tc>
          <w:tcPr>
            <w:tcW w:w="3690" w:type="dxa"/>
          </w:tcPr>
          <w:p w14:paraId="22307E7C" w14:textId="3B3B004D" w:rsidR="006C4A27" w:rsidRDefault="006C4A27" w:rsidP="006C4A27">
            <w:r w:rsidRPr="006C4A27">
              <w:rPr>
                <w:i/>
                <w:iCs/>
              </w:rPr>
              <w:t>SSAP No. 26R—Bonds</w:t>
            </w:r>
            <w:r>
              <w:t xml:space="preserve"> &amp; </w:t>
            </w:r>
            <w:r w:rsidR="00DD7956" w:rsidRPr="0043613B">
              <w:rPr>
                <w:i/>
                <w:iCs/>
              </w:rPr>
              <w:t>SSAP No. 37</w:t>
            </w:r>
            <w:r w:rsidR="00DD7956" w:rsidRPr="0043613B">
              <w:rPr>
                <w:i/>
                <w:iCs/>
              </w:rPr>
              <w:softHyphen/>
            </w:r>
            <w:r w:rsidR="0043613B" w:rsidRPr="0043613B">
              <w:rPr>
                <w:i/>
                <w:iCs/>
              </w:rPr>
              <w:t>—Mortgage Loans</w:t>
            </w:r>
            <w:r w:rsidR="0043613B">
              <w:t xml:space="preserve"> most closely matches the </w:t>
            </w:r>
            <w:r>
              <w:t>topic covered. However existing language in the AP&amp;P manual is deemed appropriate and does not warrant the change notated.</w:t>
            </w:r>
          </w:p>
          <w:p w14:paraId="618762FC" w14:textId="21ED55A9" w:rsidR="006C4A27" w:rsidRDefault="006C4A27" w:rsidP="006C4A27">
            <w:pPr>
              <w:rPr>
                <w:b/>
                <w:bCs/>
              </w:rPr>
            </w:pPr>
          </w:p>
          <w:p w14:paraId="051E9245" w14:textId="668696B0" w:rsidR="0043613B" w:rsidRPr="002F1E98" w:rsidRDefault="006C4A27" w:rsidP="007B53FD">
            <w:r>
              <w:rPr>
                <w:b/>
                <w:bCs/>
              </w:rPr>
              <w:t xml:space="preserve">This update </w:t>
            </w:r>
            <w:r w:rsidRPr="00F65704">
              <w:rPr>
                <w:b/>
                <w:bCs/>
              </w:rPr>
              <w:t xml:space="preserve">is not applicable – no action </w:t>
            </w:r>
            <w:r>
              <w:rPr>
                <w:b/>
                <w:bCs/>
              </w:rPr>
              <w:t>required</w:t>
            </w:r>
            <w:r w:rsidRPr="00F65704">
              <w:rPr>
                <w:b/>
                <w:bCs/>
              </w:rPr>
              <w:t>.</w:t>
            </w:r>
          </w:p>
        </w:tc>
      </w:tr>
      <w:tr w:rsidR="007A0816" w14:paraId="1D63670D" w14:textId="77777777" w:rsidTr="00DC48DA">
        <w:tc>
          <w:tcPr>
            <w:tcW w:w="2520" w:type="dxa"/>
          </w:tcPr>
          <w:p w14:paraId="5D2B825A" w14:textId="377E154F" w:rsidR="007A0816" w:rsidRDefault="007A0816" w:rsidP="00981F81">
            <w:pPr>
              <w:jc w:val="left"/>
            </w:pPr>
            <w:r>
              <w:t xml:space="preserve">Investments – Debt and Equity Securities </w:t>
            </w:r>
          </w:p>
        </w:tc>
        <w:tc>
          <w:tcPr>
            <w:tcW w:w="1913" w:type="dxa"/>
          </w:tcPr>
          <w:p w14:paraId="6934AFB4" w14:textId="6E407678" w:rsidR="007A0816" w:rsidRDefault="007A0816" w:rsidP="007B53FD">
            <w:pPr>
              <w:jc w:val="center"/>
            </w:pPr>
            <w:r>
              <w:t>320-10-15-7</w:t>
            </w:r>
          </w:p>
        </w:tc>
        <w:tc>
          <w:tcPr>
            <w:tcW w:w="4027" w:type="dxa"/>
          </w:tcPr>
          <w:p w14:paraId="254573A5" w14:textId="0AF2E74D" w:rsidR="007A0816" w:rsidRDefault="007A0816" w:rsidP="00EE15C3">
            <w:r>
              <w:t>Sentence structure to clarify that equity securities accounted for under the cost method are excluded fair value reporting.</w:t>
            </w:r>
          </w:p>
        </w:tc>
        <w:tc>
          <w:tcPr>
            <w:tcW w:w="1440" w:type="dxa"/>
          </w:tcPr>
          <w:p w14:paraId="74723FF4" w14:textId="65B2F6AF" w:rsidR="007A0816" w:rsidRDefault="007A0816" w:rsidP="008C1CFA">
            <w:pPr>
              <w:jc w:val="center"/>
            </w:pPr>
            <w:r>
              <w:t>27-</w:t>
            </w:r>
            <w:r w:rsidR="00885DAA">
              <w:t>28</w:t>
            </w:r>
          </w:p>
        </w:tc>
        <w:tc>
          <w:tcPr>
            <w:tcW w:w="3690" w:type="dxa"/>
          </w:tcPr>
          <w:p w14:paraId="5F183C2D" w14:textId="77777777" w:rsidR="007A0816" w:rsidRDefault="007A0816" w:rsidP="006C4A27">
            <w:r>
              <w:t xml:space="preserve">Update is not applicable – reporting of securities at an amortized cost of fair value is a function of NAIC designations </w:t>
            </w:r>
            <w:r>
              <w:rPr>
                <w:i/>
                <w:iCs/>
              </w:rPr>
              <w:t>and</w:t>
            </w:r>
            <w:r>
              <w:t xml:space="preserve"> if the reporting entity maintains an asset valuation reserve. </w:t>
            </w:r>
          </w:p>
          <w:p w14:paraId="2E543D3F" w14:textId="52905917" w:rsidR="007A0816" w:rsidRDefault="007A0816" w:rsidP="006C4A27"/>
          <w:p w14:paraId="5E0C6AA0" w14:textId="5B9B0E75" w:rsidR="007A0816" w:rsidRPr="007A0816" w:rsidRDefault="007A0816" w:rsidP="006C4A27">
            <w:r>
              <w:rPr>
                <w:b/>
                <w:bCs/>
              </w:rPr>
              <w:t xml:space="preserve">This update </w:t>
            </w:r>
            <w:r w:rsidRPr="00F65704">
              <w:rPr>
                <w:b/>
                <w:bCs/>
              </w:rPr>
              <w:t xml:space="preserve">is not applicable – no action </w:t>
            </w:r>
            <w:r>
              <w:rPr>
                <w:b/>
                <w:bCs/>
              </w:rPr>
              <w:t>required</w:t>
            </w:r>
            <w:r w:rsidRPr="00F65704">
              <w:rPr>
                <w:b/>
                <w:bCs/>
              </w:rPr>
              <w:t>.</w:t>
            </w:r>
          </w:p>
        </w:tc>
      </w:tr>
      <w:tr w:rsidR="007A0816" w14:paraId="25FB3CC3" w14:textId="77777777" w:rsidTr="00DC48DA">
        <w:tc>
          <w:tcPr>
            <w:tcW w:w="2520" w:type="dxa"/>
          </w:tcPr>
          <w:p w14:paraId="6A3C65BD" w14:textId="4725726C" w:rsidR="007A0816" w:rsidRDefault="00885DAA" w:rsidP="00981F81">
            <w:pPr>
              <w:jc w:val="left"/>
            </w:pPr>
            <w:r>
              <w:t>Readily Determinable Fair Value</w:t>
            </w:r>
          </w:p>
        </w:tc>
        <w:tc>
          <w:tcPr>
            <w:tcW w:w="1913" w:type="dxa"/>
          </w:tcPr>
          <w:p w14:paraId="2A180091" w14:textId="1452C607" w:rsidR="007A0816" w:rsidRDefault="00885DAA" w:rsidP="007B53FD">
            <w:pPr>
              <w:jc w:val="center"/>
            </w:pPr>
            <w:r>
              <w:t>Master Glossary Term</w:t>
            </w:r>
          </w:p>
        </w:tc>
        <w:tc>
          <w:tcPr>
            <w:tcW w:w="4027" w:type="dxa"/>
          </w:tcPr>
          <w:p w14:paraId="75DA8CA5" w14:textId="2E98D693" w:rsidR="007A0816" w:rsidRDefault="00885DAA" w:rsidP="00EE15C3">
            <w:r>
              <w:t xml:space="preserve">Updates to the master glossary </w:t>
            </w:r>
            <w:r w:rsidR="00A87F93">
              <w:t xml:space="preserve">that the definition of readily determinable fair value may be applied to investments </w:t>
            </w:r>
            <w:r w:rsidR="006E16D4">
              <w:t>in a mutual fund or in a similar structure if the fair value per share is determined and published and is the basis for current transactions.</w:t>
            </w:r>
          </w:p>
        </w:tc>
        <w:tc>
          <w:tcPr>
            <w:tcW w:w="1440" w:type="dxa"/>
          </w:tcPr>
          <w:p w14:paraId="5C528B34" w14:textId="72CF4819" w:rsidR="007A0816" w:rsidRDefault="00885DAA" w:rsidP="008C1CFA">
            <w:pPr>
              <w:jc w:val="center"/>
            </w:pPr>
            <w:r>
              <w:t>29-</w:t>
            </w:r>
            <w:r w:rsidR="006E16D4">
              <w:t>30</w:t>
            </w:r>
          </w:p>
        </w:tc>
        <w:tc>
          <w:tcPr>
            <w:tcW w:w="3690" w:type="dxa"/>
          </w:tcPr>
          <w:p w14:paraId="60EBD94D" w14:textId="26986224" w:rsidR="007A0816" w:rsidRDefault="006E16D4" w:rsidP="006C4A27">
            <w:r>
              <w:t>Fair value is more broadly defined in SSAP No. 100R and in addition, fair value reporting of equity securities (including mutual funds) is already required in SSAP No. 30R.</w:t>
            </w:r>
          </w:p>
          <w:p w14:paraId="355AE45A" w14:textId="77777777" w:rsidR="006E16D4" w:rsidRDefault="006E16D4" w:rsidP="006C4A27"/>
          <w:p w14:paraId="65B32E11" w14:textId="449D06E2" w:rsidR="006E16D4" w:rsidRDefault="006E16D4" w:rsidP="006C4A27">
            <w:r>
              <w:rPr>
                <w:b/>
                <w:bCs/>
              </w:rPr>
              <w:lastRenderedPageBreak/>
              <w:t xml:space="preserve">This update </w:t>
            </w:r>
            <w:r w:rsidRPr="00F65704">
              <w:rPr>
                <w:b/>
                <w:bCs/>
              </w:rPr>
              <w:t xml:space="preserve">is not applicable – no action </w:t>
            </w:r>
            <w:r>
              <w:rPr>
                <w:b/>
                <w:bCs/>
              </w:rPr>
              <w:t>required</w:t>
            </w:r>
            <w:r w:rsidRPr="00F65704">
              <w:rPr>
                <w:b/>
                <w:bCs/>
              </w:rPr>
              <w:t>.</w:t>
            </w:r>
          </w:p>
        </w:tc>
      </w:tr>
      <w:tr w:rsidR="006E16D4" w14:paraId="18D65630" w14:textId="77777777" w:rsidTr="00DC48DA">
        <w:tc>
          <w:tcPr>
            <w:tcW w:w="2520" w:type="dxa"/>
          </w:tcPr>
          <w:p w14:paraId="5BE54612" w14:textId="2749D450" w:rsidR="006E16D4" w:rsidRDefault="006E16D4" w:rsidP="00AD706B">
            <w:pPr>
              <w:jc w:val="left"/>
            </w:pPr>
            <w:r>
              <w:lastRenderedPageBreak/>
              <w:t>Recognition</w:t>
            </w:r>
            <w:r w:rsidR="00672820">
              <w:t xml:space="preserve"> &amp; Derecognition</w:t>
            </w:r>
          </w:p>
        </w:tc>
        <w:tc>
          <w:tcPr>
            <w:tcW w:w="1913" w:type="dxa"/>
          </w:tcPr>
          <w:p w14:paraId="4BE40B0E" w14:textId="77777777" w:rsidR="00672820" w:rsidRDefault="006E16D4" w:rsidP="007B53FD">
            <w:pPr>
              <w:jc w:val="center"/>
            </w:pPr>
            <w:r>
              <w:t>320-10-25-20</w:t>
            </w:r>
            <w:r w:rsidR="00672820">
              <w:t xml:space="preserve"> &amp; </w:t>
            </w:r>
          </w:p>
          <w:p w14:paraId="05BE0C84" w14:textId="6AF17360" w:rsidR="006E16D4" w:rsidRDefault="00672820" w:rsidP="007B53FD">
            <w:pPr>
              <w:jc w:val="center"/>
            </w:pPr>
            <w:r>
              <w:t>320-10-40-3</w:t>
            </w:r>
          </w:p>
        </w:tc>
        <w:tc>
          <w:tcPr>
            <w:tcW w:w="4027" w:type="dxa"/>
          </w:tcPr>
          <w:p w14:paraId="66F2CD9C" w14:textId="25548AE6" w:rsidR="006E16D4" w:rsidRDefault="00672820" w:rsidP="00EE15C3">
            <w:r>
              <w:t xml:space="preserve">Updates that state an investor shall account </w:t>
            </w:r>
            <w:r w:rsidRPr="00DB5BFC">
              <w:t>for two structured notes as</w:t>
            </w:r>
            <w:r>
              <w:t xml:space="preserve"> a single until one is sold, at which time the notes shall be measured in the same way as a participating interest.</w:t>
            </w:r>
          </w:p>
        </w:tc>
        <w:tc>
          <w:tcPr>
            <w:tcW w:w="1440" w:type="dxa"/>
          </w:tcPr>
          <w:p w14:paraId="0BC6D994" w14:textId="4858C002" w:rsidR="006E16D4" w:rsidRDefault="00672820" w:rsidP="008C1CFA">
            <w:pPr>
              <w:jc w:val="center"/>
            </w:pPr>
            <w:r>
              <w:t>31-32</w:t>
            </w:r>
          </w:p>
        </w:tc>
        <w:tc>
          <w:tcPr>
            <w:tcW w:w="3690" w:type="dxa"/>
          </w:tcPr>
          <w:p w14:paraId="6B12FA73" w14:textId="409DA819" w:rsidR="006E16D4" w:rsidRDefault="00672820" w:rsidP="006C4A27">
            <w:r>
              <w:t xml:space="preserve">Update is not applicable – reporting of structured securities is defined in SSAP No. 43R, which utilizes NAIC designations </w:t>
            </w:r>
            <w:r>
              <w:rPr>
                <w:i/>
                <w:iCs/>
              </w:rPr>
              <w:t>and</w:t>
            </w:r>
            <w:r>
              <w:t xml:space="preserve"> if the reporting entity maintains an asset valuation reserve for deterring the appropriate accounting and reported method.</w:t>
            </w:r>
          </w:p>
          <w:p w14:paraId="075AA221" w14:textId="1FB70827" w:rsidR="00672820" w:rsidRDefault="00672820" w:rsidP="006C4A27"/>
          <w:p w14:paraId="6695B890" w14:textId="6EC632F0" w:rsidR="00672820" w:rsidRPr="00672820" w:rsidRDefault="00672820" w:rsidP="006C4A27">
            <w:r>
              <w:rPr>
                <w:b/>
                <w:bCs/>
              </w:rPr>
              <w:t xml:space="preserve">This update </w:t>
            </w:r>
            <w:r w:rsidRPr="00F65704">
              <w:rPr>
                <w:b/>
                <w:bCs/>
              </w:rPr>
              <w:t xml:space="preserve">is not applicable – no action </w:t>
            </w:r>
            <w:r>
              <w:rPr>
                <w:b/>
                <w:bCs/>
              </w:rPr>
              <w:t>required</w:t>
            </w:r>
            <w:r w:rsidRPr="00F65704">
              <w:rPr>
                <w:b/>
                <w:bCs/>
              </w:rPr>
              <w:t>.</w:t>
            </w:r>
          </w:p>
        </w:tc>
      </w:tr>
      <w:tr w:rsidR="003F787F" w14:paraId="42969383" w14:textId="77777777" w:rsidTr="00DC48DA">
        <w:tc>
          <w:tcPr>
            <w:tcW w:w="2520" w:type="dxa"/>
          </w:tcPr>
          <w:p w14:paraId="3764A6B7" w14:textId="4E415A25" w:rsidR="003F787F" w:rsidRDefault="003F787F" w:rsidP="00C06E67">
            <w:pPr>
              <w:jc w:val="left"/>
            </w:pPr>
            <w:r>
              <w:t xml:space="preserve">Investments—Other—Beneficial Interests </w:t>
            </w:r>
          </w:p>
        </w:tc>
        <w:tc>
          <w:tcPr>
            <w:tcW w:w="1913" w:type="dxa"/>
          </w:tcPr>
          <w:p w14:paraId="2B5C833D" w14:textId="4BD919B5" w:rsidR="003F787F" w:rsidRDefault="003F787F" w:rsidP="007B53FD">
            <w:pPr>
              <w:jc w:val="center"/>
            </w:pPr>
            <w:r>
              <w:t>325-40-55-1</w:t>
            </w:r>
          </w:p>
        </w:tc>
        <w:tc>
          <w:tcPr>
            <w:tcW w:w="4027" w:type="dxa"/>
          </w:tcPr>
          <w:p w14:paraId="17237CF3" w14:textId="29B92138" w:rsidR="003F787F" w:rsidRDefault="003F787F" w:rsidP="00EE15C3">
            <w:r>
              <w:t>Update discusses the treatment for accretion yield should an other-than-temporary impairment occur. Original guidance stated the accretion yield should be revised to ‘market rate.” Updated guidance states the yield is not changes as a result of recognizing OTTI. However, the yield may be changed prospectively for non-credit related factors.</w:t>
            </w:r>
          </w:p>
        </w:tc>
        <w:tc>
          <w:tcPr>
            <w:tcW w:w="1440" w:type="dxa"/>
          </w:tcPr>
          <w:p w14:paraId="477D3C2F" w14:textId="15952670" w:rsidR="003F787F" w:rsidRDefault="002F0B2A" w:rsidP="008C1CFA">
            <w:pPr>
              <w:jc w:val="center"/>
            </w:pPr>
            <w:r>
              <w:t>33-34</w:t>
            </w:r>
          </w:p>
        </w:tc>
        <w:tc>
          <w:tcPr>
            <w:tcW w:w="3690" w:type="dxa"/>
          </w:tcPr>
          <w:p w14:paraId="012FA6BA" w14:textId="40B712D5" w:rsidR="003F787F" w:rsidRDefault="003F787F" w:rsidP="006C4A27">
            <w:r>
              <w:t xml:space="preserve">SSAP No. 43R details the treatment for accretion yield for beneficial interests after an OTTI has been recognized. AP&amp;P guidance states an </w:t>
            </w:r>
            <w:r w:rsidR="002F0B2A">
              <w:t xml:space="preserve">accretion </w:t>
            </w:r>
            <w:r>
              <w:t>adjustment shall b</w:t>
            </w:r>
            <w:r w:rsidR="002F0B2A">
              <w:t>e made for the remaining life of the beneficial interest – a position more conservative than in this ASU. As such, no changes are recommended.</w:t>
            </w:r>
          </w:p>
          <w:p w14:paraId="723F75EE" w14:textId="77777777" w:rsidR="002F0B2A" w:rsidRDefault="002F0B2A" w:rsidP="006C4A27"/>
          <w:p w14:paraId="2A7AC2F9" w14:textId="0F9C005A" w:rsidR="002F0B2A" w:rsidRDefault="002F0B2A" w:rsidP="006C4A27">
            <w:r>
              <w:rPr>
                <w:b/>
                <w:bCs/>
              </w:rPr>
              <w:t xml:space="preserve">This update </w:t>
            </w:r>
            <w:r w:rsidRPr="00F65704">
              <w:rPr>
                <w:b/>
                <w:bCs/>
              </w:rPr>
              <w:t xml:space="preserve">is not applicable – no action </w:t>
            </w:r>
            <w:r>
              <w:rPr>
                <w:b/>
                <w:bCs/>
              </w:rPr>
              <w:t>required</w:t>
            </w:r>
            <w:r w:rsidRPr="00F65704">
              <w:rPr>
                <w:b/>
                <w:bCs/>
              </w:rPr>
              <w:t>.</w:t>
            </w:r>
          </w:p>
        </w:tc>
      </w:tr>
      <w:tr w:rsidR="002F0B2A" w14:paraId="1F241091" w14:textId="77777777" w:rsidTr="00DC48DA">
        <w:tc>
          <w:tcPr>
            <w:tcW w:w="2520" w:type="dxa"/>
          </w:tcPr>
          <w:p w14:paraId="54985B8E" w14:textId="6354A05E" w:rsidR="002F0B2A" w:rsidRDefault="002F0B2A" w:rsidP="00C06E67">
            <w:pPr>
              <w:jc w:val="left"/>
            </w:pPr>
            <w:r>
              <w:t>Liabilities—Extinguishment of Liabilities</w:t>
            </w:r>
          </w:p>
        </w:tc>
        <w:tc>
          <w:tcPr>
            <w:tcW w:w="1913" w:type="dxa"/>
          </w:tcPr>
          <w:p w14:paraId="73FD2F39" w14:textId="6CD3CED0" w:rsidR="002F0B2A" w:rsidRDefault="002F0B2A" w:rsidP="007B53FD">
            <w:pPr>
              <w:jc w:val="center"/>
            </w:pPr>
            <w:r>
              <w:t>405-20-55-4</w:t>
            </w:r>
          </w:p>
        </w:tc>
        <w:tc>
          <w:tcPr>
            <w:tcW w:w="4027" w:type="dxa"/>
          </w:tcPr>
          <w:p w14:paraId="53099956" w14:textId="0D87AEB8" w:rsidR="002F0B2A" w:rsidRPr="002F0B2A" w:rsidRDefault="002F0B2A" w:rsidP="00EE15C3">
            <w:r>
              <w:t xml:space="preserve">Paragraph wording update, removing the language, “under the financial components approach,” which </w:t>
            </w:r>
            <w:r>
              <w:rPr>
                <w:i/>
                <w:iCs/>
              </w:rPr>
              <w:t>may</w:t>
            </w:r>
            <w:r>
              <w:t xml:space="preserve"> have implied that an alternative approach was available when analyzing the liability extinguishment in certain in-substance defeasance transactions.</w:t>
            </w:r>
          </w:p>
        </w:tc>
        <w:tc>
          <w:tcPr>
            <w:tcW w:w="1440" w:type="dxa"/>
          </w:tcPr>
          <w:p w14:paraId="324C6D5B" w14:textId="6243B643" w:rsidR="002F0B2A" w:rsidRDefault="005D47D9" w:rsidP="008C1CFA">
            <w:pPr>
              <w:jc w:val="center"/>
            </w:pPr>
            <w:r>
              <w:t>35-36</w:t>
            </w:r>
          </w:p>
        </w:tc>
        <w:tc>
          <w:tcPr>
            <w:tcW w:w="3690" w:type="dxa"/>
          </w:tcPr>
          <w:p w14:paraId="1456B90F" w14:textId="776A3D78" w:rsidR="002F0B2A" w:rsidRDefault="005D47D9" w:rsidP="006C4A27">
            <w:r>
              <w:t>SSAP No. 103R does not contain such language</w:t>
            </w:r>
            <w:r w:rsidR="001F2F15">
              <w:t>. As such,</w:t>
            </w:r>
            <w:r>
              <w:t xml:space="preserve"> the ambiguity of regarding an alternative approach for review for these types of transactions does not exist.</w:t>
            </w:r>
          </w:p>
          <w:p w14:paraId="135DEE1F" w14:textId="77777777" w:rsidR="00B324DA" w:rsidRDefault="00B324DA" w:rsidP="006C4A27"/>
          <w:p w14:paraId="390C123A" w14:textId="021F8E20" w:rsidR="005D47D9" w:rsidRDefault="005D47D9" w:rsidP="006C4A27">
            <w:r>
              <w:rPr>
                <w:b/>
                <w:bCs/>
              </w:rPr>
              <w:t xml:space="preserve">This update </w:t>
            </w:r>
            <w:r w:rsidRPr="00F65704">
              <w:rPr>
                <w:b/>
                <w:bCs/>
              </w:rPr>
              <w:t xml:space="preserve">is not applicable – no action </w:t>
            </w:r>
            <w:r>
              <w:rPr>
                <w:b/>
                <w:bCs/>
              </w:rPr>
              <w:t>required</w:t>
            </w:r>
            <w:r w:rsidRPr="00F65704">
              <w:rPr>
                <w:b/>
                <w:bCs/>
              </w:rPr>
              <w:t>.</w:t>
            </w:r>
          </w:p>
        </w:tc>
      </w:tr>
      <w:tr w:rsidR="006B7A99" w14:paraId="0633FC10" w14:textId="77777777" w:rsidTr="00DC48DA">
        <w:tc>
          <w:tcPr>
            <w:tcW w:w="2520" w:type="dxa"/>
          </w:tcPr>
          <w:p w14:paraId="2F45D005" w14:textId="3330E613" w:rsidR="006B7A99" w:rsidRDefault="006B7A99" w:rsidP="00C06E67">
            <w:pPr>
              <w:jc w:val="left"/>
            </w:pPr>
            <w:r>
              <w:t>Asset Retirement and Environmental Obligations</w:t>
            </w:r>
          </w:p>
        </w:tc>
        <w:tc>
          <w:tcPr>
            <w:tcW w:w="1913" w:type="dxa"/>
          </w:tcPr>
          <w:p w14:paraId="244A1461" w14:textId="4F604745" w:rsidR="006B7A99" w:rsidRDefault="006B7A99" w:rsidP="007B53FD">
            <w:pPr>
              <w:jc w:val="center"/>
            </w:pPr>
            <w:r>
              <w:t>410-30-35-7</w:t>
            </w:r>
          </w:p>
        </w:tc>
        <w:tc>
          <w:tcPr>
            <w:tcW w:w="4027" w:type="dxa"/>
          </w:tcPr>
          <w:p w14:paraId="48FC886E" w14:textId="64B057AA" w:rsidR="006B7A99" w:rsidRDefault="006B7A99" w:rsidP="00EE15C3">
            <w:r>
              <w:t xml:space="preserve">Removal of inconsequential wording, </w:t>
            </w:r>
            <w:r w:rsidRPr="006B7A99">
              <w:rPr>
                <w:i/>
                <w:iCs/>
              </w:rPr>
              <w:t xml:space="preserve">“Remediation technology is changing constantly, and, in many cases, new </w:t>
            </w:r>
            <w:r w:rsidRPr="006B7A99">
              <w:rPr>
                <w:i/>
                <w:iCs/>
              </w:rPr>
              <w:lastRenderedPageBreak/>
              <w:t>technologies have resulted in modified costs for environmental remediation.”</w:t>
            </w:r>
          </w:p>
        </w:tc>
        <w:tc>
          <w:tcPr>
            <w:tcW w:w="1440" w:type="dxa"/>
          </w:tcPr>
          <w:p w14:paraId="1B0AD0D6" w14:textId="58811C01" w:rsidR="006B7A99" w:rsidRDefault="006B7A99" w:rsidP="008C1CFA">
            <w:pPr>
              <w:jc w:val="center"/>
            </w:pPr>
            <w:r>
              <w:lastRenderedPageBreak/>
              <w:t>37-38</w:t>
            </w:r>
          </w:p>
        </w:tc>
        <w:tc>
          <w:tcPr>
            <w:tcW w:w="3690" w:type="dxa"/>
          </w:tcPr>
          <w:p w14:paraId="2629C583" w14:textId="318BCB49" w:rsidR="006B7A99" w:rsidRDefault="00F91786" w:rsidP="006C4A27">
            <w:r>
              <w:t xml:space="preserve">While remediation is notated in the AP&amp;P manual, this specific verbiage was not included. </w:t>
            </w:r>
          </w:p>
          <w:p w14:paraId="0CFED0F4" w14:textId="77777777" w:rsidR="00F91786" w:rsidRDefault="00F91786" w:rsidP="006C4A27"/>
          <w:p w14:paraId="08FA524D" w14:textId="024A9415" w:rsidR="00F91786" w:rsidRDefault="00F91786" w:rsidP="006C4A27">
            <w:r>
              <w:rPr>
                <w:b/>
                <w:bCs/>
              </w:rPr>
              <w:lastRenderedPageBreak/>
              <w:t xml:space="preserve">This update </w:t>
            </w:r>
            <w:r w:rsidRPr="00F65704">
              <w:rPr>
                <w:b/>
                <w:bCs/>
              </w:rPr>
              <w:t xml:space="preserve">is not applicable – no action </w:t>
            </w:r>
            <w:r>
              <w:rPr>
                <w:b/>
                <w:bCs/>
              </w:rPr>
              <w:t>required</w:t>
            </w:r>
            <w:r w:rsidRPr="00F65704">
              <w:rPr>
                <w:b/>
                <w:bCs/>
              </w:rPr>
              <w:t>.</w:t>
            </w:r>
          </w:p>
        </w:tc>
      </w:tr>
      <w:tr w:rsidR="00F91786" w14:paraId="29E4717F" w14:textId="77777777" w:rsidTr="00DC48DA">
        <w:tc>
          <w:tcPr>
            <w:tcW w:w="2520" w:type="dxa"/>
          </w:tcPr>
          <w:p w14:paraId="1D1858CD" w14:textId="5F8D5A97" w:rsidR="00F91786" w:rsidRDefault="009A7AAC" w:rsidP="00C06E67">
            <w:pPr>
              <w:jc w:val="left"/>
            </w:pPr>
            <w:r>
              <w:lastRenderedPageBreak/>
              <w:t>Guarantees – Overall</w:t>
            </w:r>
          </w:p>
        </w:tc>
        <w:tc>
          <w:tcPr>
            <w:tcW w:w="1913" w:type="dxa"/>
          </w:tcPr>
          <w:p w14:paraId="4A137E06" w14:textId="2BDEEC33" w:rsidR="00F91786" w:rsidRDefault="009A7AAC" w:rsidP="007B53FD">
            <w:pPr>
              <w:jc w:val="center"/>
            </w:pPr>
            <w:r>
              <w:t>460-10-05-3</w:t>
            </w:r>
          </w:p>
        </w:tc>
        <w:tc>
          <w:tcPr>
            <w:tcW w:w="4027" w:type="dxa"/>
          </w:tcPr>
          <w:p w14:paraId="68D685F1" w14:textId="1531DE08" w:rsidR="00F91786" w:rsidRDefault="00E879EF" w:rsidP="00EE15C3">
            <w:r>
              <w:t>Removal o</w:t>
            </w:r>
            <w:r w:rsidR="00C4120C">
              <w:t>f references to subordination agreements.</w:t>
            </w:r>
          </w:p>
        </w:tc>
        <w:tc>
          <w:tcPr>
            <w:tcW w:w="1440" w:type="dxa"/>
          </w:tcPr>
          <w:p w14:paraId="08DD5F9F" w14:textId="124E2DE5" w:rsidR="00F91786" w:rsidRDefault="001765C3" w:rsidP="008C1CFA">
            <w:pPr>
              <w:jc w:val="center"/>
            </w:pPr>
            <w:r>
              <w:t>39-41</w:t>
            </w:r>
          </w:p>
        </w:tc>
        <w:tc>
          <w:tcPr>
            <w:tcW w:w="3690" w:type="dxa"/>
          </w:tcPr>
          <w:p w14:paraId="50D3CFEA" w14:textId="77091156" w:rsidR="00F91786" w:rsidRDefault="00E879EF" w:rsidP="006C4A27">
            <w:r>
              <w:t>Subordination agreements are excluded from the definition of indemnifications or guarantees in statutory accounting</w:t>
            </w:r>
            <w:r w:rsidR="009303A9">
              <w:t xml:space="preserve">. </w:t>
            </w:r>
          </w:p>
          <w:p w14:paraId="5F15E3A4" w14:textId="77777777" w:rsidR="00E879EF" w:rsidRDefault="00E879EF" w:rsidP="006C4A27"/>
          <w:p w14:paraId="2FAA0DE9" w14:textId="7790100C" w:rsidR="00E879EF" w:rsidRDefault="00E879EF" w:rsidP="006C4A27">
            <w:r>
              <w:rPr>
                <w:b/>
                <w:bCs/>
              </w:rPr>
              <w:t xml:space="preserve">This update </w:t>
            </w:r>
            <w:r w:rsidRPr="00F65704">
              <w:rPr>
                <w:b/>
                <w:bCs/>
              </w:rPr>
              <w:t xml:space="preserve">is not applicable – no action </w:t>
            </w:r>
            <w:r>
              <w:rPr>
                <w:b/>
                <w:bCs/>
              </w:rPr>
              <w:t>required</w:t>
            </w:r>
            <w:r w:rsidRPr="00F65704">
              <w:rPr>
                <w:b/>
                <w:bCs/>
              </w:rPr>
              <w:t>.</w:t>
            </w:r>
          </w:p>
        </w:tc>
      </w:tr>
      <w:tr w:rsidR="009A7AAC" w14:paraId="41FCDFA5" w14:textId="77777777" w:rsidTr="00DC48DA">
        <w:tc>
          <w:tcPr>
            <w:tcW w:w="2520" w:type="dxa"/>
          </w:tcPr>
          <w:p w14:paraId="76C11897" w14:textId="44DE7FA4" w:rsidR="009A7AAC" w:rsidRPr="00D96BB4" w:rsidRDefault="009A7AAC" w:rsidP="00C06E67">
            <w:pPr>
              <w:jc w:val="left"/>
            </w:pPr>
            <w:r w:rsidRPr="00D96BB4">
              <w:t>Participating Mortgage Loans</w:t>
            </w:r>
          </w:p>
        </w:tc>
        <w:tc>
          <w:tcPr>
            <w:tcW w:w="1913" w:type="dxa"/>
          </w:tcPr>
          <w:p w14:paraId="04D72EC3" w14:textId="77777777" w:rsidR="009A7AAC" w:rsidRPr="00D96BB4" w:rsidRDefault="009A7AAC" w:rsidP="007B53FD">
            <w:pPr>
              <w:jc w:val="center"/>
            </w:pPr>
            <w:r w:rsidRPr="00D96BB4">
              <w:t>470-30</w:t>
            </w:r>
            <w:r w:rsidR="006F480D" w:rsidRPr="00D96BB4">
              <w:t>-35-4</w:t>
            </w:r>
          </w:p>
          <w:p w14:paraId="68D93F0E" w14:textId="75C87BA5" w:rsidR="006F480D" w:rsidRPr="00D96BB4" w:rsidRDefault="006F480D" w:rsidP="007B53FD">
            <w:pPr>
              <w:jc w:val="center"/>
            </w:pPr>
            <w:r w:rsidRPr="00D96BB4">
              <w:t>470-30-35-4A</w:t>
            </w:r>
          </w:p>
        </w:tc>
        <w:tc>
          <w:tcPr>
            <w:tcW w:w="4027" w:type="dxa"/>
          </w:tcPr>
          <w:p w14:paraId="7154F2FF" w14:textId="1E2E11AD" w:rsidR="009A7AAC" w:rsidRPr="00D96BB4" w:rsidRDefault="009A7AAC" w:rsidP="00EE15C3">
            <w:r w:rsidRPr="00D96BB4">
              <w:t xml:space="preserve">The GAAP codification </w:t>
            </w:r>
            <w:r w:rsidR="006F480D" w:rsidRPr="00D96BB4">
              <w:t>condensed</w:t>
            </w:r>
            <w:r w:rsidRPr="00D96BB4">
              <w:t xml:space="preserve"> the accounting practices for two different types of mortgage participations (those related to the results of the operations and those related to market value appreciation).</w:t>
            </w:r>
          </w:p>
        </w:tc>
        <w:tc>
          <w:tcPr>
            <w:tcW w:w="1440" w:type="dxa"/>
          </w:tcPr>
          <w:p w14:paraId="62FB0497" w14:textId="1C8A81EC" w:rsidR="009A7AAC" w:rsidRPr="00D96BB4" w:rsidRDefault="009A7AAC" w:rsidP="008C1CFA">
            <w:pPr>
              <w:jc w:val="center"/>
            </w:pPr>
            <w:r w:rsidRPr="00D96BB4">
              <w:t>42-4</w:t>
            </w:r>
            <w:r w:rsidR="006F480D" w:rsidRPr="00D96BB4">
              <w:t>4</w:t>
            </w:r>
          </w:p>
        </w:tc>
        <w:tc>
          <w:tcPr>
            <w:tcW w:w="3690" w:type="dxa"/>
          </w:tcPr>
          <w:p w14:paraId="368857C4" w14:textId="77777777" w:rsidR="006F480D" w:rsidRPr="00D96BB4" w:rsidRDefault="006F480D" w:rsidP="006C4A27">
            <w:r w:rsidRPr="00D96BB4">
              <w:t>The accounting for loan-backed participating securities is not bifurcated depending on the type of participation. SSAP No. 43R defines the presentation, recognition, impairment, etc. for such activities.</w:t>
            </w:r>
          </w:p>
          <w:p w14:paraId="1BF52BC8" w14:textId="580D6C62" w:rsidR="006F480D" w:rsidRPr="00D96BB4" w:rsidRDefault="006F480D" w:rsidP="006C4A27"/>
          <w:p w14:paraId="52EBFAAF" w14:textId="6B644F7E" w:rsidR="009A7AAC" w:rsidRPr="00D96BB4" w:rsidRDefault="006F480D" w:rsidP="006C4A27">
            <w:r w:rsidRPr="00D96BB4">
              <w:rPr>
                <w:b/>
                <w:bCs/>
              </w:rPr>
              <w:t>This update is not applicable – no action required.</w:t>
            </w:r>
          </w:p>
        </w:tc>
      </w:tr>
      <w:tr w:rsidR="006F480D" w14:paraId="16E1534F" w14:textId="77777777" w:rsidTr="00DC48DA">
        <w:tc>
          <w:tcPr>
            <w:tcW w:w="2520" w:type="dxa"/>
          </w:tcPr>
          <w:p w14:paraId="6C312FA8" w14:textId="5FD3ED1D" w:rsidR="006F480D" w:rsidRDefault="006F480D" w:rsidP="00C06E67">
            <w:pPr>
              <w:jc w:val="left"/>
            </w:pPr>
            <w:r>
              <w:t>Receivables for Issuance of Equity</w:t>
            </w:r>
          </w:p>
        </w:tc>
        <w:tc>
          <w:tcPr>
            <w:tcW w:w="1913" w:type="dxa"/>
          </w:tcPr>
          <w:p w14:paraId="35FE2B68" w14:textId="599976E5" w:rsidR="006F480D" w:rsidRDefault="00792094" w:rsidP="007B53FD">
            <w:pPr>
              <w:jc w:val="center"/>
            </w:pPr>
            <w:r>
              <w:t>505-10-45-2</w:t>
            </w:r>
          </w:p>
        </w:tc>
        <w:tc>
          <w:tcPr>
            <w:tcW w:w="4027" w:type="dxa"/>
          </w:tcPr>
          <w:p w14:paraId="72D3F37E" w14:textId="7F7AEC49" w:rsidR="006F480D" w:rsidRDefault="00792094" w:rsidP="00EE15C3">
            <w:r>
              <w:t xml:space="preserve">The update removes non-guidance commentary and adds reference to another authoritative paragraph stating that </w:t>
            </w:r>
            <w:r w:rsidR="00320D91">
              <w:t>generally notes received for t</w:t>
            </w:r>
            <w:r w:rsidR="00E879EF">
              <w:t>h</w:t>
            </w:r>
            <w:r w:rsidR="00320D91">
              <w:t xml:space="preserve">e issuance of equity typically require a deduction of the receivable from equity. </w:t>
            </w:r>
          </w:p>
        </w:tc>
        <w:tc>
          <w:tcPr>
            <w:tcW w:w="1440" w:type="dxa"/>
          </w:tcPr>
          <w:p w14:paraId="48312A40" w14:textId="4B1D1D2D" w:rsidR="006F480D" w:rsidRDefault="00792094" w:rsidP="008C1CFA">
            <w:pPr>
              <w:jc w:val="center"/>
            </w:pPr>
            <w:r>
              <w:t>45-46</w:t>
            </w:r>
          </w:p>
        </w:tc>
        <w:tc>
          <w:tcPr>
            <w:tcW w:w="3690" w:type="dxa"/>
          </w:tcPr>
          <w:p w14:paraId="7F94B024" w14:textId="77777777" w:rsidR="006F480D" w:rsidRDefault="006F480D" w:rsidP="006C4A27">
            <w:r>
              <w:t>SSAP No. 72, paragraph 4 details that notes or other receivables for the issuance of stock which have been approved by the domiciliary commissioner and met other criterion,</w:t>
            </w:r>
            <w:r w:rsidR="00792094">
              <w:t xml:space="preserve"> are considered </w:t>
            </w:r>
            <w:r w:rsidR="00320D91">
              <w:t>admitted</w:t>
            </w:r>
            <w:r w:rsidR="00792094">
              <w:t xml:space="preserve"> assets. </w:t>
            </w:r>
            <w:r w:rsidR="00320D91">
              <w:t>If not met, the note receivable is nonadmitted.</w:t>
            </w:r>
          </w:p>
          <w:p w14:paraId="6DEB3778" w14:textId="77777777" w:rsidR="00320D91" w:rsidRDefault="00320D91" w:rsidP="006C4A27"/>
          <w:p w14:paraId="212EAE4C" w14:textId="351F9633" w:rsidR="00320D91" w:rsidRDefault="00320D91" w:rsidP="006C4A27">
            <w:r>
              <w:rPr>
                <w:b/>
                <w:bCs/>
              </w:rPr>
              <w:t xml:space="preserve">This update </w:t>
            </w:r>
            <w:r w:rsidRPr="00F65704">
              <w:rPr>
                <w:b/>
                <w:bCs/>
              </w:rPr>
              <w:t xml:space="preserve">is not applicable – no action </w:t>
            </w:r>
            <w:r>
              <w:rPr>
                <w:b/>
                <w:bCs/>
              </w:rPr>
              <w:t>required</w:t>
            </w:r>
            <w:r w:rsidRPr="00F65704">
              <w:rPr>
                <w:b/>
                <w:bCs/>
              </w:rPr>
              <w:t>.</w:t>
            </w:r>
          </w:p>
        </w:tc>
      </w:tr>
      <w:tr w:rsidR="00320D91" w14:paraId="084E0DB3" w14:textId="77777777" w:rsidTr="00DC48DA">
        <w:tc>
          <w:tcPr>
            <w:tcW w:w="2520" w:type="dxa"/>
          </w:tcPr>
          <w:p w14:paraId="64338481" w14:textId="1497C844" w:rsidR="00320D91" w:rsidRDefault="002442C9" w:rsidP="00C06E67">
            <w:pPr>
              <w:jc w:val="left"/>
            </w:pPr>
            <w:r>
              <w:t>Revenue Recognition—Multiple Element Arrangements</w:t>
            </w:r>
          </w:p>
        </w:tc>
        <w:tc>
          <w:tcPr>
            <w:tcW w:w="1913" w:type="dxa"/>
          </w:tcPr>
          <w:p w14:paraId="276F3C8E" w14:textId="087C1D88" w:rsidR="00320D91" w:rsidRDefault="002442C9" w:rsidP="007B53FD">
            <w:pPr>
              <w:jc w:val="center"/>
            </w:pPr>
            <w:r>
              <w:t>605-25-15-3A</w:t>
            </w:r>
          </w:p>
        </w:tc>
        <w:tc>
          <w:tcPr>
            <w:tcW w:w="4027" w:type="dxa"/>
          </w:tcPr>
          <w:p w14:paraId="7172D871" w14:textId="6333A74D" w:rsidR="00320D91" w:rsidRDefault="006203E1" w:rsidP="00EE15C3">
            <w:r>
              <w:t>The update includes references to additional paragraphs relevant to an entity’s determination of how to allocate arrangement consideration in accordance with the relative selling price method, from ASU 2009-13, Revenue Recognition: Multiple-Deliverable Revenue Arrangements.</w:t>
            </w:r>
          </w:p>
        </w:tc>
        <w:tc>
          <w:tcPr>
            <w:tcW w:w="1440" w:type="dxa"/>
          </w:tcPr>
          <w:p w14:paraId="5DE6647B" w14:textId="5D9BD379" w:rsidR="00320D91" w:rsidRDefault="00C4120C" w:rsidP="008C1CFA">
            <w:pPr>
              <w:jc w:val="center"/>
            </w:pPr>
            <w:r>
              <w:t>47-48</w:t>
            </w:r>
          </w:p>
        </w:tc>
        <w:tc>
          <w:tcPr>
            <w:tcW w:w="3690" w:type="dxa"/>
          </w:tcPr>
          <w:p w14:paraId="1CF0A48F" w14:textId="622ED251" w:rsidR="006203E1" w:rsidRPr="006203E1" w:rsidRDefault="006203E1">
            <w:r>
              <w:t>Multiple-deliverable revenue arrangements are not applicable to statutory accounting.</w:t>
            </w:r>
          </w:p>
          <w:p w14:paraId="494ABBC8" w14:textId="77777777" w:rsidR="006203E1" w:rsidRDefault="006203E1" w:rsidP="006C4A27">
            <w:pPr>
              <w:rPr>
                <w:b/>
                <w:bCs/>
              </w:rPr>
            </w:pPr>
          </w:p>
          <w:p w14:paraId="6AA99F38" w14:textId="56E5CF33" w:rsidR="00320D91" w:rsidRDefault="006203E1" w:rsidP="006C4A27">
            <w:r>
              <w:rPr>
                <w:b/>
                <w:bCs/>
              </w:rPr>
              <w:t xml:space="preserve">This update </w:t>
            </w:r>
            <w:r w:rsidRPr="00F65704">
              <w:rPr>
                <w:b/>
                <w:bCs/>
              </w:rPr>
              <w:t xml:space="preserve">is not applicable – no action </w:t>
            </w:r>
            <w:r>
              <w:rPr>
                <w:b/>
                <w:bCs/>
              </w:rPr>
              <w:t>required</w:t>
            </w:r>
            <w:r w:rsidRPr="00F65704">
              <w:rPr>
                <w:b/>
                <w:bCs/>
              </w:rPr>
              <w:t>.</w:t>
            </w:r>
          </w:p>
        </w:tc>
      </w:tr>
      <w:tr w:rsidR="0085547B" w14:paraId="0A9C64CE" w14:textId="77777777" w:rsidTr="00DC48DA">
        <w:tc>
          <w:tcPr>
            <w:tcW w:w="2520" w:type="dxa"/>
          </w:tcPr>
          <w:p w14:paraId="6C43BA74" w14:textId="360FC9D1" w:rsidR="0085547B" w:rsidRDefault="002B7A5F" w:rsidP="00C06E67">
            <w:pPr>
              <w:jc w:val="left"/>
            </w:pPr>
            <w:r>
              <w:lastRenderedPageBreak/>
              <w:t>Compensation—Retirement Benefits—Defined Benefit Plans—Pensions</w:t>
            </w:r>
          </w:p>
        </w:tc>
        <w:tc>
          <w:tcPr>
            <w:tcW w:w="1913" w:type="dxa"/>
          </w:tcPr>
          <w:p w14:paraId="72DA7CC6" w14:textId="26079322" w:rsidR="0085547B" w:rsidRDefault="00622FD6" w:rsidP="007B53FD">
            <w:pPr>
              <w:jc w:val="center"/>
            </w:pPr>
            <w:r>
              <w:t>715-30-55-63</w:t>
            </w:r>
          </w:p>
          <w:p w14:paraId="7D54D312" w14:textId="484BEEE1" w:rsidR="00622FD6" w:rsidRDefault="00622FD6" w:rsidP="007B53FD">
            <w:pPr>
              <w:jc w:val="center"/>
            </w:pPr>
            <w:r>
              <w:t>715-80-50-5(e)</w:t>
            </w:r>
          </w:p>
        </w:tc>
        <w:tc>
          <w:tcPr>
            <w:tcW w:w="4027" w:type="dxa"/>
          </w:tcPr>
          <w:p w14:paraId="3A325F23" w14:textId="7E942775" w:rsidR="0085547B" w:rsidRDefault="002B7A5F" w:rsidP="00EE15C3">
            <w:r>
              <w:t xml:space="preserve">Removes an incorrect reference to nonpublic entities (instead of not-for-profit entities) and </w:t>
            </w:r>
            <w:r w:rsidR="00622FD6">
              <w:t>edits one sentence related to a NFP’s financial statement issuance</w:t>
            </w:r>
          </w:p>
        </w:tc>
        <w:tc>
          <w:tcPr>
            <w:tcW w:w="1440" w:type="dxa"/>
          </w:tcPr>
          <w:p w14:paraId="39789676" w14:textId="69B85CBE" w:rsidR="0085547B" w:rsidRDefault="0085547B" w:rsidP="008C1CFA">
            <w:pPr>
              <w:jc w:val="center"/>
            </w:pPr>
            <w:r>
              <w:t>49-</w:t>
            </w:r>
            <w:r w:rsidR="00622FD6">
              <w:t>51</w:t>
            </w:r>
          </w:p>
        </w:tc>
        <w:tc>
          <w:tcPr>
            <w:tcW w:w="3690" w:type="dxa"/>
          </w:tcPr>
          <w:p w14:paraId="5D9C7CBD" w14:textId="77777777" w:rsidR="0085547B" w:rsidRDefault="00622FD6" w:rsidP="006C4A27">
            <w:r>
              <w:t xml:space="preserve">Specific guidance for NFP’s is not applicable for SSAP. </w:t>
            </w:r>
          </w:p>
          <w:p w14:paraId="222E6ADA" w14:textId="77777777" w:rsidR="00622FD6" w:rsidRDefault="00622FD6" w:rsidP="006C4A27"/>
          <w:p w14:paraId="69C6041C" w14:textId="77777777" w:rsidR="00622FD6" w:rsidRDefault="00622FD6" w:rsidP="00622FD6">
            <w:r>
              <w:rPr>
                <w:b/>
                <w:bCs/>
              </w:rPr>
              <w:t xml:space="preserve">This update </w:t>
            </w:r>
            <w:r w:rsidRPr="00F65704">
              <w:rPr>
                <w:b/>
                <w:bCs/>
              </w:rPr>
              <w:t xml:space="preserve">is not applicable – no action </w:t>
            </w:r>
            <w:r>
              <w:rPr>
                <w:b/>
                <w:bCs/>
              </w:rPr>
              <w:t>required</w:t>
            </w:r>
            <w:r w:rsidRPr="00F65704">
              <w:rPr>
                <w:b/>
                <w:bCs/>
              </w:rPr>
              <w:t>.</w:t>
            </w:r>
          </w:p>
          <w:p w14:paraId="6230F10D" w14:textId="576A4037" w:rsidR="00622FD6" w:rsidRDefault="00622FD6" w:rsidP="006C4A27"/>
        </w:tc>
      </w:tr>
      <w:tr w:rsidR="00622FD6" w14:paraId="23BBAAE5" w14:textId="77777777" w:rsidTr="00DC48DA">
        <w:tc>
          <w:tcPr>
            <w:tcW w:w="2520" w:type="dxa"/>
          </w:tcPr>
          <w:p w14:paraId="7FFD6281" w14:textId="3B1904C0" w:rsidR="00622FD6" w:rsidRDefault="00622FD6" w:rsidP="00C06E67">
            <w:pPr>
              <w:jc w:val="left"/>
            </w:pPr>
            <w:r>
              <w:t>Compensation—Stock Compensation—Employee Stock Ownership Plans</w:t>
            </w:r>
          </w:p>
        </w:tc>
        <w:tc>
          <w:tcPr>
            <w:tcW w:w="1913" w:type="dxa"/>
          </w:tcPr>
          <w:p w14:paraId="36B8DEE2" w14:textId="5DF801E8" w:rsidR="00622FD6" w:rsidRDefault="00622FD6" w:rsidP="007B53FD">
            <w:pPr>
              <w:jc w:val="center"/>
            </w:pPr>
            <w:r>
              <w:t>718-40</w:t>
            </w:r>
          </w:p>
        </w:tc>
        <w:tc>
          <w:tcPr>
            <w:tcW w:w="4027" w:type="dxa"/>
          </w:tcPr>
          <w:p w14:paraId="6D4B4CDB" w14:textId="14642145" w:rsidR="00622FD6" w:rsidRDefault="00622FD6" w:rsidP="00EE15C3">
            <w:r>
              <w:t xml:space="preserve">Correction of the definition of fair value in the glossary for topic 718-40 (Stock Compensation) to effectively </w:t>
            </w:r>
            <w:r w:rsidR="00346962">
              <w:t>replace</w:t>
            </w:r>
            <w:r>
              <w:t xml:space="preserve"> “could be” with “would be” in the following: The price that </w:t>
            </w:r>
            <w:r w:rsidR="00346962">
              <w:t>could</w:t>
            </w:r>
            <w:r>
              <w:t xml:space="preserve"> be received to sell an asset or paid to transfer a liability…”</w:t>
            </w:r>
            <w:r w:rsidR="00F75748">
              <w:t xml:space="preserve">. Additional guidance is given related to a transition period for the update. </w:t>
            </w:r>
          </w:p>
        </w:tc>
        <w:tc>
          <w:tcPr>
            <w:tcW w:w="1440" w:type="dxa"/>
          </w:tcPr>
          <w:p w14:paraId="7CD055B5" w14:textId="6C30AE94" w:rsidR="00622FD6" w:rsidRDefault="00622FD6" w:rsidP="008C1CFA">
            <w:pPr>
              <w:jc w:val="center"/>
            </w:pPr>
            <w:r>
              <w:t>52-5</w:t>
            </w:r>
            <w:r w:rsidR="00F75748">
              <w:t>6</w:t>
            </w:r>
          </w:p>
        </w:tc>
        <w:tc>
          <w:tcPr>
            <w:tcW w:w="3690" w:type="dxa"/>
          </w:tcPr>
          <w:p w14:paraId="534CB920" w14:textId="77777777" w:rsidR="00622FD6" w:rsidRDefault="007D257B" w:rsidP="006C4A27">
            <w:r>
              <w:t>SSAP No. 104R details share-based payments and its definition of fair value does not contain the affected language in the ASU update.</w:t>
            </w:r>
          </w:p>
          <w:p w14:paraId="204E0A9F" w14:textId="77777777" w:rsidR="007D257B" w:rsidRDefault="007D257B" w:rsidP="006C4A27"/>
          <w:p w14:paraId="6CFA4449" w14:textId="77777777" w:rsidR="007D257B" w:rsidRDefault="007D257B" w:rsidP="007D257B">
            <w:r>
              <w:rPr>
                <w:b/>
                <w:bCs/>
              </w:rPr>
              <w:t xml:space="preserve">This update </w:t>
            </w:r>
            <w:r w:rsidRPr="00F65704">
              <w:rPr>
                <w:b/>
                <w:bCs/>
              </w:rPr>
              <w:t xml:space="preserve">is not applicable – no action </w:t>
            </w:r>
            <w:r>
              <w:rPr>
                <w:b/>
                <w:bCs/>
              </w:rPr>
              <w:t>required</w:t>
            </w:r>
            <w:r w:rsidRPr="00F65704">
              <w:rPr>
                <w:b/>
                <w:bCs/>
              </w:rPr>
              <w:t>.</w:t>
            </w:r>
          </w:p>
          <w:p w14:paraId="5F74ED2C" w14:textId="4166D033" w:rsidR="007D257B" w:rsidRDefault="007D257B" w:rsidP="006C4A27"/>
        </w:tc>
      </w:tr>
      <w:tr w:rsidR="00865F02" w14:paraId="7011230B" w14:textId="77777777" w:rsidTr="00DC48DA">
        <w:tc>
          <w:tcPr>
            <w:tcW w:w="2520" w:type="dxa"/>
          </w:tcPr>
          <w:p w14:paraId="0DEE8808" w14:textId="5CF1E6F0" w:rsidR="00865F02" w:rsidRDefault="00F75748" w:rsidP="00C06E67">
            <w:pPr>
              <w:jc w:val="left"/>
            </w:pPr>
            <w:r>
              <w:t>Other Presentation Matters</w:t>
            </w:r>
          </w:p>
        </w:tc>
        <w:tc>
          <w:tcPr>
            <w:tcW w:w="1913" w:type="dxa"/>
          </w:tcPr>
          <w:p w14:paraId="12E54E3C" w14:textId="53A8B10C" w:rsidR="00865F02" w:rsidRDefault="00F75748" w:rsidP="007B53FD">
            <w:pPr>
              <w:jc w:val="center"/>
            </w:pPr>
            <w:r>
              <w:t>718-740</w:t>
            </w:r>
          </w:p>
        </w:tc>
        <w:tc>
          <w:tcPr>
            <w:tcW w:w="4027" w:type="dxa"/>
          </w:tcPr>
          <w:p w14:paraId="01F71789" w14:textId="4FE47222" w:rsidR="00865F02" w:rsidRDefault="00F75748" w:rsidP="00EE15C3">
            <w:r>
              <w:t xml:space="preserve">Corrects a reference </w:t>
            </w:r>
            <w:r w:rsidR="007650D7">
              <w:t xml:space="preserve">in the applicable Subtopic regarding measuring actual tax deductions as a result of excess tax benefits. </w:t>
            </w:r>
          </w:p>
        </w:tc>
        <w:tc>
          <w:tcPr>
            <w:tcW w:w="1440" w:type="dxa"/>
          </w:tcPr>
          <w:p w14:paraId="7F4E9E09" w14:textId="306D6344" w:rsidR="00865F02" w:rsidRDefault="00F75748" w:rsidP="008C1CFA">
            <w:pPr>
              <w:jc w:val="center"/>
            </w:pPr>
            <w:r>
              <w:t>57-58</w:t>
            </w:r>
          </w:p>
        </w:tc>
        <w:tc>
          <w:tcPr>
            <w:tcW w:w="3690" w:type="dxa"/>
          </w:tcPr>
          <w:p w14:paraId="16FDA0FF" w14:textId="77777777" w:rsidR="00D1495B" w:rsidRPr="0042013C" w:rsidRDefault="00D1495B" w:rsidP="00D1495B">
            <w:r w:rsidRPr="0042013C">
              <w:rPr>
                <w:b/>
                <w:bCs/>
              </w:rPr>
              <w:t>This update is not applicable – no action required.</w:t>
            </w:r>
          </w:p>
          <w:p w14:paraId="0611B31D" w14:textId="77777777" w:rsidR="00865F02" w:rsidRPr="0042013C" w:rsidRDefault="00865F02" w:rsidP="006C4A27"/>
        </w:tc>
      </w:tr>
      <w:tr w:rsidR="00F75748" w14:paraId="44C66C6B" w14:textId="77777777" w:rsidTr="00DC48DA">
        <w:tc>
          <w:tcPr>
            <w:tcW w:w="2520" w:type="dxa"/>
          </w:tcPr>
          <w:p w14:paraId="6342EA82" w14:textId="5C37857B" w:rsidR="00F75748" w:rsidRDefault="007650D7" w:rsidP="00C06E67">
            <w:pPr>
              <w:jc w:val="left"/>
            </w:pPr>
            <w:r>
              <w:t>Income Taxes – Overall</w:t>
            </w:r>
          </w:p>
        </w:tc>
        <w:tc>
          <w:tcPr>
            <w:tcW w:w="1913" w:type="dxa"/>
          </w:tcPr>
          <w:p w14:paraId="192B6BC0" w14:textId="3D569550" w:rsidR="00F75748" w:rsidRDefault="007650D7" w:rsidP="007B53FD">
            <w:pPr>
              <w:jc w:val="center"/>
            </w:pPr>
            <w:r>
              <w:t>740-10</w:t>
            </w:r>
          </w:p>
        </w:tc>
        <w:tc>
          <w:tcPr>
            <w:tcW w:w="4027" w:type="dxa"/>
          </w:tcPr>
          <w:p w14:paraId="31D15528" w14:textId="22AF3364" w:rsidR="00F75748" w:rsidRPr="00902273" w:rsidRDefault="007650D7" w:rsidP="00EE15C3">
            <w:pPr>
              <w:rPr>
                <w:i/>
                <w:iCs/>
              </w:rPr>
            </w:pPr>
            <w:r w:rsidRPr="00902273">
              <w:t>Replaces the term “uncertain tax positions” with the broader term “uncertainty in income taxes.”</w:t>
            </w:r>
            <w:r w:rsidR="00FF4313" w:rsidRPr="00902273">
              <w:t xml:space="preserve"> Additional guidance is given regarding the scope to which entities the update applies. </w:t>
            </w:r>
          </w:p>
        </w:tc>
        <w:tc>
          <w:tcPr>
            <w:tcW w:w="1440" w:type="dxa"/>
          </w:tcPr>
          <w:p w14:paraId="46BCA00B" w14:textId="5B6FEC11" w:rsidR="00F75748" w:rsidRDefault="007650D7" w:rsidP="008C1CFA">
            <w:pPr>
              <w:jc w:val="center"/>
            </w:pPr>
            <w:r>
              <w:t>59</w:t>
            </w:r>
            <w:r w:rsidR="00FF4313">
              <w:t>-6</w:t>
            </w:r>
            <w:r w:rsidR="003368F0">
              <w:t>2</w:t>
            </w:r>
          </w:p>
        </w:tc>
        <w:tc>
          <w:tcPr>
            <w:tcW w:w="3690" w:type="dxa"/>
          </w:tcPr>
          <w:p w14:paraId="29C76795" w14:textId="7C06885A" w:rsidR="00F75748" w:rsidRPr="0042013C" w:rsidRDefault="00FF4313" w:rsidP="006C4A27">
            <w:r w:rsidRPr="0042013C">
              <w:t xml:space="preserve">Previous guidance regarding uncertain tax positions </w:t>
            </w:r>
            <w:r w:rsidR="0042013C" w:rsidRPr="0042013C">
              <w:t>is still pending for</w:t>
            </w:r>
            <w:r w:rsidRPr="0042013C">
              <w:t xml:space="preserve"> </w:t>
            </w:r>
            <w:r w:rsidR="00327F3B" w:rsidRPr="0042013C">
              <w:t>s</w:t>
            </w:r>
            <w:r w:rsidRPr="0042013C">
              <w:t xml:space="preserve">tatutory </w:t>
            </w:r>
            <w:r w:rsidR="00327F3B" w:rsidRPr="0042013C">
              <w:t>a</w:t>
            </w:r>
            <w:r w:rsidRPr="0042013C">
              <w:t xml:space="preserve">ccounting. </w:t>
            </w:r>
          </w:p>
          <w:p w14:paraId="0A1A781C" w14:textId="2C29420A" w:rsidR="00FF4313" w:rsidRPr="0042013C" w:rsidRDefault="00FF4313" w:rsidP="006C4A27"/>
          <w:p w14:paraId="6FAA4623" w14:textId="77777777" w:rsidR="00FF4313" w:rsidRPr="0042013C" w:rsidRDefault="00FF4313" w:rsidP="00FF4313">
            <w:r w:rsidRPr="0042013C">
              <w:rPr>
                <w:b/>
                <w:bCs/>
              </w:rPr>
              <w:t>This update is not applicable – no action required.</w:t>
            </w:r>
          </w:p>
          <w:p w14:paraId="4D54AEE5" w14:textId="61DD83E9" w:rsidR="00FF4313" w:rsidRPr="0042013C" w:rsidRDefault="00FF4313" w:rsidP="006C4A27"/>
        </w:tc>
      </w:tr>
      <w:tr w:rsidR="00FF4313" w14:paraId="6765A0D1" w14:textId="77777777" w:rsidTr="00DC48DA">
        <w:tc>
          <w:tcPr>
            <w:tcW w:w="2520" w:type="dxa"/>
          </w:tcPr>
          <w:p w14:paraId="0FBB4F33" w14:textId="076814E2" w:rsidR="00FF4313" w:rsidRDefault="00BC063D" w:rsidP="00C06E67">
            <w:pPr>
              <w:jc w:val="left"/>
            </w:pPr>
            <w:r>
              <w:t>Income Taxes—Other</w:t>
            </w:r>
          </w:p>
        </w:tc>
        <w:tc>
          <w:tcPr>
            <w:tcW w:w="1913" w:type="dxa"/>
          </w:tcPr>
          <w:p w14:paraId="1FDA028A" w14:textId="379CB096" w:rsidR="00FF4313" w:rsidRDefault="00BC063D" w:rsidP="007B53FD">
            <w:pPr>
              <w:jc w:val="center"/>
            </w:pPr>
            <w:r>
              <w:t>740-30</w:t>
            </w:r>
          </w:p>
        </w:tc>
        <w:tc>
          <w:tcPr>
            <w:tcW w:w="4027" w:type="dxa"/>
          </w:tcPr>
          <w:p w14:paraId="09A025A7" w14:textId="0E9CA0CF" w:rsidR="00FF4313" w:rsidRPr="00902273" w:rsidRDefault="00EF13D2" w:rsidP="00EE15C3">
            <w:r w:rsidRPr="00902273">
              <w:t>Eliminates the term subsidiary from the glossary of Subtopic 740-30.</w:t>
            </w:r>
          </w:p>
        </w:tc>
        <w:tc>
          <w:tcPr>
            <w:tcW w:w="1440" w:type="dxa"/>
          </w:tcPr>
          <w:p w14:paraId="5FD13003" w14:textId="399ADCFA" w:rsidR="00FF4313" w:rsidRDefault="00D1495B" w:rsidP="008C1CFA">
            <w:pPr>
              <w:jc w:val="center"/>
            </w:pPr>
            <w:r>
              <w:t>6</w:t>
            </w:r>
            <w:r w:rsidR="003368F0">
              <w:t>3</w:t>
            </w:r>
            <w:r>
              <w:t>-67</w:t>
            </w:r>
          </w:p>
        </w:tc>
        <w:tc>
          <w:tcPr>
            <w:tcW w:w="3690" w:type="dxa"/>
          </w:tcPr>
          <w:p w14:paraId="69876FC1" w14:textId="77777777" w:rsidR="00FF4313" w:rsidRDefault="00902273" w:rsidP="006C4A27">
            <w:r>
              <w:t>Statutory accounting has a separate definition for the term subsidiary.</w:t>
            </w:r>
          </w:p>
          <w:p w14:paraId="578E872C" w14:textId="77777777" w:rsidR="00902273" w:rsidRDefault="00902273" w:rsidP="006C4A27"/>
          <w:p w14:paraId="772BD3B4" w14:textId="43F83DE2" w:rsidR="00902273" w:rsidRDefault="00902273" w:rsidP="006C4A27">
            <w:r>
              <w:rPr>
                <w:b/>
                <w:bCs/>
              </w:rPr>
              <w:t>This update is not applicable – no action required.</w:t>
            </w:r>
          </w:p>
        </w:tc>
      </w:tr>
      <w:tr w:rsidR="00BA0F86" w14:paraId="43C7A748" w14:textId="77777777" w:rsidTr="00DC48DA">
        <w:tc>
          <w:tcPr>
            <w:tcW w:w="2520" w:type="dxa"/>
          </w:tcPr>
          <w:p w14:paraId="7F43E94B" w14:textId="70510F0C" w:rsidR="00BA0F86" w:rsidRDefault="00BA0F86" w:rsidP="003F787F">
            <w:r>
              <w:t>Business Combinations—Overall</w:t>
            </w:r>
          </w:p>
        </w:tc>
        <w:tc>
          <w:tcPr>
            <w:tcW w:w="1913" w:type="dxa"/>
          </w:tcPr>
          <w:p w14:paraId="6B59E9DD" w14:textId="33BBEC49" w:rsidR="00BA0F86" w:rsidRDefault="00BA0F86" w:rsidP="007B53FD">
            <w:pPr>
              <w:jc w:val="center"/>
            </w:pPr>
            <w:r>
              <w:t>805-10</w:t>
            </w:r>
          </w:p>
        </w:tc>
        <w:tc>
          <w:tcPr>
            <w:tcW w:w="4027" w:type="dxa"/>
          </w:tcPr>
          <w:p w14:paraId="736DBACB" w14:textId="09AD85C6" w:rsidR="00BA0F86" w:rsidRDefault="00F67FA0" w:rsidP="00EE15C3">
            <w:r>
              <w:t>Moves a paragraph that is codified in the incorrect Subtopic to the correct Subtopic.</w:t>
            </w:r>
          </w:p>
        </w:tc>
        <w:tc>
          <w:tcPr>
            <w:tcW w:w="1440" w:type="dxa"/>
          </w:tcPr>
          <w:p w14:paraId="53A3F328" w14:textId="5F1AD7A9" w:rsidR="00BA0F86" w:rsidRDefault="003A6264" w:rsidP="008C1CFA">
            <w:pPr>
              <w:jc w:val="center"/>
            </w:pPr>
            <w:r>
              <w:t>68-69</w:t>
            </w:r>
          </w:p>
        </w:tc>
        <w:tc>
          <w:tcPr>
            <w:tcW w:w="3690" w:type="dxa"/>
          </w:tcPr>
          <w:p w14:paraId="044B870C" w14:textId="77777777" w:rsidR="00BA0F86" w:rsidRDefault="00327F3B" w:rsidP="006C4A27">
            <w:r>
              <w:t>Previous guidance over an incomplete business combination has been rejected for statutory accounting.</w:t>
            </w:r>
          </w:p>
          <w:p w14:paraId="73904AE6" w14:textId="77777777" w:rsidR="00327F3B" w:rsidRDefault="00327F3B" w:rsidP="006C4A27"/>
          <w:p w14:paraId="53B437A5" w14:textId="7D46657A" w:rsidR="00327F3B" w:rsidRPr="00327F3B" w:rsidRDefault="00F404FE" w:rsidP="006C4A27">
            <w:r>
              <w:rPr>
                <w:b/>
                <w:bCs/>
              </w:rPr>
              <w:t>This update is not applicable – no action required.</w:t>
            </w:r>
          </w:p>
        </w:tc>
      </w:tr>
      <w:tr w:rsidR="00922452" w14:paraId="4B39330F" w14:textId="77777777" w:rsidTr="00DC48DA">
        <w:tc>
          <w:tcPr>
            <w:tcW w:w="2520" w:type="dxa"/>
          </w:tcPr>
          <w:p w14:paraId="608C5143" w14:textId="33517E5F" w:rsidR="00922452" w:rsidRDefault="00BC063D" w:rsidP="003F787F">
            <w:r>
              <w:lastRenderedPageBreak/>
              <w:t>Business Combinations—Identifiable Assets and Liabilities, and Any Noncontrolling Interest</w:t>
            </w:r>
          </w:p>
        </w:tc>
        <w:tc>
          <w:tcPr>
            <w:tcW w:w="1913" w:type="dxa"/>
          </w:tcPr>
          <w:p w14:paraId="021663C4" w14:textId="22536C2E" w:rsidR="00922452" w:rsidRDefault="00BC063D" w:rsidP="007B53FD">
            <w:pPr>
              <w:jc w:val="center"/>
            </w:pPr>
            <w:r>
              <w:t>805-20</w:t>
            </w:r>
          </w:p>
        </w:tc>
        <w:tc>
          <w:tcPr>
            <w:tcW w:w="4027" w:type="dxa"/>
          </w:tcPr>
          <w:p w14:paraId="2FFE0350" w14:textId="31EAE745" w:rsidR="00922452" w:rsidRDefault="00FB35D1" w:rsidP="00EE15C3">
            <w:r>
              <w:t>Amend a paragraph and add a paragraph with no link to a transition paragraph.</w:t>
            </w:r>
          </w:p>
        </w:tc>
        <w:tc>
          <w:tcPr>
            <w:tcW w:w="1440" w:type="dxa"/>
          </w:tcPr>
          <w:p w14:paraId="3ED1D4E1" w14:textId="0B0239DB" w:rsidR="00922452" w:rsidRDefault="003A6264" w:rsidP="008C1CFA">
            <w:pPr>
              <w:jc w:val="center"/>
            </w:pPr>
            <w:r>
              <w:t>70</w:t>
            </w:r>
          </w:p>
        </w:tc>
        <w:tc>
          <w:tcPr>
            <w:tcW w:w="3690" w:type="dxa"/>
          </w:tcPr>
          <w:p w14:paraId="634D0DDD" w14:textId="77777777" w:rsidR="00922452" w:rsidRDefault="006F10E7" w:rsidP="006C4A27">
            <w:r>
              <w:t>Relevant paragraphs refer to business combinations, which are accounted for differently under statutory accounting.</w:t>
            </w:r>
          </w:p>
          <w:p w14:paraId="5E645F7D" w14:textId="77777777" w:rsidR="006F10E7" w:rsidRDefault="006F10E7" w:rsidP="006C4A27"/>
          <w:p w14:paraId="12E08ACA" w14:textId="5B64F94B" w:rsidR="006F10E7" w:rsidRDefault="006F10E7" w:rsidP="006C4A27">
            <w:r>
              <w:rPr>
                <w:b/>
                <w:bCs/>
              </w:rPr>
              <w:t>This update is not applicable – no action required.</w:t>
            </w:r>
          </w:p>
        </w:tc>
      </w:tr>
      <w:tr w:rsidR="00922452" w14:paraId="79B3D99E" w14:textId="77777777" w:rsidTr="00DC48DA">
        <w:tc>
          <w:tcPr>
            <w:tcW w:w="2520" w:type="dxa"/>
          </w:tcPr>
          <w:p w14:paraId="6C68B1D2" w14:textId="2C3E03C5" w:rsidR="00922452" w:rsidRDefault="00BC063D" w:rsidP="003F787F">
            <w:r>
              <w:t>Not-for-Profit Entities—Business Combinations</w:t>
            </w:r>
          </w:p>
        </w:tc>
        <w:tc>
          <w:tcPr>
            <w:tcW w:w="1913" w:type="dxa"/>
          </w:tcPr>
          <w:p w14:paraId="077AAA4C" w14:textId="0DF2D607" w:rsidR="00922452" w:rsidRDefault="00BC063D" w:rsidP="007B53FD">
            <w:pPr>
              <w:jc w:val="center"/>
            </w:pPr>
            <w:r>
              <w:t>958-805</w:t>
            </w:r>
          </w:p>
        </w:tc>
        <w:tc>
          <w:tcPr>
            <w:tcW w:w="4027" w:type="dxa"/>
          </w:tcPr>
          <w:p w14:paraId="07E3D365" w14:textId="57952C51" w:rsidR="00922452" w:rsidRDefault="004347BA" w:rsidP="00EE15C3">
            <w:r>
              <w:t>Update</w:t>
            </w:r>
            <w:r w:rsidR="00E310C0">
              <w:t>s</w:t>
            </w:r>
            <w:r>
              <w:t xml:space="preserve"> a paragraph reference.</w:t>
            </w:r>
          </w:p>
        </w:tc>
        <w:tc>
          <w:tcPr>
            <w:tcW w:w="1440" w:type="dxa"/>
          </w:tcPr>
          <w:p w14:paraId="4A317C7E" w14:textId="15481DE1" w:rsidR="00922452" w:rsidRDefault="003A6264" w:rsidP="008C1CFA">
            <w:pPr>
              <w:jc w:val="center"/>
            </w:pPr>
            <w:r>
              <w:t>71</w:t>
            </w:r>
          </w:p>
        </w:tc>
        <w:tc>
          <w:tcPr>
            <w:tcW w:w="3690" w:type="dxa"/>
          </w:tcPr>
          <w:p w14:paraId="6781CD74" w14:textId="7DFD722F" w:rsidR="00922452" w:rsidRDefault="0096733B" w:rsidP="006C4A27">
            <w:r>
              <w:rPr>
                <w:b/>
                <w:bCs/>
              </w:rPr>
              <w:t>This update is not applicable – no action required.</w:t>
            </w:r>
          </w:p>
        </w:tc>
      </w:tr>
      <w:tr w:rsidR="00BC063D" w14:paraId="6F7476BB" w14:textId="77777777" w:rsidTr="00DC48DA">
        <w:tc>
          <w:tcPr>
            <w:tcW w:w="2520" w:type="dxa"/>
          </w:tcPr>
          <w:p w14:paraId="144C8AE4" w14:textId="17407CB0" w:rsidR="00BC063D" w:rsidRDefault="00BC063D" w:rsidP="00C06E67">
            <w:pPr>
              <w:jc w:val="left"/>
            </w:pPr>
            <w:r>
              <w:t>Derivatives and Hedging—Overall</w:t>
            </w:r>
          </w:p>
        </w:tc>
        <w:tc>
          <w:tcPr>
            <w:tcW w:w="1913" w:type="dxa"/>
          </w:tcPr>
          <w:p w14:paraId="5779053F" w14:textId="7051FDDF" w:rsidR="00BC063D" w:rsidRDefault="00BC063D" w:rsidP="007B53FD">
            <w:pPr>
              <w:jc w:val="center"/>
            </w:pPr>
            <w:r>
              <w:t>815-10</w:t>
            </w:r>
          </w:p>
        </w:tc>
        <w:tc>
          <w:tcPr>
            <w:tcW w:w="4027" w:type="dxa"/>
          </w:tcPr>
          <w:p w14:paraId="58CB3979" w14:textId="429C33EB" w:rsidR="00BC063D" w:rsidRDefault="004347BA" w:rsidP="00EE15C3">
            <w:r>
              <w:t>Replaces the word “available” with the word “obtainable” to make this paragraph consistent with terminology in Topic 860.</w:t>
            </w:r>
          </w:p>
        </w:tc>
        <w:tc>
          <w:tcPr>
            <w:tcW w:w="1440" w:type="dxa"/>
          </w:tcPr>
          <w:p w14:paraId="0768ACE7" w14:textId="554D65D2" w:rsidR="00BC063D" w:rsidRDefault="003A6264" w:rsidP="008C1CFA">
            <w:pPr>
              <w:jc w:val="center"/>
            </w:pPr>
            <w:r>
              <w:t>72-73</w:t>
            </w:r>
          </w:p>
        </w:tc>
        <w:tc>
          <w:tcPr>
            <w:tcW w:w="3690" w:type="dxa"/>
          </w:tcPr>
          <w:p w14:paraId="56A43EAE" w14:textId="5CA07F8E" w:rsidR="003C7063" w:rsidRPr="003C7063" w:rsidRDefault="003C7063" w:rsidP="006C4A27">
            <w:r w:rsidRPr="003C7063">
              <w:rPr>
                <w:i/>
                <w:iCs/>
              </w:rPr>
              <w:t>SSAP No. 103R—Transfers and Servicing of Financial Assets and Extinguishments of Liabilities</w:t>
            </w:r>
            <w:r w:rsidRPr="003C7063">
              <w:t xml:space="preserve"> already utilizes the term obtainable.</w:t>
            </w:r>
          </w:p>
          <w:p w14:paraId="4BD91759" w14:textId="77777777" w:rsidR="003C7063" w:rsidRDefault="003C7063" w:rsidP="006C4A27">
            <w:pPr>
              <w:rPr>
                <w:b/>
                <w:bCs/>
              </w:rPr>
            </w:pPr>
          </w:p>
          <w:p w14:paraId="55BDDA81" w14:textId="76057EA9" w:rsidR="00BC063D" w:rsidRDefault="00DC48DA" w:rsidP="006C4A27">
            <w:r>
              <w:rPr>
                <w:b/>
                <w:bCs/>
              </w:rPr>
              <w:t>This update is not applicable – no action required.</w:t>
            </w:r>
          </w:p>
        </w:tc>
      </w:tr>
      <w:tr w:rsidR="00BC063D" w14:paraId="241B673C" w14:textId="77777777" w:rsidTr="00DC48DA">
        <w:tc>
          <w:tcPr>
            <w:tcW w:w="2520" w:type="dxa"/>
          </w:tcPr>
          <w:p w14:paraId="61FBC50A" w14:textId="66351418" w:rsidR="00BC063D" w:rsidRDefault="00BC063D" w:rsidP="00C06E67">
            <w:pPr>
              <w:jc w:val="left"/>
            </w:pPr>
            <w:r>
              <w:t>Der</w:t>
            </w:r>
            <w:r w:rsidR="00090BD3">
              <w:t>i</w:t>
            </w:r>
            <w:r>
              <w:t>vatives and Hedging—Hedging—General</w:t>
            </w:r>
          </w:p>
        </w:tc>
        <w:tc>
          <w:tcPr>
            <w:tcW w:w="1913" w:type="dxa"/>
          </w:tcPr>
          <w:p w14:paraId="12C2FA0F" w14:textId="2CB4303F" w:rsidR="00BC063D" w:rsidRDefault="00BC063D" w:rsidP="007B53FD">
            <w:pPr>
              <w:jc w:val="center"/>
            </w:pPr>
            <w:r>
              <w:t>815-20</w:t>
            </w:r>
          </w:p>
        </w:tc>
        <w:tc>
          <w:tcPr>
            <w:tcW w:w="4027" w:type="dxa"/>
          </w:tcPr>
          <w:p w14:paraId="5CFFDABA" w14:textId="6773BE24" w:rsidR="00BC063D" w:rsidRDefault="000353BF" w:rsidP="00EE15C3">
            <w:r>
              <w:t>Changes an incorrect reference in paragraph 815-20-25-2, which currently references a paragraph that is not used in Codification.</w:t>
            </w:r>
          </w:p>
        </w:tc>
        <w:tc>
          <w:tcPr>
            <w:tcW w:w="1440" w:type="dxa"/>
          </w:tcPr>
          <w:p w14:paraId="5E770422" w14:textId="6B5F4406" w:rsidR="00BC063D" w:rsidRDefault="003A6264" w:rsidP="008C1CFA">
            <w:pPr>
              <w:jc w:val="center"/>
            </w:pPr>
            <w:r>
              <w:t>74-77</w:t>
            </w:r>
          </w:p>
        </w:tc>
        <w:tc>
          <w:tcPr>
            <w:tcW w:w="3690" w:type="dxa"/>
          </w:tcPr>
          <w:p w14:paraId="16E68224" w14:textId="76F1C946" w:rsidR="00BC063D" w:rsidRDefault="00090BD3" w:rsidP="006C4A27">
            <w:r>
              <w:rPr>
                <w:b/>
                <w:bCs/>
              </w:rPr>
              <w:t>This update is not applicable – no action required.</w:t>
            </w:r>
          </w:p>
        </w:tc>
      </w:tr>
      <w:tr w:rsidR="00BC063D" w14:paraId="23B6A2BF" w14:textId="77777777" w:rsidTr="00DC48DA">
        <w:tc>
          <w:tcPr>
            <w:tcW w:w="2520" w:type="dxa"/>
          </w:tcPr>
          <w:p w14:paraId="4A543F90" w14:textId="28E15B7D" w:rsidR="00BC063D" w:rsidRDefault="000353BF" w:rsidP="00C06E67">
            <w:pPr>
              <w:jc w:val="left"/>
            </w:pPr>
            <w:r>
              <w:t>Derivatives and Hedging—Fair Value Hedges</w:t>
            </w:r>
          </w:p>
        </w:tc>
        <w:tc>
          <w:tcPr>
            <w:tcW w:w="1913" w:type="dxa"/>
          </w:tcPr>
          <w:p w14:paraId="1D175E31" w14:textId="25A552CA" w:rsidR="00BC063D" w:rsidRDefault="000353BF" w:rsidP="007B53FD">
            <w:pPr>
              <w:jc w:val="center"/>
            </w:pPr>
            <w:r>
              <w:t>815-25</w:t>
            </w:r>
          </w:p>
        </w:tc>
        <w:tc>
          <w:tcPr>
            <w:tcW w:w="4027" w:type="dxa"/>
          </w:tcPr>
          <w:p w14:paraId="24854057" w14:textId="3F650EEB" w:rsidR="00BC063D" w:rsidRDefault="00F73002" w:rsidP="00EE15C3">
            <w:r>
              <w:t>Adds guidance on loans that are hedged items in a fair value hedge to the “recorded investment” definition.</w:t>
            </w:r>
          </w:p>
        </w:tc>
        <w:tc>
          <w:tcPr>
            <w:tcW w:w="1440" w:type="dxa"/>
          </w:tcPr>
          <w:p w14:paraId="27020879" w14:textId="0DB915ED" w:rsidR="00BC063D" w:rsidRDefault="003A6264" w:rsidP="008C1CFA">
            <w:pPr>
              <w:jc w:val="center"/>
            </w:pPr>
            <w:r>
              <w:t>78-80</w:t>
            </w:r>
          </w:p>
        </w:tc>
        <w:tc>
          <w:tcPr>
            <w:tcW w:w="3690" w:type="dxa"/>
          </w:tcPr>
          <w:p w14:paraId="35BA4A52" w14:textId="77777777" w:rsidR="00BC063D" w:rsidRDefault="00A40BEC" w:rsidP="006C4A27">
            <w:r>
              <w:t xml:space="preserve">Not a term in statutory accounting. </w:t>
            </w:r>
          </w:p>
          <w:p w14:paraId="1A9B7778" w14:textId="77777777" w:rsidR="00A40BEC" w:rsidRDefault="00A40BEC" w:rsidP="006C4A27"/>
          <w:p w14:paraId="140BCCA5" w14:textId="5942E473" w:rsidR="00A40BEC" w:rsidRDefault="00A40BEC" w:rsidP="006C4A27">
            <w:r>
              <w:rPr>
                <w:b/>
                <w:bCs/>
              </w:rPr>
              <w:t>This update is not applicable – no action required.</w:t>
            </w:r>
          </w:p>
        </w:tc>
      </w:tr>
      <w:tr w:rsidR="00BC063D" w14:paraId="224A17E7" w14:textId="77777777" w:rsidTr="00DC48DA">
        <w:tc>
          <w:tcPr>
            <w:tcW w:w="2520" w:type="dxa"/>
          </w:tcPr>
          <w:p w14:paraId="308E33D5" w14:textId="1C728FE2" w:rsidR="00BC063D" w:rsidRDefault="00C8008D" w:rsidP="00C06E67">
            <w:pPr>
              <w:jc w:val="left"/>
            </w:pPr>
            <w:r>
              <w:t>Fair Value Measurement—Overall</w:t>
            </w:r>
          </w:p>
        </w:tc>
        <w:tc>
          <w:tcPr>
            <w:tcW w:w="1913" w:type="dxa"/>
          </w:tcPr>
          <w:p w14:paraId="5A673FEE" w14:textId="40BA66CC" w:rsidR="00BC063D" w:rsidRDefault="00C8008D" w:rsidP="007B53FD">
            <w:pPr>
              <w:jc w:val="center"/>
            </w:pPr>
            <w:r>
              <w:t>820-10</w:t>
            </w:r>
          </w:p>
        </w:tc>
        <w:tc>
          <w:tcPr>
            <w:tcW w:w="4027" w:type="dxa"/>
          </w:tcPr>
          <w:p w14:paraId="460C673A" w14:textId="37B639F4" w:rsidR="00BC063D" w:rsidRDefault="001970F4" w:rsidP="00EE15C3">
            <w:r>
              <w:t>Exemption to requirement to measure fair value in Topic 958 originated from an incorrect codification of the basis for conclusions in FASB Statement No. 116, Accounting for Contributions Received and Contributions Made.</w:t>
            </w:r>
          </w:p>
        </w:tc>
        <w:tc>
          <w:tcPr>
            <w:tcW w:w="1440" w:type="dxa"/>
          </w:tcPr>
          <w:p w14:paraId="64E0E6C6" w14:textId="4A068485" w:rsidR="00BC063D" w:rsidRDefault="003A6264" w:rsidP="008C1CFA">
            <w:pPr>
              <w:jc w:val="center"/>
            </w:pPr>
            <w:r>
              <w:t>81-86</w:t>
            </w:r>
          </w:p>
        </w:tc>
        <w:tc>
          <w:tcPr>
            <w:tcW w:w="3690" w:type="dxa"/>
          </w:tcPr>
          <w:p w14:paraId="23021771" w14:textId="10B000B8" w:rsidR="00BC063D" w:rsidRDefault="00F404FE" w:rsidP="006C4A27">
            <w:r>
              <w:rPr>
                <w:b/>
                <w:bCs/>
              </w:rPr>
              <w:t>This update is not applicable – no action required.</w:t>
            </w:r>
          </w:p>
        </w:tc>
      </w:tr>
      <w:tr w:rsidR="00BC063D" w14:paraId="2AB5B0CD" w14:textId="77777777" w:rsidTr="00DC48DA">
        <w:tc>
          <w:tcPr>
            <w:tcW w:w="2520" w:type="dxa"/>
          </w:tcPr>
          <w:p w14:paraId="0F83C832" w14:textId="0F439D69" w:rsidR="00BC063D" w:rsidRDefault="001B724B" w:rsidP="003F787F">
            <w:r>
              <w:t>Transfers and Servicing—Overall</w:t>
            </w:r>
          </w:p>
        </w:tc>
        <w:tc>
          <w:tcPr>
            <w:tcW w:w="1913" w:type="dxa"/>
          </w:tcPr>
          <w:p w14:paraId="4DA3E062" w14:textId="588E40A0" w:rsidR="00BC063D" w:rsidRDefault="001B724B" w:rsidP="007B53FD">
            <w:pPr>
              <w:jc w:val="center"/>
            </w:pPr>
            <w:r>
              <w:t>860-10</w:t>
            </w:r>
          </w:p>
        </w:tc>
        <w:tc>
          <w:tcPr>
            <w:tcW w:w="4027" w:type="dxa"/>
          </w:tcPr>
          <w:p w14:paraId="22E3EE9D" w14:textId="327D857E" w:rsidR="00BC063D" w:rsidRDefault="001B724B" w:rsidP="00EE15C3">
            <w:r>
              <w:t xml:space="preserve">Adds a link to the Master Glossary definition of the term “attached call option” and the term “attached call” is </w:t>
            </w:r>
            <w:r w:rsidR="007D4AB6">
              <w:t xml:space="preserve">updated </w:t>
            </w:r>
            <w:r>
              <w:t>to “attached call option.”</w:t>
            </w:r>
          </w:p>
        </w:tc>
        <w:tc>
          <w:tcPr>
            <w:tcW w:w="1440" w:type="dxa"/>
          </w:tcPr>
          <w:p w14:paraId="1D45BCCD" w14:textId="4FB33D9F" w:rsidR="00BC063D" w:rsidRDefault="003A6264" w:rsidP="008C1CFA">
            <w:pPr>
              <w:jc w:val="center"/>
            </w:pPr>
            <w:r>
              <w:t>87-92</w:t>
            </w:r>
          </w:p>
        </w:tc>
        <w:tc>
          <w:tcPr>
            <w:tcW w:w="3690" w:type="dxa"/>
          </w:tcPr>
          <w:p w14:paraId="570D5F3A" w14:textId="3C603622" w:rsidR="00AD706B" w:rsidRDefault="00BA4D19" w:rsidP="006C4A27">
            <w:r>
              <w:t>The minor (single word) d</w:t>
            </w:r>
            <w:r w:rsidR="00B572A7">
              <w:t>efinition</w:t>
            </w:r>
            <w:r>
              <w:t>al</w:t>
            </w:r>
            <w:r w:rsidR="00B572A7">
              <w:t xml:space="preserve"> update is not substantially material</w:t>
            </w:r>
            <w:r>
              <w:t>, to justify</w:t>
            </w:r>
            <w:r w:rsidR="0094434C">
              <w:t xml:space="preserve"> </w:t>
            </w:r>
            <w:r w:rsidR="00B572A7">
              <w:t>adoption.</w:t>
            </w:r>
            <w:r w:rsidR="006C268E">
              <w:t xml:space="preserve"> </w:t>
            </w:r>
          </w:p>
          <w:p w14:paraId="65271271" w14:textId="503CB343" w:rsidR="00BC063D" w:rsidRDefault="007D4AB6" w:rsidP="006C4A27">
            <w:r>
              <w:t>Exhibit A in SSAP No. 103R</w:t>
            </w:r>
            <w:r w:rsidR="00AD706B">
              <w:t xml:space="preserve"> already appropriately </w:t>
            </w:r>
            <w:r>
              <w:t>reference</w:t>
            </w:r>
            <w:r w:rsidR="0094434C">
              <w:t>s</w:t>
            </w:r>
            <w:r w:rsidR="00AD706B">
              <w:t xml:space="preserve"> </w:t>
            </w:r>
            <w:r w:rsidR="0094434C">
              <w:t xml:space="preserve">and defines </w:t>
            </w:r>
            <w:r w:rsidR="00AD706B">
              <w:t>an</w:t>
            </w:r>
            <w:r>
              <w:t xml:space="preserve"> “Attached Call” </w:t>
            </w:r>
            <w:r w:rsidR="0094434C">
              <w:t>as a</w:t>
            </w:r>
            <w:r>
              <w:t xml:space="preserve"> “call option…”</w:t>
            </w:r>
          </w:p>
          <w:p w14:paraId="14CFADAC" w14:textId="77777777" w:rsidR="00B572A7" w:rsidRDefault="00B572A7" w:rsidP="006C4A27"/>
          <w:p w14:paraId="1768CE0E" w14:textId="4B2A713C" w:rsidR="00B572A7" w:rsidRDefault="00B572A7" w:rsidP="006C4A27">
            <w:r>
              <w:rPr>
                <w:b/>
                <w:bCs/>
              </w:rPr>
              <w:lastRenderedPageBreak/>
              <w:t>This update is not applicable – no action required.</w:t>
            </w:r>
          </w:p>
        </w:tc>
      </w:tr>
      <w:tr w:rsidR="00BC063D" w14:paraId="79DB85A7" w14:textId="77777777" w:rsidTr="00DC48DA">
        <w:tc>
          <w:tcPr>
            <w:tcW w:w="2520" w:type="dxa"/>
          </w:tcPr>
          <w:p w14:paraId="174C676A" w14:textId="13341480" w:rsidR="00BC063D" w:rsidRDefault="00BE3323" w:rsidP="003F787F">
            <w:r>
              <w:lastRenderedPageBreak/>
              <w:t>Transfers and Servicing—Sales of Financial Assets</w:t>
            </w:r>
          </w:p>
        </w:tc>
        <w:tc>
          <w:tcPr>
            <w:tcW w:w="1913" w:type="dxa"/>
          </w:tcPr>
          <w:p w14:paraId="69281729" w14:textId="0A5D77C7" w:rsidR="00BC063D" w:rsidRDefault="00BE3323" w:rsidP="007B53FD">
            <w:pPr>
              <w:jc w:val="center"/>
            </w:pPr>
            <w:r>
              <w:t>860-20</w:t>
            </w:r>
          </w:p>
        </w:tc>
        <w:tc>
          <w:tcPr>
            <w:tcW w:w="4027" w:type="dxa"/>
          </w:tcPr>
          <w:p w14:paraId="420D6EF0" w14:textId="4D5A37CF" w:rsidR="00BC063D" w:rsidRDefault="00BE3323" w:rsidP="00EE15C3">
            <w:r>
              <w:t xml:space="preserve">Eliminates sentence that refers to initial measurement, which is covered </w:t>
            </w:r>
            <w:r w:rsidR="002D0D31">
              <w:t>in sections 815-10-30 and 860-20-30.</w:t>
            </w:r>
          </w:p>
        </w:tc>
        <w:tc>
          <w:tcPr>
            <w:tcW w:w="1440" w:type="dxa"/>
          </w:tcPr>
          <w:p w14:paraId="1865CE5F" w14:textId="7D910F79" w:rsidR="00BC063D" w:rsidRDefault="003A6264" w:rsidP="008C1CFA">
            <w:pPr>
              <w:jc w:val="center"/>
            </w:pPr>
            <w:r>
              <w:t>93-94</w:t>
            </w:r>
          </w:p>
        </w:tc>
        <w:tc>
          <w:tcPr>
            <w:tcW w:w="3690" w:type="dxa"/>
          </w:tcPr>
          <w:p w14:paraId="1F51E7AB" w14:textId="2CD4846D" w:rsidR="00DC48DA" w:rsidRPr="00DC48DA" w:rsidRDefault="00DC48DA" w:rsidP="006C4A27">
            <w:r>
              <w:t>Removal of sentence is not necessary.</w:t>
            </w:r>
          </w:p>
          <w:p w14:paraId="1046C4BD" w14:textId="77777777" w:rsidR="00DC48DA" w:rsidRDefault="00DC48DA" w:rsidP="006C4A27">
            <w:pPr>
              <w:rPr>
                <w:b/>
                <w:bCs/>
              </w:rPr>
            </w:pPr>
          </w:p>
          <w:p w14:paraId="14AADC8B" w14:textId="24313EE6" w:rsidR="00BC063D" w:rsidRDefault="00DC48DA" w:rsidP="006C4A27">
            <w:r>
              <w:rPr>
                <w:b/>
                <w:bCs/>
              </w:rPr>
              <w:t>This update is not applicable – no action required.</w:t>
            </w:r>
          </w:p>
        </w:tc>
      </w:tr>
      <w:tr w:rsidR="00BC063D" w14:paraId="148D8EB3" w14:textId="77777777" w:rsidTr="00DC48DA">
        <w:tc>
          <w:tcPr>
            <w:tcW w:w="2520" w:type="dxa"/>
          </w:tcPr>
          <w:p w14:paraId="75A34A9B" w14:textId="72DBB122" w:rsidR="00BC063D" w:rsidRDefault="008965BD" w:rsidP="00C06E67">
            <w:pPr>
              <w:jc w:val="left"/>
            </w:pPr>
            <w:r>
              <w:t>Financial Services—Insurance—Acquisition Costs</w:t>
            </w:r>
          </w:p>
        </w:tc>
        <w:tc>
          <w:tcPr>
            <w:tcW w:w="1913" w:type="dxa"/>
          </w:tcPr>
          <w:p w14:paraId="14720EBA" w14:textId="4C075204" w:rsidR="00BC063D" w:rsidRDefault="008965BD" w:rsidP="007B53FD">
            <w:pPr>
              <w:jc w:val="center"/>
            </w:pPr>
            <w:r>
              <w:t>944-30</w:t>
            </w:r>
          </w:p>
        </w:tc>
        <w:tc>
          <w:tcPr>
            <w:tcW w:w="4027" w:type="dxa"/>
          </w:tcPr>
          <w:p w14:paraId="76ABB721" w14:textId="74E5F2E6" w:rsidR="00BC063D" w:rsidRDefault="00857B8A" w:rsidP="00EE15C3">
            <w:r>
              <w:t>Conforms terminology in Subtopic 944-30 with the revised criteria for deferred acquisition cost capitalization established by ASU 2010-26, Accounting for Costs Associated with Acquiring or Renewing Insurance Contracts.</w:t>
            </w:r>
          </w:p>
        </w:tc>
        <w:tc>
          <w:tcPr>
            <w:tcW w:w="1440" w:type="dxa"/>
          </w:tcPr>
          <w:p w14:paraId="349D6AB8" w14:textId="57E745A7" w:rsidR="00BC063D" w:rsidRDefault="003A6264" w:rsidP="008C1CFA">
            <w:pPr>
              <w:jc w:val="center"/>
            </w:pPr>
            <w:r>
              <w:t>95-96</w:t>
            </w:r>
          </w:p>
        </w:tc>
        <w:tc>
          <w:tcPr>
            <w:tcW w:w="3690" w:type="dxa"/>
          </w:tcPr>
          <w:p w14:paraId="5A563904" w14:textId="0F63499B" w:rsidR="006C268E" w:rsidRPr="00C06E67" w:rsidRDefault="003A2677" w:rsidP="006C4A27">
            <w:r w:rsidRPr="00C06E67">
              <w:t>Capitalization</w:t>
            </w:r>
            <w:r w:rsidR="006C268E" w:rsidRPr="00C06E67">
              <w:t xml:space="preserve"> of deferred acquisition costs is not a concept recognized by </w:t>
            </w:r>
            <w:r w:rsidRPr="00C06E67">
              <w:t>s</w:t>
            </w:r>
            <w:r w:rsidR="006C268E" w:rsidRPr="00C06E67">
              <w:t xml:space="preserve">tatutory </w:t>
            </w:r>
            <w:r w:rsidRPr="00C06E67">
              <w:t>a</w:t>
            </w:r>
            <w:r w:rsidR="006C268E" w:rsidRPr="00C06E67">
              <w:t>ccounting.</w:t>
            </w:r>
          </w:p>
          <w:p w14:paraId="0ED6C8C0" w14:textId="77777777" w:rsidR="006C268E" w:rsidRDefault="006C268E" w:rsidP="006C4A27">
            <w:pPr>
              <w:rPr>
                <w:b/>
                <w:bCs/>
              </w:rPr>
            </w:pPr>
          </w:p>
          <w:p w14:paraId="1613E6E5" w14:textId="38D6430B" w:rsidR="00BC063D" w:rsidRDefault="006C268E" w:rsidP="006C4A27">
            <w:r>
              <w:rPr>
                <w:b/>
                <w:bCs/>
              </w:rPr>
              <w:t xml:space="preserve"> </w:t>
            </w:r>
            <w:r w:rsidR="00DC48DA">
              <w:rPr>
                <w:b/>
                <w:bCs/>
              </w:rPr>
              <w:t>This update is not applicable – no action required.</w:t>
            </w:r>
          </w:p>
        </w:tc>
      </w:tr>
      <w:tr w:rsidR="008965BD" w14:paraId="761F3732" w14:textId="77777777" w:rsidTr="00DC48DA">
        <w:tc>
          <w:tcPr>
            <w:tcW w:w="2520" w:type="dxa"/>
          </w:tcPr>
          <w:p w14:paraId="57DBCC0C" w14:textId="767F50E0" w:rsidR="008965BD" w:rsidRDefault="008965BD" w:rsidP="00C06E67">
            <w:pPr>
              <w:jc w:val="left"/>
            </w:pPr>
            <w:r>
              <w:t>Not-for-Profit Entities—Overall</w:t>
            </w:r>
          </w:p>
        </w:tc>
        <w:tc>
          <w:tcPr>
            <w:tcW w:w="1913" w:type="dxa"/>
          </w:tcPr>
          <w:p w14:paraId="262FCBB7" w14:textId="3B09106B" w:rsidR="008965BD" w:rsidRDefault="008965BD" w:rsidP="007B53FD">
            <w:pPr>
              <w:jc w:val="center"/>
            </w:pPr>
            <w:r>
              <w:t>958-10</w:t>
            </w:r>
          </w:p>
        </w:tc>
        <w:tc>
          <w:tcPr>
            <w:tcW w:w="4027" w:type="dxa"/>
          </w:tcPr>
          <w:p w14:paraId="12A6FFC7" w14:textId="667231E6" w:rsidR="008965BD" w:rsidRDefault="008965BD" w:rsidP="00EE15C3">
            <w:r>
              <w:t>Simplifies an</w:t>
            </w:r>
            <w:r w:rsidR="006267DD">
              <w:t>d provides a more relevant</w:t>
            </w:r>
            <w:r>
              <w:t xml:space="preserve"> example </w:t>
            </w:r>
            <w:r w:rsidR="006267DD">
              <w:t>for this guidance.</w:t>
            </w:r>
            <w:r>
              <w:t xml:space="preserve"> </w:t>
            </w:r>
          </w:p>
        </w:tc>
        <w:tc>
          <w:tcPr>
            <w:tcW w:w="1440" w:type="dxa"/>
          </w:tcPr>
          <w:p w14:paraId="2BAF3608" w14:textId="6C936E18" w:rsidR="008965BD" w:rsidRDefault="003A6264" w:rsidP="008C1CFA">
            <w:pPr>
              <w:jc w:val="center"/>
            </w:pPr>
            <w:r>
              <w:t>97-98</w:t>
            </w:r>
          </w:p>
        </w:tc>
        <w:tc>
          <w:tcPr>
            <w:tcW w:w="3690" w:type="dxa"/>
          </w:tcPr>
          <w:p w14:paraId="564AB3EC" w14:textId="77777777" w:rsidR="008312D2" w:rsidRDefault="008312D2" w:rsidP="008312D2">
            <w:r>
              <w:t xml:space="preserve">Specific guidance for NFP’s is not applicable for SSAP. </w:t>
            </w:r>
          </w:p>
          <w:p w14:paraId="3076BD58" w14:textId="77777777" w:rsidR="008312D2" w:rsidRDefault="008312D2" w:rsidP="006C4A27">
            <w:pPr>
              <w:rPr>
                <w:b/>
                <w:bCs/>
              </w:rPr>
            </w:pPr>
          </w:p>
          <w:p w14:paraId="7BB8A858" w14:textId="0C22DCA1" w:rsidR="008965BD" w:rsidRDefault="002D0D31" w:rsidP="006C4A27">
            <w:r>
              <w:rPr>
                <w:b/>
                <w:bCs/>
              </w:rPr>
              <w:t>This update is not applicable – no action required.</w:t>
            </w:r>
          </w:p>
        </w:tc>
      </w:tr>
      <w:tr w:rsidR="006267DD" w14:paraId="16893984" w14:textId="77777777" w:rsidTr="00DC48DA">
        <w:tc>
          <w:tcPr>
            <w:tcW w:w="2520" w:type="dxa"/>
          </w:tcPr>
          <w:p w14:paraId="2E2254E6" w14:textId="222BF4D0" w:rsidR="006267DD" w:rsidRDefault="006267DD" w:rsidP="00C06E67">
            <w:pPr>
              <w:jc w:val="left"/>
            </w:pPr>
            <w:r>
              <w:t>Not-for-Profit Entities—Presentation of Financial Statements</w:t>
            </w:r>
          </w:p>
        </w:tc>
        <w:tc>
          <w:tcPr>
            <w:tcW w:w="1913" w:type="dxa"/>
          </w:tcPr>
          <w:p w14:paraId="761FCE33" w14:textId="085D25A7" w:rsidR="006267DD" w:rsidRDefault="006267DD" w:rsidP="007B53FD">
            <w:pPr>
              <w:jc w:val="center"/>
            </w:pPr>
            <w:r>
              <w:t>958-205</w:t>
            </w:r>
          </w:p>
        </w:tc>
        <w:tc>
          <w:tcPr>
            <w:tcW w:w="4027" w:type="dxa"/>
          </w:tcPr>
          <w:p w14:paraId="3D3661C7" w14:textId="56D98C31" w:rsidR="006267DD" w:rsidRDefault="006267DD" w:rsidP="00EE15C3">
            <w:r>
              <w:t>Clarifies and illustrates the accounting for situations resulting in the expiration of donor-imposed restrictions.</w:t>
            </w:r>
          </w:p>
        </w:tc>
        <w:tc>
          <w:tcPr>
            <w:tcW w:w="1440" w:type="dxa"/>
          </w:tcPr>
          <w:p w14:paraId="6A51F4D2" w14:textId="39C7432F" w:rsidR="006267DD" w:rsidRDefault="003A6264" w:rsidP="008C1CFA">
            <w:pPr>
              <w:jc w:val="center"/>
            </w:pPr>
            <w:r>
              <w:t>99-100</w:t>
            </w:r>
          </w:p>
        </w:tc>
        <w:tc>
          <w:tcPr>
            <w:tcW w:w="3690" w:type="dxa"/>
          </w:tcPr>
          <w:p w14:paraId="35CC6D44" w14:textId="4E7F6F6A" w:rsidR="00746CBC" w:rsidRPr="00C06E67" w:rsidRDefault="00746CBC" w:rsidP="006C4A27">
            <w:r w:rsidRPr="00C06E67">
              <w:t xml:space="preserve">Donor-imposed restrictions is not a concept recognized by statutory accounting. </w:t>
            </w:r>
          </w:p>
          <w:p w14:paraId="09E21B90" w14:textId="77777777" w:rsidR="00746CBC" w:rsidRDefault="00746CBC" w:rsidP="006C4A27">
            <w:pPr>
              <w:rPr>
                <w:b/>
                <w:bCs/>
              </w:rPr>
            </w:pPr>
          </w:p>
          <w:p w14:paraId="6529FAD9" w14:textId="3A06E6AE" w:rsidR="006267DD" w:rsidRDefault="00090BD3" w:rsidP="006C4A27">
            <w:r>
              <w:rPr>
                <w:b/>
                <w:bCs/>
              </w:rPr>
              <w:t>This update is not applicable – no action required.</w:t>
            </w:r>
          </w:p>
        </w:tc>
      </w:tr>
      <w:tr w:rsidR="006267DD" w14:paraId="5E010318" w14:textId="77777777" w:rsidTr="00DC48DA">
        <w:tc>
          <w:tcPr>
            <w:tcW w:w="2520" w:type="dxa"/>
          </w:tcPr>
          <w:p w14:paraId="2F7BD8A5" w14:textId="5EC8D6AA" w:rsidR="006267DD" w:rsidRDefault="006267DD" w:rsidP="00C06E67">
            <w:pPr>
              <w:jc w:val="left"/>
            </w:pPr>
            <w:r>
              <w:t>Not-for-Profit Entities—Master Glossary</w:t>
            </w:r>
          </w:p>
        </w:tc>
        <w:tc>
          <w:tcPr>
            <w:tcW w:w="1913" w:type="dxa"/>
          </w:tcPr>
          <w:p w14:paraId="3D330377" w14:textId="1B0F2B6A" w:rsidR="006267DD" w:rsidRDefault="006267DD" w:rsidP="007B53FD">
            <w:pPr>
              <w:jc w:val="center"/>
            </w:pPr>
            <w:r>
              <w:t>958</w:t>
            </w:r>
          </w:p>
        </w:tc>
        <w:tc>
          <w:tcPr>
            <w:tcW w:w="4027" w:type="dxa"/>
          </w:tcPr>
          <w:p w14:paraId="6918B7AE" w14:textId="00053415" w:rsidR="006267DD" w:rsidRDefault="000D0815" w:rsidP="00EE15C3">
            <w:r>
              <w:t xml:space="preserve">Eliminates the term “agency transactions” and updates all links to the term “agency transaction” </w:t>
            </w:r>
            <w:r w:rsidR="00090BD3">
              <w:t>a</w:t>
            </w:r>
            <w:r>
              <w:t>s they have the same definition.</w:t>
            </w:r>
          </w:p>
        </w:tc>
        <w:tc>
          <w:tcPr>
            <w:tcW w:w="1440" w:type="dxa"/>
          </w:tcPr>
          <w:p w14:paraId="744B8B0A" w14:textId="1637757D" w:rsidR="006267DD" w:rsidRDefault="003A6264" w:rsidP="008C1CFA">
            <w:pPr>
              <w:jc w:val="center"/>
            </w:pPr>
            <w:r>
              <w:t>101-</w:t>
            </w:r>
            <w:r w:rsidR="00D33D40">
              <w:t>107</w:t>
            </w:r>
          </w:p>
        </w:tc>
        <w:tc>
          <w:tcPr>
            <w:tcW w:w="3690" w:type="dxa"/>
          </w:tcPr>
          <w:p w14:paraId="1121F001" w14:textId="62ABA7D3" w:rsidR="006267DD" w:rsidRDefault="00090BD3" w:rsidP="006C4A27">
            <w:r>
              <w:rPr>
                <w:b/>
                <w:bCs/>
              </w:rPr>
              <w:t>This update is not applicable – no action required.</w:t>
            </w:r>
          </w:p>
        </w:tc>
      </w:tr>
      <w:tr w:rsidR="006267DD" w14:paraId="794A78AE" w14:textId="77777777" w:rsidTr="00DC48DA">
        <w:tc>
          <w:tcPr>
            <w:tcW w:w="2520" w:type="dxa"/>
          </w:tcPr>
          <w:p w14:paraId="3308EC22" w14:textId="0FBA374F" w:rsidR="006267DD" w:rsidRDefault="000D0815" w:rsidP="00C06E67">
            <w:pPr>
              <w:jc w:val="left"/>
            </w:pPr>
            <w:r>
              <w:t>Not-for-Profit Entities—Revenue Recognition</w:t>
            </w:r>
          </w:p>
        </w:tc>
        <w:tc>
          <w:tcPr>
            <w:tcW w:w="1913" w:type="dxa"/>
          </w:tcPr>
          <w:p w14:paraId="7857A57F" w14:textId="2CE87956" w:rsidR="006267DD" w:rsidRDefault="000D0815" w:rsidP="007B53FD">
            <w:pPr>
              <w:jc w:val="center"/>
            </w:pPr>
            <w:r>
              <w:t>958-605</w:t>
            </w:r>
          </w:p>
        </w:tc>
        <w:tc>
          <w:tcPr>
            <w:tcW w:w="4027" w:type="dxa"/>
          </w:tcPr>
          <w:p w14:paraId="5574EE79" w14:textId="0CA99523" w:rsidR="006267DD" w:rsidRDefault="00D839F3" w:rsidP="00EE15C3">
            <w:r>
              <w:t>Eliminates the link to one of two separate definitions of the term “control.” There cannot be two identical terms in the same Subtopic.</w:t>
            </w:r>
          </w:p>
        </w:tc>
        <w:tc>
          <w:tcPr>
            <w:tcW w:w="1440" w:type="dxa"/>
          </w:tcPr>
          <w:p w14:paraId="01ED832F" w14:textId="0CB36CBB" w:rsidR="006267DD" w:rsidRDefault="003A6264" w:rsidP="008C1CFA">
            <w:pPr>
              <w:jc w:val="center"/>
            </w:pPr>
            <w:r>
              <w:t>108-110</w:t>
            </w:r>
          </w:p>
        </w:tc>
        <w:tc>
          <w:tcPr>
            <w:tcW w:w="3690" w:type="dxa"/>
          </w:tcPr>
          <w:p w14:paraId="23181DBC" w14:textId="5209894C" w:rsidR="006267DD" w:rsidRDefault="00D839F3" w:rsidP="006C4A27">
            <w:r>
              <w:t>Statutory accounting uses a</w:t>
            </w:r>
            <w:r w:rsidR="006C268E">
              <w:t>n alternative</w:t>
            </w:r>
            <w:r>
              <w:t xml:space="preserve"> definition for the term “control.” </w:t>
            </w:r>
          </w:p>
          <w:p w14:paraId="3EC67F80" w14:textId="77777777" w:rsidR="0075330A" w:rsidRDefault="0075330A" w:rsidP="006C4A27"/>
          <w:p w14:paraId="0FCE52C8" w14:textId="6F397F53" w:rsidR="0075330A" w:rsidRDefault="0075330A" w:rsidP="006C4A27">
            <w:r w:rsidRPr="00F65704">
              <w:rPr>
                <w:b/>
                <w:bCs/>
              </w:rPr>
              <w:t xml:space="preserve">This update is not applicable – no action </w:t>
            </w:r>
            <w:r>
              <w:rPr>
                <w:b/>
                <w:bCs/>
              </w:rPr>
              <w:t>required</w:t>
            </w:r>
            <w:r w:rsidRPr="00F65704">
              <w:rPr>
                <w:b/>
                <w:bCs/>
              </w:rPr>
              <w:t>.</w:t>
            </w:r>
          </w:p>
        </w:tc>
      </w:tr>
      <w:tr w:rsidR="000C1ADF" w14:paraId="3ACB4D09" w14:textId="77777777" w:rsidTr="00DC48DA">
        <w:tc>
          <w:tcPr>
            <w:tcW w:w="2520" w:type="dxa"/>
          </w:tcPr>
          <w:p w14:paraId="267742ED" w14:textId="638AA8A2" w:rsidR="000C1ADF" w:rsidRDefault="000C1ADF" w:rsidP="00C06E67">
            <w:pPr>
              <w:jc w:val="left"/>
            </w:pPr>
            <w:r>
              <w:t>Not-for-Profit Entities—Consolidation</w:t>
            </w:r>
          </w:p>
        </w:tc>
        <w:tc>
          <w:tcPr>
            <w:tcW w:w="1913" w:type="dxa"/>
          </w:tcPr>
          <w:p w14:paraId="484F3334" w14:textId="212EE865" w:rsidR="000C1ADF" w:rsidRDefault="000C1ADF" w:rsidP="000C1ADF">
            <w:pPr>
              <w:jc w:val="center"/>
            </w:pPr>
            <w:r>
              <w:t>958-810</w:t>
            </w:r>
          </w:p>
        </w:tc>
        <w:tc>
          <w:tcPr>
            <w:tcW w:w="4027" w:type="dxa"/>
          </w:tcPr>
          <w:p w14:paraId="216C2B48" w14:textId="47E416B8" w:rsidR="000C1ADF" w:rsidRDefault="000C1ADF" w:rsidP="000C1ADF">
            <w:r>
              <w:t>Clarifies that the economic interest must be in the controlled not-for-profit entity, instead of using the vague phrase “other such organizations.”</w:t>
            </w:r>
          </w:p>
        </w:tc>
        <w:tc>
          <w:tcPr>
            <w:tcW w:w="1440" w:type="dxa"/>
          </w:tcPr>
          <w:p w14:paraId="4DC53762" w14:textId="68B04AF7" w:rsidR="000C1ADF" w:rsidRDefault="000C1ADF" w:rsidP="000C1ADF">
            <w:pPr>
              <w:jc w:val="center"/>
            </w:pPr>
            <w:r>
              <w:t>111-112</w:t>
            </w:r>
          </w:p>
        </w:tc>
        <w:tc>
          <w:tcPr>
            <w:tcW w:w="3690" w:type="dxa"/>
          </w:tcPr>
          <w:p w14:paraId="345E6B7D" w14:textId="52E5055F" w:rsidR="000C1ADF" w:rsidRDefault="000C1ADF" w:rsidP="000C1ADF">
            <w:r>
              <w:t>Statutory accounting uses a</w:t>
            </w:r>
            <w:r w:rsidR="006C268E">
              <w:t>n alternative</w:t>
            </w:r>
            <w:r>
              <w:t xml:space="preserve"> definition for the term “control.” </w:t>
            </w:r>
          </w:p>
          <w:p w14:paraId="254E6A10" w14:textId="77777777" w:rsidR="000C1ADF" w:rsidRDefault="000C1ADF" w:rsidP="000C1ADF"/>
          <w:p w14:paraId="21EA765B" w14:textId="4C479E82" w:rsidR="000C1ADF" w:rsidRDefault="000C1ADF" w:rsidP="000C1ADF">
            <w:r w:rsidRPr="00F65704">
              <w:rPr>
                <w:b/>
                <w:bCs/>
              </w:rPr>
              <w:lastRenderedPageBreak/>
              <w:t xml:space="preserve">This update is not applicable – no action </w:t>
            </w:r>
            <w:r>
              <w:rPr>
                <w:b/>
                <w:bCs/>
              </w:rPr>
              <w:t>required</w:t>
            </w:r>
            <w:r w:rsidRPr="00F65704">
              <w:rPr>
                <w:b/>
                <w:bCs/>
              </w:rPr>
              <w:t>.</w:t>
            </w:r>
          </w:p>
        </w:tc>
      </w:tr>
      <w:tr w:rsidR="000C1ADF" w14:paraId="5C7BAE1E" w14:textId="77777777" w:rsidTr="00DC48DA">
        <w:tc>
          <w:tcPr>
            <w:tcW w:w="2520" w:type="dxa"/>
          </w:tcPr>
          <w:p w14:paraId="1594A398" w14:textId="4F039294" w:rsidR="000C1ADF" w:rsidRDefault="000C1ADF" w:rsidP="00C06E67">
            <w:pPr>
              <w:jc w:val="left"/>
            </w:pPr>
            <w:r>
              <w:lastRenderedPageBreak/>
              <w:t>Amendments to SEC Materials</w:t>
            </w:r>
          </w:p>
        </w:tc>
        <w:tc>
          <w:tcPr>
            <w:tcW w:w="1913" w:type="dxa"/>
          </w:tcPr>
          <w:p w14:paraId="0254BBD0" w14:textId="77777777" w:rsidR="000C1ADF" w:rsidRDefault="000C1ADF" w:rsidP="000C1ADF">
            <w:pPr>
              <w:jc w:val="center"/>
            </w:pPr>
          </w:p>
        </w:tc>
        <w:tc>
          <w:tcPr>
            <w:tcW w:w="4027" w:type="dxa"/>
          </w:tcPr>
          <w:p w14:paraId="07B5D9E1" w14:textId="77777777" w:rsidR="000C1ADF" w:rsidRDefault="000C1ADF" w:rsidP="000C1ADF"/>
        </w:tc>
        <w:tc>
          <w:tcPr>
            <w:tcW w:w="1440" w:type="dxa"/>
          </w:tcPr>
          <w:p w14:paraId="667452DF" w14:textId="2154BB78" w:rsidR="000C1ADF" w:rsidRDefault="000C1ADF" w:rsidP="000C1ADF">
            <w:pPr>
              <w:jc w:val="center"/>
            </w:pPr>
            <w:r>
              <w:t>113-118</w:t>
            </w:r>
          </w:p>
        </w:tc>
        <w:tc>
          <w:tcPr>
            <w:tcW w:w="3690" w:type="dxa"/>
          </w:tcPr>
          <w:p w14:paraId="179C2672" w14:textId="20907259" w:rsidR="000C1ADF" w:rsidRDefault="000C1ADF" w:rsidP="000C1ADF">
            <w:r>
              <w:rPr>
                <w:b/>
                <w:bCs/>
              </w:rPr>
              <w:t>This update is not applicable – no action required.</w:t>
            </w:r>
          </w:p>
        </w:tc>
      </w:tr>
      <w:tr w:rsidR="000C1ADF" w14:paraId="53FBDAB5" w14:textId="77777777" w:rsidTr="00DC48DA">
        <w:tc>
          <w:tcPr>
            <w:tcW w:w="2520" w:type="dxa"/>
          </w:tcPr>
          <w:p w14:paraId="7714360E" w14:textId="0F1E3863" w:rsidR="000C1ADF" w:rsidRDefault="000C1ADF" w:rsidP="00C06E67">
            <w:pPr>
              <w:jc w:val="left"/>
            </w:pPr>
            <w:r>
              <w:t>Amendments to Status Sections</w:t>
            </w:r>
          </w:p>
        </w:tc>
        <w:tc>
          <w:tcPr>
            <w:tcW w:w="1913" w:type="dxa"/>
          </w:tcPr>
          <w:p w14:paraId="5D6AA5E7" w14:textId="77777777" w:rsidR="000C1ADF" w:rsidRDefault="000C1ADF" w:rsidP="000C1ADF">
            <w:pPr>
              <w:jc w:val="center"/>
            </w:pPr>
          </w:p>
        </w:tc>
        <w:tc>
          <w:tcPr>
            <w:tcW w:w="4027" w:type="dxa"/>
          </w:tcPr>
          <w:p w14:paraId="5F6B81A2" w14:textId="77777777" w:rsidR="000C1ADF" w:rsidRDefault="000C1ADF" w:rsidP="000C1ADF"/>
        </w:tc>
        <w:tc>
          <w:tcPr>
            <w:tcW w:w="1440" w:type="dxa"/>
          </w:tcPr>
          <w:p w14:paraId="3A590136" w14:textId="63247418" w:rsidR="000C1ADF" w:rsidRDefault="000C1ADF" w:rsidP="000C1ADF">
            <w:pPr>
              <w:jc w:val="center"/>
            </w:pPr>
            <w:r>
              <w:t>119-164</w:t>
            </w:r>
          </w:p>
        </w:tc>
        <w:tc>
          <w:tcPr>
            <w:tcW w:w="3690" w:type="dxa"/>
          </w:tcPr>
          <w:p w14:paraId="03905AE6" w14:textId="6BBCE546" w:rsidR="000C1ADF" w:rsidRDefault="000C1ADF" w:rsidP="000C1ADF">
            <w:r>
              <w:rPr>
                <w:b/>
                <w:bCs/>
              </w:rPr>
              <w:t>This update is not applicable – no action required.</w:t>
            </w:r>
          </w:p>
        </w:tc>
      </w:tr>
    </w:tbl>
    <w:p w14:paraId="625F6ED2" w14:textId="77777777" w:rsidR="00921534" w:rsidRDefault="00921534"/>
    <w:sectPr w:rsidR="00921534" w:rsidSect="00787A7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9D29F" w14:textId="77777777" w:rsidR="00635D8A" w:rsidRDefault="00635D8A" w:rsidP="00405F30">
      <w:r>
        <w:separator/>
      </w:r>
    </w:p>
  </w:endnote>
  <w:endnote w:type="continuationSeparator" w:id="0">
    <w:p w14:paraId="535E5BC2" w14:textId="77777777" w:rsidR="00635D8A" w:rsidRDefault="00635D8A" w:rsidP="0040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247D" w14:textId="2111751B" w:rsidR="00635D8A" w:rsidRDefault="00635D8A" w:rsidP="00405F30">
    <w:pPr>
      <w:pStyle w:val="Footer"/>
      <w:tabs>
        <w:tab w:val="center" w:pos="5040"/>
      </w:tabs>
      <w:rPr>
        <w:sz w:val="20"/>
      </w:rPr>
    </w:pPr>
    <w:r>
      <w:rPr>
        <w:sz w:val="20"/>
      </w:rPr>
      <w:t xml:space="preserve">© 2020 National Association of Insurance Commissioners </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p w14:paraId="0A7EDD21" w14:textId="77777777" w:rsidR="00635D8A" w:rsidRDefault="00635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34758" w14:textId="77777777" w:rsidR="00635D8A" w:rsidRDefault="00635D8A" w:rsidP="00405F30">
      <w:r>
        <w:separator/>
      </w:r>
    </w:p>
  </w:footnote>
  <w:footnote w:type="continuationSeparator" w:id="0">
    <w:p w14:paraId="2F629C4A" w14:textId="77777777" w:rsidR="00635D8A" w:rsidRDefault="00635D8A" w:rsidP="0040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0635" w14:textId="115FEF93" w:rsidR="00635D8A" w:rsidRPr="00F04F9A" w:rsidRDefault="00635D8A" w:rsidP="00405F30">
    <w:pPr>
      <w:pStyle w:val="Header"/>
      <w:jc w:val="right"/>
      <w:rPr>
        <w:bCs/>
        <w:sz w:val="20"/>
      </w:rPr>
    </w:pPr>
    <w:r w:rsidRPr="00F04F9A">
      <w:rPr>
        <w:bCs/>
        <w:sz w:val="20"/>
      </w:rPr>
      <w:t>Ref #20</w:t>
    </w:r>
    <w:r>
      <w:rPr>
        <w:bCs/>
        <w:sz w:val="20"/>
      </w:rPr>
      <w:t>20</w:t>
    </w:r>
    <w:r w:rsidRPr="00F04F9A">
      <w:rPr>
        <w:bCs/>
        <w:sz w:val="20"/>
      </w:rPr>
      <w:t>-</w:t>
    </w:r>
    <w:r>
      <w:rPr>
        <w:bCs/>
        <w:sz w:val="20"/>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6BDA"/>
    <w:multiLevelType w:val="hybridMultilevel"/>
    <w:tmpl w:val="D20C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2221F7"/>
    <w:multiLevelType w:val="hybridMultilevel"/>
    <w:tmpl w:val="8EF61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7B"/>
    <w:rsid w:val="00006E46"/>
    <w:rsid w:val="00032578"/>
    <w:rsid w:val="000353BF"/>
    <w:rsid w:val="00075AAE"/>
    <w:rsid w:val="00090BD3"/>
    <w:rsid w:val="000C1ADF"/>
    <w:rsid w:val="000D0815"/>
    <w:rsid w:val="001765C3"/>
    <w:rsid w:val="001970F4"/>
    <w:rsid w:val="001A7D0C"/>
    <w:rsid w:val="001B724B"/>
    <w:rsid w:val="001D3018"/>
    <w:rsid w:val="001F2F15"/>
    <w:rsid w:val="002240FA"/>
    <w:rsid w:val="002442C9"/>
    <w:rsid w:val="002730D3"/>
    <w:rsid w:val="002B7A5F"/>
    <w:rsid w:val="002D0D31"/>
    <w:rsid w:val="002D2B54"/>
    <w:rsid w:val="002F0B2A"/>
    <w:rsid w:val="002F1E98"/>
    <w:rsid w:val="00320D91"/>
    <w:rsid w:val="00327F3B"/>
    <w:rsid w:val="003368F0"/>
    <w:rsid w:val="00346962"/>
    <w:rsid w:val="0036383F"/>
    <w:rsid w:val="00384174"/>
    <w:rsid w:val="003A2677"/>
    <w:rsid w:val="003A6264"/>
    <w:rsid w:val="003C7063"/>
    <w:rsid w:val="003F787F"/>
    <w:rsid w:val="00405F30"/>
    <w:rsid w:val="0042013C"/>
    <w:rsid w:val="00425BF4"/>
    <w:rsid w:val="00427079"/>
    <w:rsid w:val="004347BA"/>
    <w:rsid w:val="0043613B"/>
    <w:rsid w:val="004A1173"/>
    <w:rsid w:val="004D7740"/>
    <w:rsid w:val="0057680D"/>
    <w:rsid w:val="005C512F"/>
    <w:rsid w:val="005D47D9"/>
    <w:rsid w:val="006203E1"/>
    <w:rsid w:val="00622FD6"/>
    <w:rsid w:val="006267DD"/>
    <w:rsid w:val="00635D8A"/>
    <w:rsid w:val="00672820"/>
    <w:rsid w:val="00676427"/>
    <w:rsid w:val="006B7A99"/>
    <w:rsid w:val="006C268E"/>
    <w:rsid w:val="006C4A27"/>
    <w:rsid w:val="006E16D4"/>
    <w:rsid w:val="006F10E7"/>
    <w:rsid w:val="006F3CCA"/>
    <w:rsid w:val="006F480D"/>
    <w:rsid w:val="007141B6"/>
    <w:rsid w:val="00714596"/>
    <w:rsid w:val="00731C7F"/>
    <w:rsid w:val="00746CBC"/>
    <w:rsid w:val="0075330A"/>
    <w:rsid w:val="00763EA4"/>
    <w:rsid w:val="007650D7"/>
    <w:rsid w:val="00771F1D"/>
    <w:rsid w:val="00777B17"/>
    <w:rsid w:val="00787A7B"/>
    <w:rsid w:val="00790987"/>
    <w:rsid w:val="00792094"/>
    <w:rsid w:val="00797D08"/>
    <w:rsid w:val="007A0816"/>
    <w:rsid w:val="007B53FD"/>
    <w:rsid w:val="007D257B"/>
    <w:rsid w:val="007D4AB6"/>
    <w:rsid w:val="007F3ED4"/>
    <w:rsid w:val="00816AEC"/>
    <w:rsid w:val="008312D2"/>
    <w:rsid w:val="0085547B"/>
    <w:rsid w:val="00857B8A"/>
    <w:rsid w:val="00865F02"/>
    <w:rsid w:val="00885DAA"/>
    <w:rsid w:val="008965BD"/>
    <w:rsid w:val="008B49F3"/>
    <w:rsid w:val="008C1CFA"/>
    <w:rsid w:val="00902273"/>
    <w:rsid w:val="0091189D"/>
    <w:rsid w:val="009157B2"/>
    <w:rsid w:val="00921534"/>
    <w:rsid w:val="00922452"/>
    <w:rsid w:val="009303A9"/>
    <w:rsid w:val="0094434C"/>
    <w:rsid w:val="0096733B"/>
    <w:rsid w:val="00981F81"/>
    <w:rsid w:val="00982644"/>
    <w:rsid w:val="00997FF7"/>
    <w:rsid w:val="009A7AAC"/>
    <w:rsid w:val="00A0044C"/>
    <w:rsid w:val="00A0313E"/>
    <w:rsid w:val="00A3026C"/>
    <w:rsid w:val="00A40BEC"/>
    <w:rsid w:val="00A652FA"/>
    <w:rsid w:val="00A87C65"/>
    <w:rsid w:val="00A87F93"/>
    <w:rsid w:val="00AD706B"/>
    <w:rsid w:val="00B324DA"/>
    <w:rsid w:val="00B36AE2"/>
    <w:rsid w:val="00B572A7"/>
    <w:rsid w:val="00B6563B"/>
    <w:rsid w:val="00BA0F86"/>
    <w:rsid w:val="00BA4D19"/>
    <w:rsid w:val="00BB302C"/>
    <w:rsid w:val="00BC063D"/>
    <w:rsid w:val="00BE3323"/>
    <w:rsid w:val="00C06E67"/>
    <w:rsid w:val="00C4120C"/>
    <w:rsid w:val="00C541DC"/>
    <w:rsid w:val="00C8008D"/>
    <w:rsid w:val="00C86EB6"/>
    <w:rsid w:val="00CF1F2C"/>
    <w:rsid w:val="00D1370E"/>
    <w:rsid w:val="00D1495B"/>
    <w:rsid w:val="00D21898"/>
    <w:rsid w:val="00D33D40"/>
    <w:rsid w:val="00D569A0"/>
    <w:rsid w:val="00D839F3"/>
    <w:rsid w:val="00D96BB4"/>
    <w:rsid w:val="00DB5BFC"/>
    <w:rsid w:val="00DC48DA"/>
    <w:rsid w:val="00DD7956"/>
    <w:rsid w:val="00E310C0"/>
    <w:rsid w:val="00E879EF"/>
    <w:rsid w:val="00EB7579"/>
    <w:rsid w:val="00EE15C3"/>
    <w:rsid w:val="00EF13D2"/>
    <w:rsid w:val="00EF56F8"/>
    <w:rsid w:val="00F404FE"/>
    <w:rsid w:val="00F65704"/>
    <w:rsid w:val="00F67FA0"/>
    <w:rsid w:val="00F73002"/>
    <w:rsid w:val="00F75748"/>
    <w:rsid w:val="00F91786"/>
    <w:rsid w:val="00FB35D1"/>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FE7A"/>
  <w15:chartTrackingRefBased/>
  <w15:docId w15:val="{38D01C59-3C3A-4D07-A0D8-8BE5479D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534"/>
    <w:pPr>
      <w:spacing w:after="0" w:line="240" w:lineRule="auto"/>
      <w:jc w:val="both"/>
    </w:pPr>
    <w:rPr>
      <w:rFonts w:ascii="Times New Roman" w:hAnsi="Times New Roman" w:cs="Times New Roman"/>
    </w:rPr>
  </w:style>
  <w:style w:type="paragraph" w:styleId="Heading2">
    <w:name w:val="heading 2"/>
    <w:basedOn w:val="Normal"/>
    <w:next w:val="Normal"/>
    <w:link w:val="Heading2Char"/>
    <w:qFormat/>
    <w:rsid w:val="00405F30"/>
    <w:pPr>
      <w:keepNext/>
      <w:outlineLvl w:val="1"/>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079"/>
    <w:pPr>
      <w:ind w:left="720"/>
      <w:contextualSpacing/>
    </w:pPr>
  </w:style>
  <w:style w:type="paragraph" w:styleId="BalloonText">
    <w:name w:val="Balloon Text"/>
    <w:basedOn w:val="Normal"/>
    <w:link w:val="BalloonTextChar"/>
    <w:uiPriority w:val="99"/>
    <w:semiHidden/>
    <w:unhideWhenUsed/>
    <w:rsid w:val="00622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D6"/>
    <w:rPr>
      <w:rFonts w:ascii="Segoe UI" w:hAnsi="Segoe UI" w:cs="Segoe UI"/>
      <w:sz w:val="18"/>
      <w:szCs w:val="18"/>
    </w:rPr>
  </w:style>
  <w:style w:type="character" w:customStyle="1" w:styleId="Heading2Char">
    <w:name w:val="Heading 2 Char"/>
    <w:basedOn w:val="DefaultParagraphFont"/>
    <w:link w:val="Heading2"/>
    <w:rsid w:val="00405F30"/>
    <w:rPr>
      <w:rFonts w:ascii="Times New Roman" w:eastAsia="Times New Roman" w:hAnsi="Times New Roman" w:cs="Times New Roman"/>
      <w:sz w:val="24"/>
      <w:szCs w:val="20"/>
    </w:rPr>
  </w:style>
  <w:style w:type="paragraph" w:styleId="BodyText">
    <w:name w:val="Body Text"/>
    <w:basedOn w:val="Normal"/>
    <w:link w:val="BodyTextChar"/>
    <w:rsid w:val="00405F30"/>
    <w:rPr>
      <w:rFonts w:eastAsia="Times New Roman"/>
      <w:sz w:val="24"/>
      <w:szCs w:val="20"/>
    </w:rPr>
  </w:style>
  <w:style w:type="character" w:customStyle="1" w:styleId="BodyTextChar">
    <w:name w:val="Body Text Char"/>
    <w:basedOn w:val="DefaultParagraphFont"/>
    <w:link w:val="BodyText"/>
    <w:rsid w:val="00405F30"/>
    <w:rPr>
      <w:rFonts w:ascii="Times New Roman" w:eastAsia="Times New Roman" w:hAnsi="Times New Roman" w:cs="Times New Roman"/>
      <w:sz w:val="24"/>
      <w:szCs w:val="20"/>
    </w:rPr>
  </w:style>
  <w:style w:type="paragraph" w:styleId="BodyText2">
    <w:name w:val="Body Text 2"/>
    <w:basedOn w:val="Normal"/>
    <w:link w:val="BodyText2Char"/>
    <w:rsid w:val="00405F30"/>
    <w:rPr>
      <w:rFonts w:eastAsia="Times New Roman"/>
      <w:b/>
      <w:bCs/>
      <w:szCs w:val="20"/>
    </w:rPr>
  </w:style>
  <w:style w:type="character" w:customStyle="1" w:styleId="BodyText2Char">
    <w:name w:val="Body Text 2 Char"/>
    <w:basedOn w:val="DefaultParagraphFont"/>
    <w:link w:val="BodyText2"/>
    <w:rsid w:val="00405F30"/>
    <w:rPr>
      <w:rFonts w:ascii="Times New Roman" w:eastAsia="Times New Roman" w:hAnsi="Times New Roman" w:cs="Times New Roman"/>
      <w:b/>
      <w:bCs/>
      <w:szCs w:val="20"/>
    </w:rPr>
  </w:style>
  <w:style w:type="paragraph" w:styleId="Title">
    <w:name w:val="Title"/>
    <w:basedOn w:val="Normal"/>
    <w:link w:val="TitleChar"/>
    <w:qFormat/>
    <w:rsid w:val="00405F30"/>
    <w:pPr>
      <w:jc w:val="center"/>
    </w:pPr>
    <w:rPr>
      <w:rFonts w:eastAsia="Times New Roman"/>
      <w:b/>
      <w:sz w:val="24"/>
      <w:szCs w:val="24"/>
    </w:rPr>
  </w:style>
  <w:style w:type="character" w:customStyle="1" w:styleId="TitleChar">
    <w:name w:val="Title Char"/>
    <w:basedOn w:val="DefaultParagraphFont"/>
    <w:link w:val="Title"/>
    <w:rsid w:val="00405F30"/>
    <w:rPr>
      <w:rFonts w:ascii="Times New Roman" w:eastAsia="Times New Roman" w:hAnsi="Times New Roman" w:cs="Times New Roman"/>
      <w:b/>
      <w:sz w:val="24"/>
      <w:szCs w:val="24"/>
    </w:rPr>
  </w:style>
  <w:style w:type="paragraph" w:customStyle="1" w:styleId="Default">
    <w:name w:val="Default"/>
    <w:rsid w:val="0040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405F30"/>
    <w:pPr>
      <w:tabs>
        <w:tab w:val="center" w:pos="4680"/>
        <w:tab w:val="right" w:pos="9360"/>
      </w:tabs>
    </w:pPr>
  </w:style>
  <w:style w:type="character" w:customStyle="1" w:styleId="HeaderChar">
    <w:name w:val="Header Char"/>
    <w:basedOn w:val="DefaultParagraphFont"/>
    <w:link w:val="Header"/>
    <w:uiPriority w:val="99"/>
    <w:rsid w:val="00405F30"/>
    <w:rPr>
      <w:rFonts w:ascii="Times New Roman" w:hAnsi="Times New Roman" w:cs="Times New Roman"/>
    </w:rPr>
  </w:style>
  <w:style w:type="paragraph" w:styleId="Footer">
    <w:name w:val="footer"/>
    <w:basedOn w:val="Normal"/>
    <w:link w:val="FooterChar"/>
    <w:unhideWhenUsed/>
    <w:rsid w:val="00405F30"/>
    <w:pPr>
      <w:tabs>
        <w:tab w:val="center" w:pos="4680"/>
        <w:tab w:val="right" w:pos="9360"/>
      </w:tabs>
    </w:pPr>
  </w:style>
  <w:style w:type="character" w:customStyle="1" w:styleId="FooterChar">
    <w:name w:val="Footer Char"/>
    <w:basedOn w:val="DefaultParagraphFont"/>
    <w:link w:val="Footer"/>
    <w:uiPriority w:val="99"/>
    <w:rsid w:val="00405F30"/>
    <w:rPr>
      <w:rFonts w:ascii="Times New Roman" w:hAnsi="Times New Roman" w:cs="Times New Roman"/>
    </w:rPr>
  </w:style>
  <w:style w:type="character" w:styleId="PageNumber">
    <w:name w:val="page number"/>
    <w:basedOn w:val="DefaultParagraphFont"/>
    <w:rsid w:val="0040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B1B5BBC7.dotm</Template>
  <TotalTime>2036</TotalTime>
  <Pages>9</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Pinegar, Jim</dc:creator>
  <cp:keywords/>
  <dc:description/>
  <cp:lastModifiedBy>Sediqzad, Fatima</cp:lastModifiedBy>
  <cp:revision>93</cp:revision>
  <dcterms:created xsi:type="dcterms:W3CDTF">2019-09-03T18:28:00Z</dcterms:created>
  <dcterms:modified xsi:type="dcterms:W3CDTF">2020-07-22T19:26:00Z</dcterms:modified>
</cp:coreProperties>
</file>