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54733DA" w:rsidR="002A1316" w:rsidRPr="00110ACD" w:rsidRDefault="002A1316" w:rsidP="00B30CA0">
      <w:pPr>
        <w:pStyle w:val="Heading2"/>
        <w:rPr>
          <w:bCs/>
          <w:i/>
          <w:iCs/>
          <w:sz w:val="22"/>
          <w:szCs w:val="22"/>
        </w:rPr>
      </w:pPr>
      <w:r w:rsidRPr="00016321">
        <w:rPr>
          <w:b/>
          <w:sz w:val="22"/>
          <w:szCs w:val="22"/>
        </w:rPr>
        <w:t>Issue:</w:t>
      </w:r>
      <w:r w:rsidR="00EC61F1" w:rsidRPr="00016321">
        <w:rPr>
          <w:b/>
          <w:sz w:val="22"/>
          <w:szCs w:val="22"/>
        </w:rPr>
        <w:t xml:space="preserve"> </w:t>
      </w:r>
      <w:r w:rsidR="00E76C7C" w:rsidRPr="00110ACD">
        <w:rPr>
          <w:bCs/>
          <w:i/>
          <w:iCs/>
          <w:sz w:val="22"/>
          <w:szCs w:val="22"/>
        </w:rPr>
        <w:t>ASU 2019-09</w:t>
      </w:r>
      <w:r w:rsidR="00110ACD" w:rsidRPr="00110ACD">
        <w:rPr>
          <w:bCs/>
          <w:i/>
          <w:iCs/>
          <w:sz w:val="22"/>
          <w:szCs w:val="22"/>
        </w:rPr>
        <w:t xml:space="preserve">, </w:t>
      </w:r>
      <w:r w:rsidR="00E76C7C" w:rsidRPr="00110ACD">
        <w:rPr>
          <w:bCs/>
          <w:i/>
          <w:iCs/>
          <w:sz w:val="22"/>
          <w:szCs w:val="22"/>
        </w:rPr>
        <w:t>Financial Services – Insurance; Effective Date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71B71">
        <w:rPr>
          <w:sz w:val="22"/>
          <w:szCs w:val="22"/>
        </w:rPr>
      </w:r>
      <w:r w:rsidR="00D71B71">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6A35E0B0" w14:textId="77777777" w:rsidR="00251120" w:rsidRDefault="002A1316" w:rsidP="00110ACD">
      <w:pPr>
        <w:pStyle w:val="BodyText2"/>
        <w:rPr>
          <w:b w:val="0"/>
          <w:bCs w:val="0"/>
          <w:szCs w:val="22"/>
        </w:rPr>
      </w:pPr>
      <w:r w:rsidRPr="00016321">
        <w:rPr>
          <w:bCs w:val="0"/>
          <w:szCs w:val="22"/>
        </w:rPr>
        <w:t>Description of Issue:</w:t>
      </w:r>
      <w:r w:rsidR="00110ACD" w:rsidRPr="00110ACD">
        <w:rPr>
          <w:b w:val="0"/>
          <w:bCs w:val="0"/>
          <w:szCs w:val="22"/>
        </w:rPr>
        <w:t xml:space="preserve"> </w:t>
      </w:r>
      <w:r w:rsidR="00110ACD">
        <w:rPr>
          <w:b w:val="0"/>
          <w:bCs w:val="0"/>
          <w:szCs w:val="22"/>
        </w:rPr>
        <w:t xml:space="preserve">FASB </w:t>
      </w:r>
      <w:r w:rsidR="00110ACD" w:rsidRPr="00B575EF">
        <w:rPr>
          <w:b w:val="0"/>
          <w:bCs w:val="0"/>
          <w:szCs w:val="22"/>
        </w:rPr>
        <w:t>issued</w:t>
      </w:r>
      <w:r w:rsidR="00110ACD">
        <w:rPr>
          <w:b w:val="0"/>
          <w:bCs w:val="0"/>
          <w:szCs w:val="22"/>
        </w:rPr>
        <w:t xml:space="preserve"> </w:t>
      </w:r>
      <w:r w:rsidR="00110ACD" w:rsidRPr="00D46BF2">
        <w:rPr>
          <w:b w:val="0"/>
          <w:bCs w:val="0"/>
          <w:i/>
          <w:iCs/>
          <w:szCs w:val="22"/>
        </w:rPr>
        <w:t>ASU 201</w:t>
      </w:r>
      <w:r w:rsidR="00110ACD">
        <w:rPr>
          <w:b w:val="0"/>
          <w:bCs w:val="0"/>
          <w:i/>
          <w:iCs/>
          <w:szCs w:val="22"/>
        </w:rPr>
        <w:t>9</w:t>
      </w:r>
      <w:r w:rsidR="00110ACD" w:rsidRPr="00D46BF2">
        <w:rPr>
          <w:b w:val="0"/>
          <w:bCs w:val="0"/>
          <w:i/>
          <w:iCs/>
          <w:szCs w:val="22"/>
        </w:rPr>
        <w:t>-</w:t>
      </w:r>
      <w:r w:rsidR="00110ACD">
        <w:rPr>
          <w:b w:val="0"/>
          <w:bCs w:val="0"/>
          <w:i/>
          <w:iCs/>
          <w:szCs w:val="22"/>
        </w:rPr>
        <w:t>09</w:t>
      </w:r>
      <w:r w:rsidR="00E44BC6">
        <w:rPr>
          <w:b w:val="0"/>
          <w:bCs w:val="0"/>
          <w:i/>
          <w:iCs/>
          <w:szCs w:val="22"/>
        </w:rPr>
        <w:t xml:space="preserve">, </w:t>
      </w:r>
      <w:r w:rsidR="00110ACD">
        <w:rPr>
          <w:b w:val="0"/>
          <w:bCs w:val="0"/>
          <w:i/>
          <w:iCs/>
          <w:szCs w:val="22"/>
        </w:rPr>
        <w:t>Financial Services –</w:t>
      </w:r>
      <w:r w:rsidR="00110ACD" w:rsidRPr="00E44BC6">
        <w:rPr>
          <w:b w:val="0"/>
          <w:bCs w:val="0"/>
          <w:szCs w:val="22"/>
        </w:rPr>
        <w:t xml:space="preserve"> </w:t>
      </w:r>
      <w:r w:rsidR="00E44BC6" w:rsidRPr="00E44BC6">
        <w:rPr>
          <w:b w:val="0"/>
          <w:bCs w:val="0"/>
          <w:i/>
          <w:iCs/>
          <w:szCs w:val="22"/>
        </w:rPr>
        <w:t>Insurance</w:t>
      </w:r>
      <w:r w:rsidR="00E44BC6" w:rsidRPr="00E44BC6">
        <w:rPr>
          <w:b w:val="0"/>
          <w:bCs w:val="0"/>
          <w:szCs w:val="22"/>
        </w:rPr>
        <w:t xml:space="preserve"> </w:t>
      </w:r>
      <w:r w:rsidR="00110ACD" w:rsidRPr="00E44BC6">
        <w:rPr>
          <w:b w:val="0"/>
          <w:bCs w:val="0"/>
          <w:szCs w:val="22"/>
        </w:rPr>
        <w:t xml:space="preserve">to defer the effective date of the amendments in </w:t>
      </w:r>
      <w:r w:rsidR="00E44BC6" w:rsidRPr="00342093">
        <w:rPr>
          <w:b w:val="0"/>
          <w:i/>
          <w:szCs w:val="22"/>
        </w:rPr>
        <w:t>ASU 2018-12, Targeted Improvements to the Accounting for Long-Duration Contracts</w:t>
      </w:r>
      <w:r w:rsidR="00E44BC6">
        <w:rPr>
          <w:b w:val="0"/>
          <w:bCs w:val="0"/>
          <w:szCs w:val="22"/>
        </w:rPr>
        <w:t xml:space="preserve">. </w:t>
      </w:r>
    </w:p>
    <w:p w14:paraId="1AF6BAA2" w14:textId="77777777" w:rsidR="00251120" w:rsidRPr="00AD2FB5" w:rsidRDefault="00251120" w:rsidP="00110ACD">
      <w:pPr>
        <w:pStyle w:val="BodyText2"/>
        <w:rPr>
          <w:b w:val="0"/>
          <w:bCs w:val="0"/>
          <w:szCs w:val="22"/>
        </w:rPr>
      </w:pPr>
    </w:p>
    <w:p w14:paraId="08FC7AEE" w14:textId="2FF9BDE5" w:rsidR="00E44BC6" w:rsidRDefault="00E44BC6" w:rsidP="00110ACD">
      <w:pPr>
        <w:pStyle w:val="BodyText2"/>
        <w:rPr>
          <w:b w:val="0"/>
          <w:szCs w:val="22"/>
        </w:rPr>
      </w:pPr>
      <w:r w:rsidRPr="00AD2FB5">
        <w:rPr>
          <w:b w:val="0"/>
          <w:bCs w:val="0"/>
          <w:szCs w:val="22"/>
        </w:rPr>
        <w:t>ASU 2018-12</w:t>
      </w:r>
      <w:r w:rsidRPr="00251120">
        <w:rPr>
          <w:b w:val="0"/>
          <w:bCs w:val="0"/>
          <w:i/>
          <w:iCs/>
          <w:szCs w:val="22"/>
        </w:rPr>
        <w:t xml:space="preserve"> </w:t>
      </w:r>
      <w:r w:rsidR="00923043">
        <w:rPr>
          <w:b w:val="0"/>
          <w:bCs w:val="0"/>
          <w:szCs w:val="22"/>
        </w:rPr>
        <w:t>was issued to</w:t>
      </w:r>
      <w:r w:rsidR="00923043">
        <w:rPr>
          <w:b w:val="0"/>
          <w:szCs w:val="22"/>
        </w:rPr>
        <w:t xml:space="preserve"> improve U.S. GAAP recognition, measurement, presentation and disclosure requirements for long-duration contracts issued by an insurance entity.</w:t>
      </w:r>
      <w:r w:rsidR="00027431">
        <w:rPr>
          <w:b w:val="0"/>
          <w:szCs w:val="22"/>
        </w:rPr>
        <w:t xml:space="preserve"> ASU </w:t>
      </w:r>
      <w:r w:rsidR="00015679">
        <w:rPr>
          <w:b w:val="0"/>
          <w:szCs w:val="22"/>
        </w:rPr>
        <w:t xml:space="preserve">2018-12 </w:t>
      </w:r>
      <w:r w:rsidR="00027431">
        <w:rPr>
          <w:b w:val="0"/>
          <w:szCs w:val="22"/>
        </w:rPr>
        <w:t xml:space="preserve">had four </w:t>
      </w:r>
      <w:r w:rsidR="00B95E84">
        <w:rPr>
          <w:b w:val="0"/>
          <w:szCs w:val="22"/>
        </w:rPr>
        <w:t>primary areas of focus:</w:t>
      </w:r>
    </w:p>
    <w:p w14:paraId="3A2315B3" w14:textId="711CEE62" w:rsidR="00B95E84" w:rsidRDefault="00B95E84" w:rsidP="00110ACD">
      <w:pPr>
        <w:pStyle w:val="BodyText2"/>
        <w:rPr>
          <w:b w:val="0"/>
          <w:szCs w:val="22"/>
        </w:rPr>
      </w:pPr>
    </w:p>
    <w:p w14:paraId="7DF218FD" w14:textId="7C383AB6" w:rsidR="00B95E84" w:rsidRPr="00EC5BFE" w:rsidRDefault="00B95E84" w:rsidP="00B95E84">
      <w:pPr>
        <w:pStyle w:val="BodyText2"/>
        <w:numPr>
          <w:ilvl w:val="0"/>
          <w:numId w:val="26"/>
        </w:numPr>
        <w:rPr>
          <w:b w:val="0"/>
          <w:bCs w:val="0"/>
          <w:szCs w:val="22"/>
        </w:rPr>
      </w:pPr>
      <w:r>
        <w:rPr>
          <w:b w:val="0"/>
          <w:bCs w:val="0"/>
          <w:szCs w:val="22"/>
        </w:rPr>
        <w:t xml:space="preserve">Assumptions - </w:t>
      </w:r>
      <w:r w:rsidRPr="00674D9C">
        <w:rPr>
          <w:b w:val="0"/>
          <w:color w:val="000000" w:themeColor="text1"/>
        </w:rPr>
        <w:t>requires assumptions to be updated</w:t>
      </w:r>
      <w:r>
        <w:rPr>
          <w:b w:val="0"/>
          <w:color w:val="000000" w:themeColor="text1"/>
        </w:rPr>
        <w:t>, and eliminates the U.S. GAAP provisions for risk of adverse deviation and premium deficiency testing</w:t>
      </w:r>
      <w:r w:rsidR="005F3ABB">
        <w:rPr>
          <w:b w:val="0"/>
          <w:color w:val="000000" w:themeColor="text1"/>
        </w:rPr>
        <w:t>.</w:t>
      </w:r>
    </w:p>
    <w:p w14:paraId="14316330" w14:textId="77777777" w:rsidR="00EC5BFE" w:rsidRPr="00B95E84" w:rsidRDefault="00EC5BFE" w:rsidP="00026F08">
      <w:pPr>
        <w:pStyle w:val="BodyText2"/>
        <w:ind w:left="720"/>
        <w:rPr>
          <w:b w:val="0"/>
          <w:bCs w:val="0"/>
          <w:szCs w:val="22"/>
        </w:rPr>
      </w:pPr>
    </w:p>
    <w:p w14:paraId="75E3CC6F" w14:textId="286C0AC6" w:rsidR="00B95E84" w:rsidRPr="00B95E84" w:rsidRDefault="00B95E84" w:rsidP="00B95E84">
      <w:pPr>
        <w:pStyle w:val="BodyText2"/>
        <w:numPr>
          <w:ilvl w:val="0"/>
          <w:numId w:val="26"/>
        </w:numPr>
        <w:rPr>
          <w:b w:val="0"/>
          <w:bCs w:val="0"/>
          <w:szCs w:val="22"/>
        </w:rPr>
      </w:pPr>
      <w:r>
        <w:rPr>
          <w:b w:val="0"/>
          <w:color w:val="000000" w:themeColor="text1"/>
        </w:rPr>
        <w:t>Market Risk Benefits –</w:t>
      </w:r>
      <w:r w:rsidR="00015679">
        <w:rPr>
          <w:b w:val="0"/>
          <w:color w:val="000000" w:themeColor="text1"/>
        </w:rPr>
        <w:t xml:space="preserve"> </w:t>
      </w:r>
      <w:r w:rsidRPr="00674D9C">
        <w:rPr>
          <w:b w:val="0"/>
          <w:color w:val="000000" w:themeColor="text1"/>
        </w:rPr>
        <w:t xml:space="preserve">requires </w:t>
      </w:r>
      <w:r>
        <w:rPr>
          <w:b w:val="0"/>
          <w:color w:val="000000" w:themeColor="text1"/>
        </w:rPr>
        <w:t>all market risk benefits associated with deposit (or account balance contracts) to be measured at fair value</w:t>
      </w:r>
      <w:r w:rsidR="005F3ABB">
        <w:rPr>
          <w:b w:val="0"/>
          <w:color w:val="000000" w:themeColor="text1"/>
        </w:rPr>
        <w:t>.</w:t>
      </w:r>
    </w:p>
    <w:p w14:paraId="13D76968" w14:textId="77777777" w:rsidR="00EC5BFE" w:rsidRPr="00EC5BFE" w:rsidRDefault="00EC5BFE" w:rsidP="00EC5BFE">
      <w:pPr>
        <w:pStyle w:val="BodyText2"/>
        <w:ind w:left="720"/>
        <w:rPr>
          <w:b w:val="0"/>
          <w:bCs w:val="0"/>
          <w:szCs w:val="22"/>
        </w:rPr>
      </w:pPr>
    </w:p>
    <w:p w14:paraId="23722714" w14:textId="45B6E0B5" w:rsidR="00015679" w:rsidRDefault="00B95E84" w:rsidP="00015679">
      <w:pPr>
        <w:pStyle w:val="BodyText2"/>
        <w:numPr>
          <w:ilvl w:val="0"/>
          <w:numId w:val="26"/>
        </w:numPr>
        <w:rPr>
          <w:b w:val="0"/>
          <w:bCs w:val="0"/>
          <w:szCs w:val="22"/>
        </w:rPr>
      </w:pPr>
      <w:r>
        <w:rPr>
          <w:b w:val="0"/>
          <w:color w:val="000000" w:themeColor="text1"/>
        </w:rPr>
        <w:t>Deferred Acquisition</w:t>
      </w:r>
      <w:r w:rsidRPr="00B95E84">
        <w:rPr>
          <w:b w:val="0"/>
          <w:color w:val="000000" w:themeColor="text1"/>
        </w:rPr>
        <w:t xml:space="preserve"> </w:t>
      </w:r>
      <w:r>
        <w:rPr>
          <w:b w:val="0"/>
          <w:color w:val="000000" w:themeColor="text1"/>
        </w:rPr>
        <w:t>Costs -</w:t>
      </w:r>
      <w:r w:rsidRPr="00F23808">
        <w:rPr>
          <w:b w:val="0"/>
          <w:color w:val="000000" w:themeColor="text1"/>
        </w:rPr>
        <w:t xml:space="preserve"> requires that deferred acquisition costs be amortized </w:t>
      </w:r>
      <w:r w:rsidR="00251120">
        <w:rPr>
          <w:b w:val="0"/>
          <w:color w:val="000000" w:themeColor="text1"/>
        </w:rPr>
        <w:t>on</w:t>
      </w:r>
      <w:r w:rsidRPr="00F23808">
        <w:rPr>
          <w:b w:val="0"/>
          <w:color w:val="000000" w:themeColor="text1"/>
        </w:rPr>
        <w:t xml:space="preserve"> a constant basis over the expected life of the contract.</w:t>
      </w:r>
    </w:p>
    <w:p w14:paraId="1B806426" w14:textId="77777777" w:rsidR="00EC5BFE" w:rsidRDefault="00EC5BFE" w:rsidP="00EC5BFE">
      <w:pPr>
        <w:pStyle w:val="BodyText2"/>
        <w:ind w:left="720"/>
        <w:rPr>
          <w:b w:val="0"/>
          <w:bCs w:val="0"/>
          <w:szCs w:val="22"/>
        </w:rPr>
      </w:pPr>
    </w:p>
    <w:p w14:paraId="19D96222" w14:textId="49F3729A" w:rsidR="00015679" w:rsidRPr="00015679" w:rsidRDefault="00015679" w:rsidP="00015679">
      <w:pPr>
        <w:pStyle w:val="BodyText2"/>
        <w:numPr>
          <w:ilvl w:val="0"/>
          <w:numId w:val="26"/>
        </w:numPr>
        <w:rPr>
          <w:b w:val="0"/>
          <w:bCs w:val="0"/>
          <w:szCs w:val="22"/>
        </w:rPr>
      </w:pPr>
      <w:r w:rsidRPr="00015679">
        <w:rPr>
          <w:b w:val="0"/>
          <w:bCs w:val="0"/>
          <w:szCs w:val="22"/>
        </w:rPr>
        <w:t xml:space="preserve">Disclosures - </w:t>
      </w:r>
      <w:r w:rsidRPr="00015679">
        <w:rPr>
          <w:b w:val="0"/>
          <w:color w:val="000000" w:themeColor="text1"/>
        </w:rPr>
        <w:t xml:space="preserve">requires new disclosures, predominantly in the form of rollforwards, to enable users to evaluate the amount, timing and uncertainty of cash flows arising from long-duration contracts. </w:t>
      </w:r>
    </w:p>
    <w:p w14:paraId="2CEAFE88" w14:textId="4E337FF9" w:rsidR="00251120" w:rsidRDefault="00251120" w:rsidP="00015679">
      <w:pPr>
        <w:pStyle w:val="BodyText2"/>
        <w:ind w:left="720"/>
        <w:rPr>
          <w:b w:val="0"/>
          <w:bCs w:val="0"/>
          <w:szCs w:val="22"/>
        </w:rPr>
      </w:pPr>
    </w:p>
    <w:p w14:paraId="28830C6A" w14:textId="77777777" w:rsidR="00251120" w:rsidRPr="00016321" w:rsidRDefault="00251120" w:rsidP="00251120">
      <w:pPr>
        <w:pStyle w:val="BodyText2"/>
        <w:rPr>
          <w:b w:val="0"/>
          <w:bCs w:val="0"/>
          <w:szCs w:val="22"/>
        </w:rPr>
      </w:pPr>
      <w:r>
        <w:rPr>
          <w:b w:val="0"/>
          <w:bCs w:val="0"/>
          <w:szCs w:val="22"/>
        </w:rPr>
        <w:t>Early adoption is permitted, however for most public entities ASU 2018-12 is now effective for fiscal years beginning after December 15, 2021. For all other entities, the effective date is for fiscal years beginning after December 15, 2023.</w:t>
      </w:r>
    </w:p>
    <w:p w14:paraId="28C141C2" w14:textId="77777777" w:rsidR="00251120" w:rsidRDefault="00251120" w:rsidP="00015679">
      <w:pPr>
        <w:pStyle w:val="BodyText2"/>
        <w:ind w:left="720"/>
        <w:rPr>
          <w:b w:val="0"/>
          <w:bCs w:val="0"/>
          <w:szCs w:val="22"/>
        </w:rPr>
      </w:pPr>
    </w:p>
    <w:p w14:paraId="76B916A8" w14:textId="541D0BF3" w:rsidR="00E44BC6" w:rsidRPr="007D0D9C" w:rsidRDefault="00EE16B1" w:rsidP="00110ACD">
      <w:pPr>
        <w:pStyle w:val="BodyText2"/>
        <w:rPr>
          <w:bCs w:val="0"/>
          <w:iCs/>
          <w:szCs w:val="22"/>
        </w:rPr>
      </w:pPr>
      <w:r>
        <w:rPr>
          <w:b w:val="0"/>
          <w:bCs w:val="0"/>
          <w:szCs w:val="22"/>
        </w:rPr>
        <w:t xml:space="preserve">While </w:t>
      </w:r>
      <w:r w:rsidR="00385786">
        <w:rPr>
          <w:b w:val="0"/>
          <w:bCs w:val="0"/>
          <w:szCs w:val="22"/>
        </w:rPr>
        <w:t>minor edits were adopted to the Preamble,</w:t>
      </w:r>
      <w:r w:rsidR="00385786" w:rsidRPr="001D32B0">
        <w:rPr>
          <w:b w:val="0"/>
          <w:iCs/>
          <w:szCs w:val="22"/>
        </w:rPr>
        <w:t xml:space="preserve"> </w:t>
      </w:r>
      <w:r w:rsidR="00385786" w:rsidRPr="00385786">
        <w:rPr>
          <w:bCs w:val="0"/>
          <w:i/>
          <w:szCs w:val="22"/>
        </w:rPr>
        <w:t>ASU 2018-12</w:t>
      </w:r>
      <w:r w:rsidR="00385786" w:rsidRPr="00385786">
        <w:rPr>
          <w:bCs w:val="0"/>
          <w:iCs/>
          <w:szCs w:val="22"/>
        </w:rPr>
        <w:t xml:space="preserve"> was </w:t>
      </w:r>
      <w:r w:rsidR="00385786" w:rsidRPr="00B37D24">
        <w:rPr>
          <w:bCs w:val="0"/>
          <w:iCs/>
          <w:szCs w:val="22"/>
          <w:u w:val="single"/>
        </w:rPr>
        <w:t>rejected for statutory accounting</w:t>
      </w:r>
      <w:r w:rsidR="00385786">
        <w:rPr>
          <w:bCs w:val="0"/>
          <w:iCs/>
          <w:szCs w:val="22"/>
        </w:rPr>
        <w:t xml:space="preserve">. </w:t>
      </w:r>
      <w:r w:rsidR="007D0D9C" w:rsidRPr="007D0D9C">
        <w:rPr>
          <w:bCs w:val="0"/>
          <w:iCs/>
          <w:szCs w:val="22"/>
        </w:rPr>
        <w:t xml:space="preserve">The sole function of </w:t>
      </w:r>
      <w:r w:rsidR="00385786" w:rsidRPr="007D0D9C">
        <w:rPr>
          <w:bCs w:val="0"/>
          <w:iCs/>
          <w:szCs w:val="22"/>
        </w:rPr>
        <w:t xml:space="preserve">ASU 2019-09 </w:t>
      </w:r>
      <w:r w:rsidR="007D0D9C" w:rsidRPr="007D0D9C">
        <w:rPr>
          <w:bCs w:val="0"/>
          <w:iCs/>
          <w:szCs w:val="22"/>
        </w:rPr>
        <w:t>is to extend the effective date for ASU 2018-12.</w:t>
      </w:r>
    </w:p>
    <w:p w14:paraId="66D6C9B3" w14:textId="66CC2C09" w:rsidR="00E44BC6" w:rsidRDefault="00E44BC6" w:rsidP="00110ACD">
      <w:pPr>
        <w:pStyle w:val="BodyText2"/>
        <w:rPr>
          <w:b w:val="0"/>
          <w:bCs w:val="0"/>
          <w:szCs w:val="22"/>
        </w:rPr>
      </w:pPr>
    </w:p>
    <w:p w14:paraId="30375C05" w14:textId="44E2FE06" w:rsidR="0003170E" w:rsidRPr="0003170E" w:rsidRDefault="002A1316" w:rsidP="00B30CA0">
      <w:pPr>
        <w:pStyle w:val="BodyText2"/>
        <w:rPr>
          <w:bCs w:val="0"/>
          <w:szCs w:val="22"/>
        </w:rPr>
      </w:pPr>
      <w:r w:rsidRPr="00016321">
        <w:rPr>
          <w:bCs w:val="0"/>
          <w:szCs w:val="22"/>
        </w:rPr>
        <w:t>Existing Authoritative Literature:</w:t>
      </w:r>
      <w:r w:rsidR="0003170E">
        <w:rPr>
          <w:bCs w:val="0"/>
          <w:szCs w:val="22"/>
        </w:rPr>
        <w:t xml:space="preserve"> </w:t>
      </w:r>
      <w:r w:rsidR="0003170E" w:rsidRPr="0003170E">
        <w:rPr>
          <w:b w:val="0"/>
          <w:szCs w:val="22"/>
        </w:rPr>
        <w:t xml:space="preserve">As previously noted, ASU 2018-12 was rejected for statutory accounting. </w:t>
      </w:r>
    </w:p>
    <w:p w14:paraId="232D4AE0" w14:textId="1B9E3AA2" w:rsidR="0003170E" w:rsidRDefault="0003170E" w:rsidP="00B30CA0">
      <w:pPr>
        <w:pStyle w:val="BodyText2"/>
        <w:rPr>
          <w:bCs w:val="0"/>
          <w:szCs w:val="22"/>
        </w:rPr>
      </w:pPr>
    </w:p>
    <w:p w14:paraId="37EB7065" w14:textId="28101B18" w:rsidR="00DB6291" w:rsidRDefault="0003170E" w:rsidP="0003170E">
      <w:pPr>
        <w:pStyle w:val="ListContinue"/>
        <w:rPr>
          <w:bCs/>
          <w:szCs w:val="22"/>
        </w:rPr>
      </w:pPr>
      <w:r>
        <w:rPr>
          <w:bCs/>
          <w:szCs w:val="22"/>
        </w:rPr>
        <w:t>R</w:t>
      </w:r>
      <w:r w:rsidRPr="002B4BBA">
        <w:rPr>
          <w:bCs/>
          <w:szCs w:val="22"/>
        </w:rPr>
        <w:t xml:space="preserve">eferences from Appendix D – Cross-Reference to SAP: </w:t>
      </w:r>
    </w:p>
    <w:tbl>
      <w:tblPr>
        <w:tblStyle w:val="TableGrid"/>
        <w:tblW w:w="0" w:type="auto"/>
        <w:tblLook w:val="04A0" w:firstRow="1" w:lastRow="0" w:firstColumn="1" w:lastColumn="0" w:noHBand="0" w:noVBand="1"/>
      </w:tblPr>
      <w:tblGrid>
        <w:gridCol w:w="1707"/>
        <w:gridCol w:w="3688"/>
        <w:gridCol w:w="994"/>
        <w:gridCol w:w="1271"/>
        <w:gridCol w:w="2250"/>
      </w:tblGrid>
      <w:tr w:rsidR="00542C3C" w14:paraId="4EB897C9" w14:textId="77777777" w:rsidTr="001B7A4A">
        <w:tc>
          <w:tcPr>
            <w:tcW w:w="1707" w:type="dxa"/>
          </w:tcPr>
          <w:p w14:paraId="46D4305A" w14:textId="22FA8321" w:rsidR="00542C3C" w:rsidRPr="00DB6291" w:rsidRDefault="00542C3C" w:rsidP="00DB6291">
            <w:pPr>
              <w:pStyle w:val="ListContinue"/>
              <w:jc w:val="center"/>
              <w:rPr>
                <w:b/>
                <w:szCs w:val="22"/>
              </w:rPr>
            </w:pPr>
            <w:r w:rsidRPr="00DB6291">
              <w:rPr>
                <w:b/>
                <w:szCs w:val="22"/>
              </w:rPr>
              <w:t>GAAP Pronouncement</w:t>
            </w:r>
          </w:p>
        </w:tc>
        <w:tc>
          <w:tcPr>
            <w:tcW w:w="3688" w:type="dxa"/>
          </w:tcPr>
          <w:p w14:paraId="554FC0EA" w14:textId="49031802" w:rsidR="00542C3C" w:rsidRPr="00DB6291" w:rsidRDefault="00542C3C" w:rsidP="00DB6291">
            <w:pPr>
              <w:pStyle w:val="ListContinue"/>
              <w:jc w:val="center"/>
              <w:rPr>
                <w:b/>
                <w:szCs w:val="22"/>
              </w:rPr>
            </w:pPr>
            <w:r w:rsidRPr="00DB6291">
              <w:rPr>
                <w:b/>
                <w:szCs w:val="22"/>
              </w:rPr>
              <w:t>Name</w:t>
            </w:r>
          </w:p>
        </w:tc>
        <w:tc>
          <w:tcPr>
            <w:tcW w:w="889" w:type="dxa"/>
          </w:tcPr>
          <w:p w14:paraId="6FA8B123" w14:textId="1FA9EC0A" w:rsidR="00542C3C" w:rsidRPr="00DB6291" w:rsidRDefault="00542C3C" w:rsidP="00DB6291">
            <w:pPr>
              <w:pStyle w:val="ListContinue"/>
              <w:jc w:val="center"/>
              <w:rPr>
                <w:b/>
                <w:szCs w:val="22"/>
              </w:rPr>
            </w:pPr>
            <w:r w:rsidRPr="00DB6291">
              <w:rPr>
                <w:b/>
                <w:szCs w:val="22"/>
              </w:rPr>
              <w:t>Status</w:t>
            </w:r>
          </w:p>
        </w:tc>
        <w:tc>
          <w:tcPr>
            <w:tcW w:w="1271" w:type="dxa"/>
          </w:tcPr>
          <w:p w14:paraId="35A08DA4" w14:textId="3C3F99DF" w:rsidR="00542C3C" w:rsidRPr="00DB6291" w:rsidRDefault="00542C3C" w:rsidP="00DB6291">
            <w:pPr>
              <w:pStyle w:val="ListContinue"/>
              <w:jc w:val="center"/>
              <w:rPr>
                <w:b/>
                <w:szCs w:val="22"/>
              </w:rPr>
            </w:pPr>
            <w:r w:rsidRPr="00DB6291">
              <w:rPr>
                <w:b/>
                <w:szCs w:val="22"/>
              </w:rPr>
              <w:t>Disposition</w:t>
            </w:r>
          </w:p>
        </w:tc>
        <w:tc>
          <w:tcPr>
            <w:tcW w:w="2250" w:type="dxa"/>
          </w:tcPr>
          <w:p w14:paraId="6B66A537" w14:textId="54365F1F" w:rsidR="00542C3C" w:rsidRPr="00DB6291" w:rsidRDefault="00542C3C" w:rsidP="00DB6291">
            <w:pPr>
              <w:pStyle w:val="ListContinue"/>
              <w:jc w:val="center"/>
              <w:rPr>
                <w:b/>
                <w:szCs w:val="22"/>
              </w:rPr>
            </w:pPr>
            <w:r w:rsidRPr="00DB6291">
              <w:rPr>
                <w:b/>
                <w:szCs w:val="22"/>
              </w:rPr>
              <w:t>Statutory Reference</w:t>
            </w:r>
          </w:p>
        </w:tc>
      </w:tr>
      <w:tr w:rsidR="00542C3C" w14:paraId="006A1B14" w14:textId="77777777" w:rsidTr="001B7A4A">
        <w:trPr>
          <w:trHeight w:val="998"/>
        </w:trPr>
        <w:tc>
          <w:tcPr>
            <w:tcW w:w="1707" w:type="dxa"/>
          </w:tcPr>
          <w:p w14:paraId="20D5BCC0" w14:textId="6CA1A13C" w:rsidR="00542C3C" w:rsidRPr="00DB6291" w:rsidRDefault="00542C3C" w:rsidP="00542C3C">
            <w:pPr>
              <w:pStyle w:val="ListContinue"/>
              <w:jc w:val="center"/>
              <w:rPr>
                <w:b/>
                <w:szCs w:val="22"/>
              </w:rPr>
            </w:pPr>
            <w:r>
              <w:rPr>
                <w:sz w:val="20"/>
              </w:rPr>
              <w:t>2018-12</w:t>
            </w:r>
          </w:p>
        </w:tc>
        <w:tc>
          <w:tcPr>
            <w:tcW w:w="3688" w:type="dxa"/>
          </w:tcPr>
          <w:p w14:paraId="42B6C6A6" w14:textId="0FB36666" w:rsidR="00542C3C" w:rsidRPr="00DB6291" w:rsidRDefault="00542C3C" w:rsidP="001B7A4A">
            <w:pPr>
              <w:pStyle w:val="ListContinue"/>
              <w:jc w:val="center"/>
              <w:rPr>
                <w:b/>
                <w:szCs w:val="22"/>
              </w:rPr>
            </w:pPr>
            <w:r w:rsidRPr="006F49FC">
              <w:rPr>
                <w:sz w:val="20"/>
              </w:rPr>
              <w:t>Financial Services—Insurance (Topic 944): Targeted Improvements to the Accounting for Long-Duration Contracts</w:t>
            </w:r>
          </w:p>
        </w:tc>
        <w:tc>
          <w:tcPr>
            <w:tcW w:w="889" w:type="dxa"/>
          </w:tcPr>
          <w:p w14:paraId="78EFB148" w14:textId="706C043C" w:rsidR="00542C3C" w:rsidRPr="00DB6291" w:rsidRDefault="00542C3C" w:rsidP="00542C3C">
            <w:pPr>
              <w:pStyle w:val="ListContinue"/>
              <w:jc w:val="center"/>
              <w:rPr>
                <w:b/>
                <w:szCs w:val="22"/>
              </w:rPr>
            </w:pPr>
            <w:r>
              <w:rPr>
                <w:sz w:val="20"/>
              </w:rPr>
              <w:t>Complete</w:t>
            </w:r>
          </w:p>
        </w:tc>
        <w:tc>
          <w:tcPr>
            <w:tcW w:w="1271" w:type="dxa"/>
          </w:tcPr>
          <w:p w14:paraId="1E711556" w14:textId="7AEB5FF0" w:rsidR="00542C3C" w:rsidRPr="00DB6291" w:rsidRDefault="00542C3C" w:rsidP="00542C3C">
            <w:pPr>
              <w:pStyle w:val="ListContinue"/>
              <w:jc w:val="center"/>
              <w:rPr>
                <w:b/>
                <w:szCs w:val="22"/>
              </w:rPr>
            </w:pPr>
            <w:r>
              <w:rPr>
                <w:sz w:val="20"/>
              </w:rPr>
              <w:t>Reject</w:t>
            </w:r>
          </w:p>
        </w:tc>
        <w:tc>
          <w:tcPr>
            <w:tcW w:w="2250" w:type="dxa"/>
          </w:tcPr>
          <w:p w14:paraId="32CC7AFE" w14:textId="77777777" w:rsidR="00542C3C" w:rsidRDefault="00542C3C" w:rsidP="00542C3C">
            <w:pPr>
              <w:jc w:val="center"/>
              <w:rPr>
                <w:sz w:val="20"/>
              </w:rPr>
            </w:pPr>
            <w:r>
              <w:rPr>
                <w:sz w:val="20"/>
              </w:rPr>
              <w:t>Preamble</w:t>
            </w:r>
          </w:p>
          <w:p w14:paraId="734C5995" w14:textId="69971F0A" w:rsidR="00542C3C" w:rsidRPr="00DB6291" w:rsidRDefault="00542C3C" w:rsidP="00542C3C">
            <w:pPr>
              <w:pStyle w:val="ListContinue"/>
              <w:jc w:val="center"/>
              <w:rPr>
                <w:b/>
                <w:szCs w:val="22"/>
              </w:rPr>
            </w:pPr>
            <w:r>
              <w:rPr>
                <w:sz w:val="20"/>
              </w:rPr>
              <w:t>50, 51R, 52, 54R, 55, 56, 71, 86</w:t>
            </w:r>
          </w:p>
        </w:tc>
      </w:tr>
    </w:tbl>
    <w:p w14:paraId="203C28BA" w14:textId="2BB9DA5A" w:rsidR="0003170E" w:rsidRDefault="0003170E" w:rsidP="00B30CA0">
      <w:pPr>
        <w:pStyle w:val="BodyText2"/>
        <w:rPr>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25967042" w14:textId="77777777" w:rsidR="00DD1745" w:rsidRDefault="00DD1745" w:rsidP="00706B68">
      <w:pPr>
        <w:pStyle w:val="BodyText2"/>
        <w:rPr>
          <w:rFonts w:eastAsia="MS Mincho"/>
          <w:b w:val="0"/>
          <w:szCs w:val="22"/>
          <w:lang w:eastAsia="ja-JP"/>
        </w:rPr>
      </w:pPr>
    </w:p>
    <w:p w14:paraId="1A7C9804" w14:textId="37F353B2" w:rsidR="002A1316" w:rsidRPr="00AE7277" w:rsidRDefault="002A1316" w:rsidP="00B30CA0">
      <w:pPr>
        <w:pStyle w:val="BodyText"/>
        <w:rPr>
          <w:b/>
          <w:sz w:val="22"/>
          <w:szCs w:val="22"/>
        </w:rPr>
      </w:pPr>
      <w:r w:rsidRPr="00016321">
        <w:rPr>
          <w:b/>
          <w:sz w:val="22"/>
          <w:szCs w:val="22"/>
        </w:rPr>
        <w:lastRenderedPageBreak/>
        <w:t xml:space="preserve">Information or </w:t>
      </w:r>
      <w:r w:rsidR="00DF407B">
        <w:rPr>
          <w:b/>
          <w:sz w:val="22"/>
          <w:szCs w:val="22"/>
        </w:rPr>
        <w:t>i</w:t>
      </w:r>
      <w:r w:rsidRPr="00016321">
        <w:rPr>
          <w:b/>
          <w:sz w:val="22"/>
          <w:szCs w:val="22"/>
        </w:rPr>
        <w:t>ss</w:t>
      </w:r>
      <w:r w:rsidRPr="00AE7277">
        <w:rPr>
          <w:b/>
          <w:sz w:val="22"/>
          <w:szCs w:val="22"/>
        </w:rPr>
        <w:t xml:space="preserve">ues (included in </w:t>
      </w:r>
      <w:r w:rsidRPr="00AE7277">
        <w:rPr>
          <w:b/>
          <w:i/>
          <w:sz w:val="22"/>
          <w:szCs w:val="22"/>
        </w:rPr>
        <w:t>Description of Issue</w:t>
      </w:r>
      <w:r w:rsidRPr="00AE7277">
        <w:rPr>
          <w:b/>
          <w:sz w:val="22"/>
          <w:szCs w:val="22"/>
        </w:rPr>
        <w:t xml:space="preserve">) not previously contemplated by the </w:t>
      </w:r>
      <w:r w:rsidR="00004652" w:rsidRPr="00AE7277">
        <w:rPr>
          <w:b/>
          <w:sz w:val="22"/>
          <w:szCs w:val="22"/>
        </w:rPr>
        <w:t>Working Group</w:t>
      </w:r>
      <w:r w:rsidRPr="00AE7277">
        <w:rPr>
          <w:b/>
          <w:sz w:val="22"/>
          <w:szCs w:val="22"/>
        </w:rPr>
        <w:t>:</w:t>
      </w:r>
    </w:p>
    <w:p w14:paraId="38E08ED2" w14:textId="6FD092F4" w:rsidR="002A1316" w:rsidRPr="0049258A" w:rsidRDefault="00086CC6" w:rsidP="00026F08">
      <w:pPr>
        <w:autoSpaceDE w:val="0"/>
        <w:autoSpaceDN w:val="0"/>
        <w:adjustRightInd w:val="0"/>
        <w:rPr>
          <w:bCs/>
          <w:iCs/>
          <w:sz w:val="22"/>
          <w:szCs w:val="22"/>
        </w:rPr>
      </w:pPr>
      <w:r w:rsidRPr="0049258A">
        <w:rPr>
          <w:bCs/>
          <w:sz w:val="22"/>
          <w:szCs w:val="22"/>
        </w:rPr>
        <w:t>As</w:t>
      </w:r>
      <w:r w:rsidR="001B7A4A" w:rsidRPr="0049258A">
        <w:rPr>
          <w:bCs/>
          <w:sz w:val="22"/>
          <w:szCs w:val="22"/>
        </w:rPr>
        <w:t xml:space="preserve"> ASU 2019-09 solely addresses </w:t>
      </w:r>
      <w:r w:rsidR="00E9397D" w:rsidRPr="0049258A">
        <w:rPr>
          <w:bCs/>
          <w:sz w:val="22"/>
          <w:szCs w:val="22"/>
        </w:rPr>
        <w:t>the</w:t>
      </w:r>
      <w:r w:rsidR="001B7A4A" w:rsidRPr="0049258A">
        <w:rPr>
          <w:bCs/>
          <w:sz w:val="22"/>
          <w:szCs w:val="22"/>
        </w:rPr>
        <w:t xml:space="preserve"> effective date of ASU 2018-12, which was previously rejected for statutory accounting</w:t>
      </w:r>
      <w:r w:rsidR="000C6A89" w:rsidRPr="0049258A">
        <w:rPr>
          <w:bCs/>
          <w:sz w:val="22"/>
          <w:szCs w:val="22"/>
        </w:rPr>
        <w:t xml:space="preserve">, </w:t>
      </w:r>
      <w:r w:rsidRPr="0049258A">
        <w:rPr>
          <w:bCs/>
          <w:sz w:val="22"/>
          <w:szCs w:val="22"/>
        </w:rPr>
        <w:t xml:space="preserve">in the </w:t>
      </w:r>
      <w:r w:rsidRPr="0049258A">
        <w:rPr>
          <w:sz w:val="22"/>
          <w:szCs w:val="22"/>
        </w:rPr>
        <w:t>Preamble 50, 51R, 52, 54R, 55, 56, 71, 86</w:t>
      </w:r>
      <w:r w:rsidR="0049258A" w:rsidRPr="0049258A">
        <w:rPr>
          <w:bCs/>
          <w:sz w:val="22"/>
          <w:szCs w:val="22"/>
        </w:rPr>
        <w:t xml:space="preserve">. NAIC staff </w:t>
      </w:r>
      <w:r w:rsidR="00026F08">
        <w:rPr>
          <w:bCs/>
          <w:sz w:val="22"/>
          <w:szCs w:val="22"/>
        </w:rPr>
        <w:t xml:space="preserve">recommends </w:t>
      </w:r>
      <w:r w:rsidR="0049258A" w:rsidRPr="0049258A">
        <w:rPr>
          <w:bCs/>
          <w:sz w:val="22"/>
          <w:szCs w:val="22"/>
        </w:rPr>
        <w:t xml:space="preserve"> reject</w:t>
      </w:r>
      <w:r w:rsidR="00026F08">
        <w:rPr>
          <w:bCs/>
          <w:sz w:val="22"/>
          <w:szCs w:val="22"/>
        </w:rPr>
        <w:t xml:space="preserve">ing </w:t>
      </w:r>
      <w:r w:rsidR="0049258A" w:rsidRPr="0049258A">
        <w:rPr>
          <w:bCs/>
          <w:sz w:val="22"/>
          <w:szCs w:val="22"/>
        </w:rPr>
        <w:t xml:space="preserve"> </w:t>
      </w:r>
      <w:r w:rsidR="000C6A89" w:rsidRPr="0049258A">
        <w:rPr>
          <w:bCs/>
          <w:sz w:val="22"/>
          <w:szCs w:val="22"/>
        </w:rPr>
        <w:t xml:space="preserve">ASU 2019-09 </w:t>
      </w:r>
      <w:r w:rsidR="0049258A" w:rsidRPr="0049258A">
        <w:rPr>
          <w:bCs/>
          <w:sz w:val="22"/>
          <w:szCs w:val="22"/>
        </w:rPr>
        <w:t xml:space="preserve">in </w:t>
      </w:r>
      <w:r w:rsidR="000C6A89" w:rsidRPr="0049258A">
        <w:rPr>
          <w:bCs/>
          <w:sz w:val="22"/>
          <w:szCs w:val="22"/>
        </w:rPr>
        <w:t xml:space="preserve"> </w:t>
      </w:r>
      <w:r w:rsidR="000C6A89" w:rsidRPr="003D55E4">
        <w:rPr>
          <w:i/>
          <w:sz w:val="22"/>
          <w:szCs w:val="22"/>
        </w:rPr>
        <w:t>Appendix D—Nonapplicable GAAP Pronouncements</w:t>
      </w:r>
      <w:r w:rsidR="000C6A89" w:rsidRPr="003D55E4">
        <w:rPr>
          <w:iCs/>
          <w:sz w:val="22"/>
          <w:szCs w:val="22"/>
        </w:rPr>
        <w:t xml:space="preserve">, </w:t>
      </w:r>
      <w:r w:rsidR="00026F08">
        <w:rPr>
          <w:iCs/>
          <w:sz w:val="22"/>
          <w:szCs w:val="22"/>
        </w:rPr>
        <w:t xml:space="preserve">as the </w:t>
      </w:r>
      <w:r w:rsidR="00026F08">
        <w:rPr>
          <w:rFonts w:ascii="TimesNewRomanPSMT" w:hAnsi="TimesNewRomanPSMT" w:cs="TimesNewRomanPSMT"/>
          <w:sz w:val="22"/>
          <w:szCs w:val="22"/>
        </w:rPr>
        <w:t xml:space="preserve"> pronouncement relates to transition of a previously issued GAAP pronouncement.</w:t>
      </w:r>
    </w:p>
    <w:p w14:paraId="19D3DF10" w14:textId="77777777" w:rsidR="006B37DD" w:rsidRPr="00016321" w:rsidRDefault="006B37DD" w:rsidP="00B30CA0">
      <w:pPr>
        <w:pStyle w:val="BodyText2"/>
        <w:rPr>
          <w:b w:val="0"/>
          <w:bCs w:val="0"/>
          <w:szCs w:val="22"/>
        </w:rPr>
      </w:pPr>
    </w:p>
    <w:p w14:paraId="70213B4E" w14:textId="077F1AB6" w:rsidR="00490996" w:rsidRPr="00016321" w:rsidRDefault="00490996" w:rsidP="00490996">
      <w:pPr>
        <w:pStyle w:val="Default"/>
        <w:rPr>
          <w:b/>
          <w:sz w:val="22"/>
          <w:szCs w:val="22"/>
        </w:rPr>
      </w:pPr>
      <w:r w:rsidRPr="00016321">
        <w:rPr>
          <w:b/>
          <w:sz w:val="22"/>
          <w:szCs w:val="22"/>
        </w:rPr>
        <w:t>Convergence with International Financial Reporting Standards (IFRS):</w:t>
      </w:r>
      <w:r w:rsidR="004F074B">
        <w:rPr>
          <w:b/>
          <w:sz w:val="22"/>
          <w:szCs w:val="22"/>
        </w:rPr>
        <w:t xml:space="preserve"> </w:t>
      </w:r>
      <w:r w:rsidR="004F074B" w:rsidRPr="00027431">
        <w:rPr>
          <w:color w:val="auto"/>
          <w:sz w:val="22"/>
          <w:szCs w:val="22"/>
        </w:rPr>
        <w:t>N/A</w:t>
      </w:r>
      <w:r w:rsidR="00027431" w:rsidRPr="00027431">
        <w:rPr>
          <w:color w:val="auto"/>
          <w:sz w:val="22"/>
          <w:szCs w:val="22"/>
        </w:rPr>
        <w:t xml:space="preserve"> in relation to this agenda item.</w:t>
      </w:r>
    </w:p>
    <w:p w14:paraId="45ED1F04" w14:textId="77777777" w:rsidR="006B37DD" w:rsidRPr="00016321" w:rsidRDefault="006B37DD" w:rsidP="00490996">
      <w:pPr>
        <w:pStyle w:val="BodyText2"/>
        <w:rPr>
          <w:b w:val="0"/>
          <w:bCs w:val="0"/>
          <w:szCs w:val="22"/>
        </w:rPr>
      </w:pPr>
    </w:p>
    <w:p w14:paraId="37031442" w14:textId="77777777" w:rsidR="00F075F7" w:rsidRDefault="002A1316" w:rsidP="004F074B">
      <w:pPr>
        <w:pStyle w:val="BodyText2"/>
        <w:rPr>
          <w:szCs w:val="22"/>
        </w:rPr>
      </w:pPr>
      <w:r w:rsidRPr="00016321">
        <w:rPr>
          <w:szCs w:val="22"/>
        </w:rPr>
        <w:t>Staff Recommendation:</w:t>
      </w:r>
      <w:r w:rsidR="004F074B">
        <w:rPr>
          <w:szCs w:val="22"/>
        </w:rPr>
        <w:t xml:space="preserve"> </w:t>
      </w:r>
    </w:p>
    <w:p w14:paraId="5E150228" w14:textId="0F01EAF7" w:rsidR="0049258A" w:rsidRPr="0049258A" w:rsidRDefault="00772522" w:rsidP="004F074B">
      <w:pPr>
        <w:pStyle w:val="BodyText2"/>
        <w:rPr>
          <w:szCs w:val="22"/>
        </w:rPr>
      </w:pPr>
      <w:r>
        <w:rPr>
          <w:szCs w:val="22"/>
        </w:rPr>
        <w:t xml:space="preserve">NAIC </w:t>
      </w:r>
      <w:r w:rsidR="00761440" w:rsidRPr="00016321">
        <w:rPr>
          <w:szCs w:val="22"/>
        </w:rPr>
        <w:t>Staff recommends</w:t>
      </w:r>
      <w:r w:rsidR="00D924B0" w:rsidRPr="00016321">
        <w:rPr>
          <w:szCs w:val="22"/>
        </w:rPr>
        <w:t xml:space="preserve"> the Working Group move this item to the active listing</w:t>
      </w:r>
      <w:r w:rsidR="00761440" w:rsidRPr="00016321">
        <w:rPr>
          <w:szCs w:val="22"/>
        </w:rPr>
        <w:t xml:space="preserve">, categorized as </w:t>
      </w:r>
      <w:r w:rsidR="00761440" w:rsidRPr="00E53B18">
        <w:rPr>
          <w:szCs w:val="22"/>
        </w:rPr>
        <w:t>nonsubstantive</w:t>
      </w:r>
      <w:r w:rsidR="00D924B0" w:rsidRPr="00E53B18">
        <w:rPr>
          <w:szCs w:val="22"/>
        </w:rPr>
        <w:t xml:space="preserve"> and</w:t>
      </w:r>
      <w:r w:rsidR="00D924B0" w:rsidRPr="00016321">
        <w:rPr>
          <w:szCs w:val="22"/>
        </w:rPr>
        <w:t xml:space="preserve"> expose revisions</w:t>
      </w:r>
      <w:r w:rsidR="004F074B" w:rsidRPr="00016321">
        <w:rPr>
          <w:szCs w:val="22"/>
        </w:rPr>
        <w:t xml:space="preserve"> to </w:t>
      </w:r>
      <w:r w:rsidR="004F074B" w:rsidRPr="00EC375B">
        <w:rPr>
          <w:i/>
          <w:szCs w:val="22"/>
        </w:rPr>
        <w:t>Appendix D—Nonapplicable GAAP Pronouncements</w:t>
      </w:r>
      <w:r w:rsidR="004F074B" w:rsidRPr="00EC375B">
        <w:rPr>
          <w:szCs w:val="22"/>
        </w:rPr>
        <w:t xml:space="preserve"> to reject </w:t>
      </w:r>
      <w:r w:rsidR="004F074B" w:rsidRPr="00EC375B">
        <w:rPr>
          <w:i/>
          <w:iCs/>
          <w:szCs w:val="22"/>
        </w:rPr>
        <w:t xml:space="preserve">ASU 2019-09—Financial Services </w:t>
      </w:r>
      <w:r w:rsidR="009B7C37" w:rsidRPr="00EC375B">
        <w:rPr>
          <w:i/>
          <w:iCs/>
          <w:szCs w:val="22"/>
        </w:rPr>
        <w:t>–</w:t>
      </w:r>
      <w:r w:rsidR="004F074B" w:rsidRPr="00EC375B">
        <w:rPr>
          <w:i/>
          <w:iCs/>
          <w:szCs w:val="22"/>
        </w:rPr>
        <w:t xml:space="preserve"> Insurance</w:t>
      </w:r>
      <w:r w:rsidR="009B7C37" w:rsidRPr="00EC375B">
        <w:rPr>
          <w:i/>
          <w:iCs/>
          <w:szCs w:val="22"/>
        </w:rPr>
        <w:t xml:space="preserve"> </w:t>
      </w:r>
      <w:r w:rsidR="00AF5EBF" w:rsidRPr="00AF5EBF">
        <w:rPr>
          <w:szCs w:val="22"/>
        </w:rPr>
        <w:t>as not applicable</w:t>
      </w:r>
      <w:r w:rsidR="00AF5EBF">
        <w:rPr>
          <w:i/>
          <w:iCs/>
          <w:szCs w:val="22"/>
        </w:rPr>
        <w:t xml:space="preserve"> </w:t>
      </w:r>
      <w:r w:rsidR="009B7C37" w:rsidRPr="00EC375B">
        <w:rPr>
          <w:szCs w:val="22"/>
        </w:rPr>
        <w:t xml:space="preserve">for </w:t>
      </w:r>
      <w:r w:rsidR="002C42AE" w:rsidRPr="00EC375B">
        <w:rPr>
          <w:szCs w:val="22"/>
        </w:rPr>
        <w:t>s</w:t>
      </w:r>
      <w:r w:rsidR="00E53B18" w:rsidRPr="00EC375B">
        <w:rPr>
          <w:szCs w:val="22"/>
        </w:rPr>
        <w:t>tatutory</w:t>
      </w:r>
      <w:r w:rsidR="009B7C37" w:rsidRPr="00EC375B">
        <w:rPr>
          <w:szCs w:val="22"/>
        </w:rPr>
        <w:t xml:space="preserve"> </w:t>
      </w:r>
      <w:r w:rsidR="002C42AE" w:rsidRPr="00EC375B">
        <w:rPr>
          <w:szCs w:val="22"/>
        </w:rPr>
        <w:t>a</w:t>
      </w:r>
      <w:r w:rsidR="009B7C37" w:rsidRPr="00EC375B">
        <w:rPr>
          <w:szCs w:val="22"/>
        </w:rPr>
        <w:t>ccounting</w:t>
      </w:r>
      <w:r w:rsidR="00EC375B">
        <w:rPr>
          <w:szCs w:val="22"/>
        </w:rPr>
        <w:t>. This</w:t>
      </w:r>
      <w:r w:rsidR="00EC375B" w:rsidRPr="00EC375B">
        <w:rPr>
          <w:szCs w:val="22"/>
        </w:rPr>
        <w:t xml:space="preserve"> ASU</w:t>
      </w:r>
      <w:r w:rsidR="00E53B18" w:rsidRPr="00EC375B">
        <w:rPr>
          <w:szCs w:val="22"/>
        </w:rPr>
        <w:t xml:space="preserve"> solely addresses the effective date of ASU 2018-12, which was</w:t>
      </w:r>
      <w:r w:rsidR="00EC375B">
        <w:rPr>
          <w:szCs w:val="22"/>
        </w:rPr>
        <w:t xml:space="preserve"> </w:t>
      </w:r>
      <w:r w:rsidR="00E53B18" w:rsidRPr="00EC375B">
        <w:rPr>
          <w:szCs w:val="22"/>
        </w:rPr>
        <w:t xml:space="preserve">rejected </w:t>
      </w:r>
      <w:r w:rsidR="00D12A05" w:rsidRPr="00EC375B">
        <w:rPr>
          <w:szCs w:val="22"/>
        </w:rPr>
        <w:t>by</w:t>
      </w:r>
      <w:r w:rsidR="00E01D62">
        <w:rPr>
          <w:szCs w:val="22"/>
        </w:rPr>
        <w:t xml:space="preserve"> the</w:t>
      </w:r>
      <w:r w:rsidR="00D12A05" w:rsidRPr="00EC375B">
        <w:rPr>
          <w:szCs w:val="22"/>
        </w:rPr>
        <w:t xml:space="preserve"> Statutory Accounting Principles (E) Working Group </w:t>
      </w:r>
      <w:r w:rsidR="00E53B18" w:rsidRPr="00EC375B">
        <w:rPr>
          <w:szCs w:val="22"/>
        </w:rPr>
        <w:t>on Aug</w:t>
      </w:r>
      <w:r>
        <w:rPr>
          <w:szCs w:val="22"/>
        </w:rPr>
        <w:t>.</w:t>
      </w:r>
      <w:r w:rsidR="00E53B18" w:rsidRPr="00EC375B">
        <w:rPr>
          <w:szCs w:val="22"/>
        </w:rPr>
        <w:t xml:space="preserve"> 3, 2019</w:t>
      </w:r>
      <w:r w:rsidR="00D12A05" w:rsidRPr="00EC375B">
        <w:rPr>
          <w:szCs w:val="22"/>
        </w:rPr>
        <w:t>.</w:t>
      </w:r>
    </w:p>
    <w:p w14:paraId="541A77E0" w14:textId="0C2D02CB" w:rsidR="000E16CA" w:rsidRDefault="000E16CA" w:rsidP="004E2BB9">
      <w:pPr>
        <w:pStyle w:val="BodyText2"/>
        <w:rPr>
          <w:szCs w:val="22"/>
        </w:rPr>
      </w:pPr>
    </w:p>
    <w:p w14:paraId="2ACBF4B4" w14:textId="0837E39B" w:rsidR="001748F4" w:rsidRPr="004F074B" w:rsidRDefault="00F075F7">
      <w:pPr>
        <w:pStyle w:val="BodyText2"/>
        <w:rPr>
          <w:szCs w:val="22"/>
        </w:rPr>
      </w:pPr>
      <w:r w:rsidRPr="001748F4">
        <w:rPr>
          <w:szCs w:val="22"/>
        </w:rPr>
        <w:t xml:space="preserve">Staff Note: </w:t>
      </w:r>
      <w:r w:rsidR="0088512F" w:rsidRPr="00AE7277">
        <w:rPr>
          <w:b w:val="0"/>
          <w:bCs w:val="0"/>
          <w:color w:val="333333"/>
          <w:szCs w:val="22"/>
          <w:shd w:val="clear" w:color="auto" w:fill="FFFFFF"/>
        </w:rPr>
        <w:t xml:space="preserve">On June 10, 2020, the FASB </w:t>
      </w:r>
      <w:r w:rsidR="001748F4" w:rsidRPr="00AE7277">
        <w:rPr>
          <w:b w:val="0"/>
          <w:bCs w:val="0"/>
          <w:color w:val="333333"/>
          <w:szCs w:val="22"/>
          <w:shd w:val="clear" w:color="auto" w:fill="FFFFFF"/>
        </w:rPr>
        <w:t>exposed</w:t>
      </w:r>
      <w:r w:rsidRPr="00AE7277">
        <w:rPr>
          <w:b w:val="0"/>
          <w:bCs w:val="0"/>
          <w:color w:val="333333"/>
          <w:szCs w:val="22"/>
          <w:shd w:val="clear" w:color="auto" w:fill="FFFFFF"/>
        </w:rPr>
        <w:t xml:space="preserve"> a proposed ASU</w:t>
      </w:r>
      <w:r w:rsidR="001748F4">
        <w:rPr>
          <w:b w:val="0"/>
          <w:bCs w:val="0"/>
          <w:color w:val="333333"/>
          <w:szCs w:val="22"/>
          <w:shd w:val="clear" w:color="auto" w:fill="FFFFFF"/>
        </w:rPr>
        <w:t>,</w:t>
      </w:r>
      <w:r w:rsidRPr="00AE7277">
        <w:rPr>
          <w:b w:val="0"/>
          <w:bCs w:val="0"/>
          <w:color w:val="333333"/>
          <w:szCs w:val="22"/>
          <w:shd w:val="clear" w:color="auto" w:fill="FFFFFF"/>
        </w:rPr>
        <w:t xml:space="preserve"> </w:t>
      </w:r>
      <w:r w:rsidR="001748F4">
        <w:rPr>
          <w:b w:val="0"/>
          <w:bCs w:val="0"/>
          <w:color w:val="333333"/>
          <w:szCs w:val="22"/>
          <w:shd w:val="clear" w:color="auto" w:fill="FFFFFF"/>
        </w:rPr>
        <w:t xml:space="preserve">for a 45-day comment period, </w:t>
      </w:r>
      <w:r w:rsidRPr="00AE7277">
        <w:rPr>
          <w:b w:val="0"/>
          <w:bCs w:val="0"/>
          <w:color w:val="333333"/>
          <w:szCs w:val="22"/>
          <w:shd w:val="clear" w:color="auto" w:fill="FFFFFF"/>
        </w:rPr>
        <w:t>that would grant insurance companies that issue long-duration contracts, such as life insurance and annuities, an additional year to implement </w:t>
      </w:r>
      <w:hyperlink r:id="rId8" w:history="1">
        <w:r w:rsidRPr="00AE7277">
          <w:rPr>
            <w:b w:val="0"/>
            <w:bCs w:val="0"/>
            <w:i/>
            <w:iCs/>
            <w:color w:val="333333"/>
            <w:szCs w:val="22"/>
            <w:shd w:val="clear" w:color="auto" w:fill="FFFFFF"/>
          </w:rPr>
          <w:t>Accounting Standards Update No. 2018-12, Financial Services—Insurance (Topic 944): Targeted Improvements to the Accounting for Long-Duration Contracts</w:t>
        </w:r>
      </w:hyperlink>
      <w:r w:rsidRPr="00AE7277">
        <w:rPr>
          <w:b w:val="0"/>
          <w:bCs w:val="0"/>
          <w:color w:val="333333"/>
          <w:szCs w:val="22"/>
          <w:shd w:val="clear" w:color="auto" w:fill="FFFFFF"/>
        </w:rPr>
        <w:t>. </w:t>
      </w:r>
      <w:r w:rsidR="001748F4" w:rsidRPr="00AE7277">
        <w:rPr>
          <w:b w:val="0"/>
          <w:bCs w:val="0"/>
          <w:color w:val="333333"/>
          <w:szCs w:val="22"/>
          <w:shd w:val="clear" w:color="auto" w:fill="FFFFFF"/>
        </w:rPr>
        <w:t xml:space="preserve">Under the proposal, the implementation of the insurance standard would be delayed by another year. Public insurers, excluding small public companies, could delay implementing the standard to fiscal years after Dec. 15, 2022, while all others could wait until fiscal years after Dec. 15, 2024. </w:t>
      </w:r>
      <w:r w:rsidR="001748F4">
        <w:rPr>
          <w:b w:val="0"/>
          <w:bCs w:val="0"/>
          <w:color w:val="333333"/>
          <w:szCs w:val="22"/>
          <w:shd w:val="clear" w:color="auto" w:fill="FFFFFF"/>
        </w:rPr>
        <w:t xml:space="preserve">As ASU 2018-12 was rejected for SAP, it is anticipated that this extension will also be rejected as not applicable for statutory accounting once the ASU is final. This notice is just </w:t>
      </w:r>
      <w:r w:rsidR="00D808D1">
        <w:rPr>
          <w:b w:val="0"/>
          <w:bCs w:val="0"/>
          <w:color w:val="333333"/>
          <w:szCs w:val="22"/>
          <w:shd w:val="clear" w:color="auto" w:fill="FFFFFF"/>
        </w:rPr>
        <w:t>intended</w:t>
      </w:r>
      <w:r w:rsidR="001748F4">
        <w:rPr>
          <w:b w:val="0"/>
          <w:bCs w:val="0"/>
          <w:color w:val="333333"/>
          <w:szCs w:val="22"/>
          <w:shd w:val="clear" w:color="auto" w:fill="FFFFFF"/>
        </w:rPr>
        <w:t xml:space="preserve"> to advise of the further extension of the effective date. </w:t>
      </w:r>
    </w:p>
    <w:p w14:paraId="1675B0C9" w14:textId="77777777" w:rsidR="00984FA6" w:rsidRPr="00016321" w:rsidRDefault="00984FA6" w:rsidP="00B30CA0">
      <w:pPr>
        <w:pStyle w:val="BodyText2"/>
        <w:rPr>
          <w:b w:val="0"/>
          <w:bCs w:val="0"/>
          <w:szCs w:val="22"/>
        </w:rPr>
      </w:pPr>
    </w:p>
    <w:p w14:paraId="53229BB2" w14:textId="0EC1B15C" w:rsidR="002A1316" w:rsidRPr="00016321" w:rsidRDefault="002A1316" w:rsidP="00A9705C">
      <w:pPr>
        <w:pStyle w:val="BodyText2"/>
        <w:rPr>
          <w:b w:val="0"/>
          <w:szCs w:val="22"/>
        </w:rPr>
      </w:pPr>
      <w:r w:rsidRPr="00016321">
        <w:rPr>
          <w:szCs w:val="22"/>
        </w:rPr>
        <w:t>Staff Review Completed by:</w:t>
      </w:r>
      <w:r w:rsidR="00A9705C">
        <w:rPr>
          <w:szCs w:val="22"/>
        </w:rPr>
        <w:t xml:space="preserve"> Jim Pinegar, </w:t>
      </w:r>
      <w:r w:rsidR="00FE7FAA" w:rsidRPr="00016321">
        <w:rPr>
          <w:b w:val="0"/>
          <w:szCs w:val="22"/>
        </w:rPr>
        <w:t xml:space="preserve">NAIC </w:t>
      </w:r>
      <w:r w:rsidR="006B37DD" w:rsidRPr="00016321">
        <w:rPr>
          <w:b w:val="0"/>
          <w:szCs w:val="22"/>
        </w:rPr>
        <w:t>S</w:t>
      </w:r>
      <w:r w:rsidR="00FE7FAA" w:rsidRPr="00016321">
        <w:rPr>
          <w:b w:val="0"/>
          <w:szCs w:val="22"/>
        </w:rPr>
        <w:t>taff</w:t>
      </w:r>
      <w:r w:rsidR="00A9705C">
        <w:rPr>
          <w:b w:val="0"/>
          <w:szCs w:val="22"/>
        </w:rPr>
        <w:t xml:space="preserve"> – April 2020</w:t>
      </w:r>
    </w:p>
    <w:p w14:paraId="71BBEFE0" w14:textId="77777777" w:rsidR="002A1316" w:rsidRDefault="002A1316" w:rsidP="00B30CA0">
      <w:pPr>
        <w:rPr>
          <w:sz w:val="22"/>
        </w:rPr>
      </w:pPr>
    </w:p>
    <w:p w14:paraId="6D923693" w14:textId="5BBDC281" w:rsidR="003D55E4" w:rsidRDefault="00D75AF8" w:rsidP="00026F08">
      <w:pPr>
        <w:rPr>
          <w:b/>
          <w:bCs/>
          <w:sz w:val="22"/>
        </w:rPr>
      </w:pPr>
      <w:r>
        <w:rPr>
          <w:b/>
          <w:bCs/>
          <w:sz w:val="22"/>
        </w:rPr>
        <w:t>Status:</w:t>
      </w:r>
    </w:p>
    <w:p w14:paraId="1F25420D" w14:textId="1385E23C" w:rsidR="00D75AF8" w:rsidRPr="00D75AF8" w:rsidRDefault="00D75AF8" w:rsidP="00D75AF8">
      <w:pPr>
        <w:jc w:val="both"/>
        <w:rPr>
          <w:bCs/>
          <w:iCs/>
          <w:sz w:val="22"/>
          <w:szCs w:val="22"/>
        </w:rPr>
      </w:pPr>
      <w:r w:rsidRPr="00D75AF8">
        <w:rPr>
          <w:bCs/>
          <w:sz w:val="22"/>
          <w:szCs w:val="22"/>
        </w:rPr>
        <w:t xml:space="preserve">On July 30, 2020, the Statutory Accounting Principles (E) Working Group moved this agenda item to the active listing, categorized as nonsubstantive, and exposed revisions to </w:t>
      </w:r>
      <w:r w:rsidRPr="00D75AF8">
        <w:rPr>
          <w:bCs/>
          <w:i/>
          <w:iCs/>
          <w:sz w:val="22"/>
          <w:szCs w:val="22"/>
        </w:rPr>
        <w:t>Appendix D—Nonapplicable GAAP Pronouncements</w:t>
      </w:r>
      <w:r w:rsidRPr="00D75AF8">
        <w:rPr>
          <w:bCs/>
          <w:sz w:val="22"/>
          <w:szCs w:val="22"/>
        </w:rPr>
        <w:t xml:space="preserve"> to reject </w:t>
      </w:r>
      <w:r w:rsidRPr="00D75AF8">
        <w:rPr>
          <w:i/>
          <w:iCs/>
          <w:sz w:val="22"/>
          <w:szCs w:val="22"/>
        </w:rPr>
        <w:t>ASU 2019-09—Financial Services – Insurance</w:t>
      </w:r>
      <w:r w:rsidRPr="00D75AF8">
        <w:rPr>
          <w:bCs/>
          <w:iCs/>
          <w:sz w:val="22"/>
          <w:szCs w:val="22"/>
        </w:rPr>
        <w:t xml:space="preserve"> </w:t>
      </w:r>
      <w:r w:rsidRPr="00D75AF8">
        <w:rPr>
          <w:bCs/>
          <w:iCs/>
          <w:sz w:val="22"/>
          <w:szCs w:val="22"/>
        </w:rPr>
        <w:t>as not applicable to statutory accounting.</w:t>
      </w:r>
    </w:p>
    <w:p w14:paraId="19DBC51A" w14:textId="77777777" w:rsidR="00D75AF8" w:rsidRPr="00D75AF8" w:rsidRDefault="00D75AF8" w:rsidP="00026F08">
      <w:pPr>
        <w:rPr>
          <w:sz w:val="22"/>
        </w:rPr>
      </w:pPr>
    </w:p>
    <w:p w14:paraId="400005D3" w14:textId="77777777" w:rsidR="006B37DD" w:rsidRDefault="006B37DD" w:rsidP="00B30CA0">
      <w:pPr>
        <w:rPr>
          <w:sz w:val="22"/>
        </w:rPr>
      </w:pPr>
    </w:p>
    <w:p w14:paraId="5BEC363C" w14:textId="4562D3D3"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71B71">
        <w:rPr>
          <w:noProof/>
          <w:sz w:val="16"/>
          <w:szCs w:val="16"/>
        </w:rPr>
        <w:t>G:\FRS\DATA\Stat Acctg\3. National Meetings\A. National Meeting Materials\2020\Summer\NM Exposures\20-27 - ASU 2019-09 Insurance Effective Date.docx</w:t>
      </w:r>
      <w:r w:rsidRPr="000579B6">
        <w:rPr>
          <w:sz w:val="16"/>
          <w:szCs w:val="16"/>
        </w:rPr>
        <w:fldChar w:fldCharType="end"/>
      </w:r>
      <w:bookmarkStart w:id="1" w:name="_GoBack"/>
      <w:bookmarkEnd w:id="1"/>
    </w:p>
    <w:p w14:paraId="0FE979AF" w14:textId="77777777" w:rsidR="00AA1DC0" w:rsidRPr="00DF407B" w:rsidRDefault="00AA1DC0" w:rsidP="000579B6">
      <w:pPr>
        <w:rPr>
          <w:sz w:val="22"/>
          <w:szCs w:val="22"/>
        </w:rPr>
      </w:pPr>
    </w:p>
    <w:sectPr w:rsidR="00AA1DC0" w:rsidRPr="00DF407B" w:rsidSect="00DF407B">
      <w:headerReference w:type="default"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AF5EBF" w:rsidRDefault="00AF5EBF">
      <w:r>
        <w:separator/>
      </w:r>
    </w:p>
  </w:endnote>
  <w:endnote w:type="continuationSeparator" w:id="0">
    <w:p w14:paraId="7A4CE54C" w14:textId="77777777" w:rsidR="00AF5EBF" w:rsidRDefault="00AF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AF5EBF" w:rsidRDefault="00AF5EBF"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AF5EBF" w:rsidRDefault="00AF5EBF"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AF5EBF" w:rsidRDefault="00AF5EBF">
      <w:r>
        <w:separator/>
      </w:r>
    </w:p>
  </w:footnote>
  <w:footnote w:type="continuationSeparator" w:id="0">
    <w:p w14:paraId="1BD68B07" w14:textId="77777777" w:rsidR="00AF5EBF" w:rsidRDefault="00AF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12382AF0" w:rsidR="00AF5EBF" w:rsidRPr="00F04F9A" w:rsidRDefault="00AF5EBF">
    <w:pPr>
      <w:pStyle w:val="Header"/>
      <w:jc w:val="right"/>
      <w:rPr>
        <w:bCs/>
        <w:sz w:val="20"/>
      </w:rPr>
    </w:pPr>
    <w:r w:rsidRPr="00F04F9A">
      <w:rPr>
        <w:bCs/>
        <w:sz w:val="20"/>
      </w:rPr>
      <w:t>Ref #20</w:t>
    </w:r>
    <w:r>
      <w:rPr>
        <w:bCs/>
        <w:sz w:val="20"/>
      </w:rPr>
      <w:t>20</w:t>
    </w:r>
    <w:r w:rsidRPr="00F04F9A">
      <w:rPr>
        <w:bCs/>
        <w:sz w:val="20"/>
      </w:rPr>
      <w:t>-</w:t>
    </w:r>
    <w:r>
      <w:rPr>
        <w:bCs/>
        <w:sz w:val="20"/>
      </w:rPr>
      <w:t>27</w:t>
    </w:r>
  </w:p>
  <w:p w14:paraId="12DAC63B" w14:textId="77777777" w:rsidR="00AF5EBF" w:rsidRDefault="00AF5E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AF5EBF" w:rsidRPr="00F04F9A" w:rsidRDefault="00AF5EBF" w:rsidP="00AE74CF">
    <w:pPr>
      <w:pStyle w:val="Header"/>
      <w:jc w:val="right"/>
      <w:rPr>
        <w:b/>
        <w:sz w:val="20"/>
      </w:rPr>
    </w:pPr>
    <w:r w:rsidRPr="00F04F9A">
      <w:rPr>
        <w:b/>
        <w:sz w:val="20"/>
      </w:rPr>
      <w:t>Attachment __</w:t>
    </w:r>
  </w:p>
  <w:p w14:paraId="6B24D022" w14:textId="403538C5" w:rsidR="00AF5EBF" w:rsidRPr="00F04F9A" w:rsidRDefault="00AF5EBF"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AF5EBF" w:rsidRDefault="00AF5EBF"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B51086"/>
    <w:multiLevelType w:val="hybridMultilevel"/>
    <w:tmpl w:val="2C88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B0416"/>
    <w:multiLevelType w:val="hybridMultilevel"/>
    <w:tmpl w:val="E236B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1"/>
  </w:num>
  <w:num w:numId="3">
    <w:abstractNumId w:val="18"/>
  </w:num>
  <w:num w:numId="4">
    <w:abstractNumId w:val="13"/>
  </w:num>
  <w:num w:numId="5">
    <w:abstractNumId w:val="14"/>
  </w:num>
  <w:num w:numId="6">
    <w:abstractNumId w:val="10"/>
  </w:num>
  <w:num w:numId="7">
    <w:abstractNumId w:val="7"/>
  </w:num>
  <w:num w:numId="8">
    <w:abstractNumId w:val="12"/>
  </w:num>
  <w:num w:numId="9">
    <w:abstractNumId w:val="17"/>
  </w:num>
  <w:num w:numId="10">
    <w:abstractNumId w:val="19"/>
  </w:num>
  <w:num w:numId="11">
    <w:abstractNumId w:val="3"/>
  </w:num>
  <w:num w:numId="12">
    <w:abstractNumId w:val="16"/>
  </w:num>
  <w:num w:numId="13">
    <w:abstractNumId w:val="20"/>
  </w:num>
  <w:num w:numId="14">
    <w:abstractNumId w:val="0"/>
  </w:num>
  <w:num w:numId="15">
    <w:abstractNumId w:val="5"/>
  </w:num>
  <w:num w:numId="16">
    <w:abstractNumId w:val="23"/>
  </w:num>
  <w:num w:numId="17">
    <w:abstractNumId w:val="2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4"/>
  </w:num>
  <w:num w:numId="23">
    <w:abstractNumId w:val="1"/>
  </w:num>
  <w:num w:numId="24">
    <w:abstractNumId w:val="6"/>
  </w:num>
  <w:num w:numId="25">
    <w:abstractNumId w:val="8"/>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5679"/>
    <w:rsid w:val="00016321"/>
    <w:rsid w:val="00022903"/>
    <w:rsid w:val="00026F08"/>
    <w:rsid w:val="00027431"/>
    <w:rsid w:val="0003170E"/>
    <w:rsid w:val="00034B2F"/>
    <w:rsid w:val="000579B6"/>
    <w:rsid w:val="00062300"/>
    <w:rsid w:val="00086CC6"/>
    <w:rsid w:val="00091380"/>
    <w:rsid w:val="000967FA"/>
    <w:rsid w:val="000C6A89"/>
    <w:rsid w:val="000D6AE8"/>
    <w:rsid w:val="000E1131"/>
    <w:rsid w:val="000E16CA"/>
    <w:rsid w:val="00110ACD"/>
    <w:rsid w:val="00133830"/>
    <w:rsid w:val="0013539B"/>
    <w:rsid w:val="001748F4"/>
    <w:rsid w:val="00184144"/>
    <w:rsid w:val="0019505A"/>
    <w:rsid w:val="001B3138"/>
    <w:rsid w:val="001B7A4A"/>
    <w:rsid w:val="001E32B8"/>
    <w:rsid w:val="001F3CF4"/>
    <w:rsid w:val="001F46EB"/>
    <w:rsid w:val="00203FF7"/>
    <w:rsid w:val="002046F5"/>
    <w:rsid w:val="002162E7"/>
    <w:rsid w:val="0022036D"/>
    <w:rsid w:val="00236B14"/>
    <w:rsid w:val="00251120"/>
    <w:rsid w:val="00261273"/>
    <w:rsid w:val="0028139A"/>
    <w:rsid w:val="002A1316"/>
    <w:rsid w:val="002A44FE"/>
    <w:rsid w:val="002C42AE"/>
    <w:rsid w:val="002D70E6"/>
    <w:rsid w:val="002F4A7E"/>
    <w:rsid w:val="002F6FF9"/>
    <w:rsid w:val="00304CEC"/>
    <w:rsid w:val="003148E8"/>
    <w:rsid w:val="00325660"/>
    <w:rsid w:val="003325E9"/>
    <w:rsid w:val="00333FC0"/>
    <w:rsid w:val="003415C3"/>
    <w:rsid w:val="0034544B"/>
    <w:rsid w:val="0035609F"/>
    <w:rsid w:val="00357190"/>
    <w:rsid w:val="00385786"/>
    <w:rsid w:val="0039600A"/>
    <w:rsid w:val="003B12DE"/>
    <w:rsid w:val="003D55E4"/>
    <w:rsid w:val="0040093D"/>
    <w:rsid w:val="0040337C"/>
    <w:rsid w:val="00434970"/>
    <w:rsid w:val="00435DAC"/>
    <w:rsid w:val="0044022E"/>
    <w:rsid w:val="00446244"/>
    <w:rsid w:val="004516AB"/>
    <w:rsid w:val="00452842"/>
    <w:rsid w:val="004829CD"/>
    <w:rsid w:val="0048680B"/>
    <w:rsid w:val="00490996"/>
    <w:rsid w:val="0049258A"/>
    <w:rsid w:val="004953BB"/>
    <w:rsid w:val="0049733D"/>
    <w:rsid w:val="004A166E"/>
    <w:rsid w:val="004B51B6"/>
    <w:rsid w:val="004D4855"/>
    <w:rsid w:val="004E2BB9"/>
    <w:rsid w:val="004E3B7D"/>
    <w:rsid w:val="004F074B"/>
    <w:rsid w:val="00501B06"/>
    <w:rsid w:val="00542C3C"/>
    <w:rsid w:val="00562444"/>
    <w:rsid w:val="0056528F"/>
    <w:rsid w:val="005A259E"/>
    <w:rsid w:val="005E15E0"/>
    <w:rsid w:val="005F3ABB"/>
    <w:rsid w:val="00624E04"/>
    <w:rsid w:val="00626152"/>
    <w:rsid w:val="00626EC0"/>
    <w:rsid w:val="00630368"/>
    <w:rsid w:val="00634598"/>
    <w:rsid w:val="00637C40"/>
    <w:rsid w:val="0064122E"/>
    <w:rsid w:val="00654938"/>
    <w:rsid w:val="00676A9F"/>
    <w:rsid w:val="00690138"/>
    <w:rsid w:val="006A5555"/>
    <w:rsid w:val="006B37DD"/>
    <w:rsid w:val="006B3FA2"/>
    <w:rsid w:val="006D3A59"/>
    <w:rsid w:val="00706B68"/>
    <w:rsid w:val="00706E81"/>
    <w:rsid w:val="00715743"/>
    <w:rsid w:val="0072525D"/>
    <w:rsid w:val="007306B9"/>
    <w:rsid w:val="00756AE3"/>
    <w:rsid w:val="007574AB"/>
    <w:rsid w:val="00761440"/>
    <w:rsid w:val="00772522"/>
    <w:rsid w:val="00774EEB"/>
    <w:rsid w:val="007767B8"/>
    <w:rsid w:val="007774AA"/>
    <w:rsid w:val="00794B81"/>
    <w:rsid w:val="00795898"/>
    <w:rsid w:val="007B4554"/>
    <w:rsid w:val="007D0D9C"/>
    <w:rsid w:val="007F1389"/>
    <w:rsid w:val="007F344C"/>
    <w:rsid w:val="008424D9"/>
    <w:rsid w:val="008758B4"/>
    <w:rsid w:val="0088512F"/>
    <w:rsid w:val="008869A6"/>
    <w:rsid w:val="008B311E"/>
    <w:rsid w:val="008C3A60"/>
    <w:rsid w:val="008C59AA"/>
    <w:rsid w:val="008F5D05"/>
    <w:rsid w:val="0092196B"/>
    <w:rsid w:val="00923043"/>
    <w:rsid w:val="009249B4"/>
    <w:rsid w:val="00957780"/>
    <w:rsid w:val="00972A11"/>
    <w:rsid w:val="00980638"/>
    <w:rsid w:val="00984FA6"/>
    <w:rsid w:val="0098632A"/>
    <w:rsid w:val="009B20EB"/>
    <w:rsid w:val="009B7C37"/>
    <w:rsid w:val="009C702B"/>
    <w:rsid w:val="00A11581"/>
    <w:rsid w:val="00A202AF"/>
    <w:rsid w:val="00A82C39"/>
    <w:rsid w:val="00A92C59"/>
    <w:rsid w:val="00A9705C"/>
    <w:rsid w:val="00AA1DC0"/>
    <w:rsid w:val="00AA6691"/>
    <w:rsid w:val="00AC14AF"/>
    <w:rsid w:val="00AD2FB5"/>
    <w:rsid w:val="00AE6149"/>
    <w:rsid w:val="00AE7277"/>
    <w:rsid w:val="00AE74CF"/>
    <w:rsid w:val="00AF5EBF"/>
    <w:rsid w:val="00B10C19"/>
    <w:rsid w:val="00B30CA0"/>
    <w:rsid w:val="00B37D24"/>
    <w:rsid w:val="00B95E84"/>
    <w:rsid w:val="00BB5939"/>
    <w:rsid w:val="00C04FA0"/>
    <w:rsid w:val="00C051DB"/>
    <w:rsid w:val="00C26B71"/>
    <w:rsid w:val="00C6544D"/>
    <w:rsid w:val="00C9066D"/>
    <w:rsid w:val="00CA39BF"/>
    <w:rsid w:val="00CB7CFA"/>
    <w:rsid w:val="00CC53AA"/>
    <w:rsid w:val="00CE3B76"/>
    <w:rsid w:val="00CF3750"/>
    <w:rsid w:val="00D12A05"/>
    <w:rsid w:val="00D21513"/>
    <w:rsid w:val="00D506C4"/>
    <w:rsid w:val="00D71B71"/>
    <w:rsid w:val="00D75AF8"/>
    <w:rsid w:val="00D808D1"/>
    <w:rsid w:val="00D924B0"/>
    <w:rsid w:val="00DA1C46"/>
    <w:rsid w:val="00DB6291"/>
    <w:rsid w:val="00DC071A"/>
    <w:rsid w:val="00DD1745"/>
    <w:rsid w:val="00DF407B"/>
    <w:rsid w:val="00E01D62"/>
    <w:rsid w:val="00E077F0"/>
    <w:rsid w:val="00E136A0"/>
    <w:rsid w:val="00E16486"/>
    <w:rsid w:val="00E2462E"/>
    <w:rsid w:val="00E30ACC"/>
    <w:rsid w:val="00E44BC6"/>
    <w:rsid w:val="00E53B18"/>
    <w:rsid w:val="00E76C7C"/>
    <w:rsid w:val="00E90A65"/>
    <w:rsid w:val="00E9397D"/>
    <w:rsid w:val="00EA2736"/>
    <w:rsid w:val="00EC15C1"/>
    <w:rsid w:val="00EC375B"/>
    <w:rsid w:val="00EC5BFE"/>
    <w:rsid w:val="00EC61F1"/>
    <w:rsid w:val="00EE16B1"/>
    <w:rsid w:val="00EF720B"/>
    <w:rsid w:val="00F04F9A"/>
    <w:rsid w:val="00F05F13"/>
    <w:rsid w:val="00F075F7"/>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table" w:styleId="TableGrid">
    <w:name w:val="Table Grid"/>
    <w:basedOn w:val="TableNormal"/>
    <w:rsid w:val="0003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3170E"/>
    <w:rPr>
      <w:rFonts w:ascii="Segoe UI" w:hAnsi="Segoe UI" w:cs="Segoe UI"/>
      <w:sz w:val="18"/>
      <w:szCs w:val="18"/>
    </w:rPr>
  </w:style>
  <w:style w:type="character" w:customStyle="1" w:styleId="BalloonTextChar">
    <w:name w:val="Balloon Text Char"/>
    <w:basedOn w:val="DefaultParagraphFont"/>
    <w:link w:val="BalloonText"/>
    <w:semiHidden/>
    <w:rsid w:val="0003170E"/>
    <w:rPr>
      <w:rFonts w:ascii="Segoe UI" w:hAnsi="Segoe UI" w:cs="Segoe UI"/>
      <w:sz w:val="18"/>
      <w:szCs w:val="18"/>
    </w:rPr>
  </w:style>
  <w:style w:type="character" w:styleId="CommentReference">
    <w:name w:val="annotation reference"/>
    <w:basedOn w:val="DefaultParagraphFont"/>
    <w:semiHidden/>
    <w:rsid w:val="00DB62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sb.org/cs/Satellite?c=Document_C&amp;cid=1176171066930&amp;pagename=FASB%2FDocument_C%2FDocument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DA90-AD0D-4353-A113-1C156C5C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B1B5BBC7.dotm</Template>
  <TotalTime>284</TotalTime>
  <Pages>2</Pages>
  <Words>707</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27</cp:revision>
  <cp:lastPrinted>2011-03-01T22:07:00Z</cp:lastPrinted>
  <dcterms:created xsi:type="dcterms:W3CDTF">2019-08-13T15:50:00Z</dcterms:created>
  <dcterms:modified xsi:type="dcterms:W3CDTF">2020-07-22T19:27:00Z</dcterms:modified>
</cp:coreProperties>
</file>