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02C3D6DC" w:rsidR="002A1316" w:rsidRPr="00420DCD" w:rsidRDefault="002A1316" w:rsidP="00B30CA0">
      <w:pPr>
        <w:pStyle w:val="Heading2"/>
        <w:rPr>
          <w:bCs/>
          <w:sz w:val="22"/>
          <w:szCs w:val="22"/>
        </w:rPr>
      </w:pPr>
      <w:r w:rsidRPr="00016321">
        <w:rPr>
          <w:b/>
          <w:sz w:val="22"/>
          <w:szCs w:val="22"/>
        </w:rPr>
        <w:t>Issue:</w:t>
      </w:r>
      <w:r w:rsidR="00684FF4">
        <w:rPr>
          <w:b/>
          <w:sz w:val="22"/>
          <w:szCs w:val="22"/>
        </w:rPr>
        <w:t xml:space="preserve"> </w:t>
      </w:r>
      <w:r w:rsidR="00AD4B22">
        <w:rPr>
          <w:bCs/>
          <w:sz w:val="22"/>
          <w:szCs w:val="22"/>
        </w:rPr>
        <w:t xml:space="preserve">Derivatives Hedging </w:t>
      </w:r>
      <w:r w:rsidR="00525845">
        <w:rPr>
          <w:bCs/>
          <w:sz w:val="22"/>
          <w:szCs w:val="22"/>
        </w:rPr>
        <w:t xml:space="preserve">Fixed </w:t>
      </w:r>
      <w:r w:rsidR="00AD4B22">
        <w:rPr>
          <w:bCs/>
          <w:sz w:val="22"/>
          <w:szCs w:val="22"/>
        </w:rPr>
        <w:t xml:space="preserve">Indexed </w:t>
      </w:r>
      <w:r w:rsidR="00A55385">
        <w:rPr>
          <w:bCs/>
          <w:sz w:val="22"/>
          <w:szCs w:val="22"/>
        </w:rPr>
        <w:t>Products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A427DE">
        <w:rPr>
          <w:sz w:val="22"/>
          <w:szCs w:val="22"/>
        </w:rPr>
      </w:r>
      <w:r w:rsidR="00A427DE">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A427DE">
        <w:rPr>
          <w:sz w:val="22"/>
          <w:szCs w:val="22"/>
        </w:rPr>
      </w:r>
      <w:r w:rsidR="00A427D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A427DE">
        <w:rPr>
          <w:sz w:val="22"/>
          <w:szCs w:val="22"/>
        </w:rPr>
      </w:r>
      <w:r w:rsidR="00A427DE">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A427DE">
        <w:rPr>
          <w:sz w:val="22"/>
          <w:szCs w:val="22"/>
        </w:rPr>
      </w:r>
      <w:r w:rsidR="00A427D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A427DE">
        <w:rPr>
          <w:sz w:val="22"/>
          <w:szCs w:val="22"/>
        </w:rPr>
      </w:r>
      <w:r w:rsidR="00A427D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A427DE">
        <w:rPr>
          <w:sz w:val="22"/>
          <w:szCs w:val="22"/>
        </w:rPr>
      </w:r>
      <w:r w:rsidR="00A427DE">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A427DE">
        <w:rPr>
          <w:sz w:val="22"/>
          <w:szCs w:val="22"/>
        </w:rPr>
      </w:r>
      <w:r w:rsidR="00A427D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A427DE">
        <w:rPr>
          <w:sz w:val="22"/>
          <w:szCs w:val="22"/>
        </w:rPr>
      </w:r>
      <w:r w:rsidR="00A427D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A427DE">
        <w:rPr>
          <w:sz w:val="22"/>
          <w:szCs w:val="22"/>
        </w:rPr>
      </w:r>
      <w:r w:rsidR="00A427DE">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0CBF1A86" w:rsidR="002A1316" w:rsidRDefault="002A1316" w:rsidP="00B30CA0">
      <w:pPr>
        <w:pStyle w:val="BodyText2"/>
        <w:rPr>
          <w:bCs w:val="0"/>
          <w:szCs w:val="22"/>
        </w:rPr>
      </w:pPr>
      <w:r w:rsidRPr="00016321">
        <w:rPr>
          <w:bCs w:val="0"/>
          <w:szCs w:val="22"/>
        </w:rPr>
        <w:t>Description of Issue:</w:t>
      </w:r>
    </w:p>
    <w:p w14:paraId="1CE897E0" w14:textId="4D9230DD" w:rsidR="00CB182E" w:rsidRDefault="006410E6" w:rsidP="00BA08A3">
      <w:pPr>
        <w:pStyle w:val="BodyText2"/>
        <w:rPr>
          <w:b w:val="0"/>
          <w:bCs w:val="0"/>
          <w:szCs w:val="22"/>
        </w:rPr>
      </w:pPr>
      <w:bookmarkStart w:id="1" w:name="_Hlk19262855"/>
      <w:bookmarkStart w:id="2" w:name="_Hlk33628480"/>
      <w:bookmarkStart w:id="3" w:name="_Hlk33627662"/>
      <w:bookmarkStart w:id="4" w:name="_Hlk33628926"/>
      <w:r>
        <w:rPr>
          <w:b w:val="0"/>
          <w:bCs w:val="0"/>
          <w:szCs w:val="22"/>
        </w:rPr>
        <w:t xml:space="preserve">This agenda item </w:t>
      </w:r>
      <w:r w:rsidR="00DE1262">
        <w:rPr>
          <w:b w:val="0"/>
          <w:bCs w:val="0"/>
          <w:szCs w:val="22"/>
        </w:rPr>
        <w:t>propose</w:t>
      </w:r>
      <w:r w:rsidR="005517D4">
        <w:rPr>
          <w:b w:val="0"/>
          <w:bCs w:val="0"/>
          <w:szCs w:val="22"/>
        </w:rPr>
        <w:t>s</w:t>
      </w:r>
      <w:r w:rsidR="00DE1262">
        <w:rPr>
          <w:b w:val="0"/>
          <w:bCs w:val="0"/>
          <w:szCs w:val="22"/>
        </w:rPr>
        <w:t xml:space="preserve"> </w:t>
      </w:r>
      <w:r w:rsidR="005969C0">
        <w:rPr>
          <w:b w:val="0"/>
          <w:bCs w:val="0"/>
          <w:szCs w:val="22"/>
        </w:rPr>
        <w:t xml:space="preserve">the development of </w:t>
      </w:r>
      <w:r w:rsidR="00DE1262">
        <w:rPr>
          <w:b w:val="0"/>
          <w:bCs w:val="0"/>
          <w:szCs w:val="22"/>
        </w:rPr>
        <w:t xml:space="preserve">new guidance for the accounting and reporting of derivatives that </w:t>
      </w:r>
      <w:r w:rsidR="00382B4B">
        <w:rPr>
          <w:b w:val="0"/>
          <w:bCs w:val="0"/>
          <w:szCs w:val="22"/>
        </w:rPr>
        <w:t xml:space="preserve">effectively hedge </w:t>
      </w:r>
      <w:r w:rsidR="00B04AE2">
        <w:rPr>
          <w:b w:val="0"/>
          <w:bCs w:val="0"/>
          <w:szCs w:val="22"/>
        </w:rPr>
        <w:t xml:space="preserve">the growth in interest credited for </w:t>
      </w:r>
      <w:r w:rsidR="00525845">
        <w:rPr>
          <w:b w:val="0"/>
          <w:bCs w:val="0"/>
          <w:szCs w:val="22"/>
        </w:rPr>
        <w:t xml:space="preserve">fixed </w:t>
      </w:r>
      <w:r w:rsidR="00382B4B">
        <w:rPr>
          <w:b w:val="0"/>
          <w:bCs w:val="0"/>
          <w:szCs w:val="22"/>
        </w:rPr>
        <w:t xml:space="preserve">indexed </w:t>
      </w:r>
      <w:r w:rsidR="00D56500">
        <w:rPr>
          <w:b w:val="0"/>
          <w:bCs w:val="0"/>
          <w:szCs w:val="22"/>
        </w:rPr>
        <w:t>products</w:t>
      </w:r>
      <w:r w:rsidR="00B80B5A">
        <w:rPr>
          <w:b w:val="0"/>
          <w:bCs w:val="0"/>
          <w:szCs w:val="22"/>
        </w:rPr>
        <w:t xml:space="preserve"> </w:t>
      </w:r>
      <w:r w:rsidR="004B7E69">
        <w:rPr>
          <w:b w:val="0"/>
          <w:bCs w:val="0"/>
          <w:szCs w:val="22"/>
        </w:rPr>
        <w:t xml:space="preserve">(for example, fixed indexed annuity (FIA) and indexed universal life (IUL) </w:t>
      </w:r>
      <w:r w:rsidR="0039379B">
        <w:rPr>
          <w:b w:val="0"/>
          <w:bCs w:val="0"/>
          <w:szCs w:val="22"/>
        </w:rPr>
        <w:t>reported</w:t>
      </w:r>
      <w:r w:rsidR="00B80B5A">
        <w:rPr>
          <w:b w:val="0"/>
          <w:bCs w:val="0"/>
          <w:szCs w:val="22"/>
        </w:rPr>
        <w:t xml:space="preserve"> in the general account. (NAIC staff </w:t>
      </w:r>
      <w:r w:rsidR="000C7887">
        <w:rPr>
          <w:b w:val="0"/>
          <w:bCs w:val="0"/>
          <w:szCs w:val="22"/>
        </w:rPr>
        <w:t xml:space="preserve">is also investigating </w:t>
      </w:r>
      <w:r w:rsidR="00114ABD">
        <w:rPr>
          <w:b w:val="0"/>
          <w:bCs w:val="0"/>
          <w:szCs w:val="22"/>
        </w:rPr>
        <w:t xml:space="preserve">the classification of </w:t>
      </w:r>
      <w:r w:rsidR="00A76FCC">
        <w:rPr>
          <w:b w:val="0"/>
          <w:bCs w:val="0"/>
          <w:szCs w:val="22"/>
        </w:rPr>
        <w:t xml:space="preserve">structured / </w:t>
      </w:r>
      <w:r w:rsidR="00114ABD">
        <w:rPr>
          <w:b w:val="0"/>
          <w:bCs w:val="0"/>
          <w:szCs w:val="22"/>
        </w:rPr>
        <w:t xml:space="preserve">registered indexed linked annuities </w:t>
      </w:r>
      <w:r w:rsidR="00014346">
        <w:rPr>
          <w:b w:val="0"/>
          <w:bCs w:val="0"/>
          <w:szCs w:val="22"/>
        </w:rPr>
        <w:t xml:space="preserve">(RILA) </w:t>
      </w:r>
      <w:r w:rsidR="00114ABD">
        <w:rPr>
          <w:b w:val="0"/>
          <w:bCs w:val="0"/>
          <w:szCs w:val="22"/>
        </w:rPr>
        <w:t>in the separate account, and the use of derivatives</w:t>
      </w:r>
      <w:r w:rsidR="005517D4">
        <w:rPr>
          <w:b w:val="0"/>
          <w:bCs w:val="0"/>
          <w:szCs w:val="22"/>
        </w:rPr>
        <w:t xml:space="preserve"> in the separate account to hedge risk</w:t>
      </w:r>
      <w:r w:rsidR="004D7081">
        <w:rPr>
          <w:b w:val="0"/>
          <w:bCs w:val="0"/>
          <w:szCs w:val="22"/>
        </w:rPr>
        <w:t xml:space="preserve"> related to these products</w:t>
      </w:r>
      <w:r w:rsidR="00825730">
        <w:rPr>
          <w:b w:val="0"/>
          <w:bCs w:val="0"/>
          <w:szCs w:val="22"/>
        </w:rPr>
        <w:t xml:space="preserve">. This assessment will be completed within a separate agenda item.) </w:t>
      </w:r>
      <w:r w:rsidR="00616D35">
        <w:rPr>
          <w:b w:val="0"/>
          <w:bCs w:val="0"/>
          <w:szCs w:val="22"/>
        </w:rPr>
        <w:t xml:space="preserve">This agenda item is proposed to be substantive, with potential development of a new </w:t>
      </w:r>
      <w:r w:rsidR="008C15FD">
        <w:rPr>
          <w:b w:val="0"/>
          <w:bCs w:val="0"/>
          <w:szCs w:val="22"/>
        </w:rPr>
        <w:t>SSAP</w:t>
      </w:r>
      <w:r w:rsidR="00D271ED">
        <w:rPr>
          <w:b w:val="0"/>
          <w:bCs w:val="0"/>
          <w:szCs w:val="22"/>
        </w:rPr>
        <w:t xml:space="preserve">. </w:t>
      </w:r>
    </w:p>
    <w:p w14:paraId="09FF9942" w14:textId="2DA71C58" w:rsidR="00724946" w:rsidRDefault="00724946" w:rsidP="00BA08A3">
      <w:pPr>
        <w:pStyle w:val="BodyText2"/>
        <w:rPr>
          <w:b w:val="0"/>
          <w:bCs w:val="0"/>
          <w:szCs w:val="22"/>
        </w:rPr>
      </w:pPr>
    </w:p>
    <w:p w14:paraId="424E1B26" w14:textId="52AEFAA7" w:rsidR="00294D36" w:rsidRDefault="00724946" w:rsidP="00BA08A3">
      <w:pPr>
        <w:pStyle w:val="BodyText2"/>
        <w:rPr>
          <w:b w:val="0"/>
          <w:bCs w:val="0"/>
          <w:szCs w:val="22"/>
        </w:rPr>
      </w:pPr>
      <w:r>
        <w:rPr>
          <w:b w:val="0"/>
          <w:bCs w:val="0"/>
          <w:szCs w:val="22"/>
        </w:rPr>
        <w:t xml:space="preserve">For </w:t>
      </w:r>
      <w:r w:rsidR="000D6293">
        <w:rPr>
          <w:b w:val="0"/>
          <w:bCs w:val="0"/>
          <w:szCs w:val="22"/>
        </w:rPr>
        <w:t>purposes of discussion</w:t>
      </w:r>
      <w:r>
        <w:rPr>
          <w:b w:val="0"/>
          <w:bCs w:val="0"/>
          <w:szCs w:val="22"/>
        </w:rPr>
        <w:t xml:space="preserve">, </w:t>
      </w:r>
      <w:r w:rsidR="00294D36">
        <w:rPr>
          <w:b w:val="0"/>
          <w:bCs w:val="0"/>
          <w:szCs w:val="22"/>
        </w:rPr>
        <w:t xml:space="preserve">the following definitions apply: </w:t>
      </w:r>
    </w:p>
    <w:p w14:paraId="1DD2B44F" w14:textId="77777777" w:rsidR="003C2045" w:rsidRDefault="003C2045" w:rsidP="00BA08A3">
      <w:pPr>
        <w:pStyle w:val="BodyText2"/>
        <w:rPr>
          <w:b w:val="0"/>
          <w:bCs w:val="0"/>
          <w:szCs w:val="22"/>
        </w:rPr>
      </w:pPr>
    </w:p>
    <w:p w14:paraId="2D05051E" w14:textId="5AE7EC64" w:rsidR="003C2045" w:rsidRPr="003C2045" w:rsidRDefault="003C2045" w:rsidP="003C2045">
      <w:pPr>
        <w:pStyle w:val="BodyText2"/>
        <w:numPr>
          <w:ilvl w:val="0"/>
          <w:numId w:val="20"/>
        </w:numPr>
        <w:rPr>
          <w:b w:val="0"/>
          <w:bCs w:val="0"/>
          <w:szCs w:val="22"/>
        </w:rPr>
      </w:pPr>
      <w:r w:rsidRPr="003C2045">
        <w:rPr>
          <w:b w:val="0"/>
          <w:bCs w:val="0"/>
          <w:szCs w:val="22"/>
        </w:rPr>
        <w:t>Fixed Indexed Annuity (FIA)</w:t>
      </w:r>
      <w:r w:rsidR="00D63D18">
        <w:rPr>
          <w:b w:val="0"/>
          <w:bCs w:val="0"/>
          <w:szCs w:val="22"/>
        </w:rPr>
        <w:t xml:space="preserve"> </w:t>
      </w:r>
      <w:r w:rsidRPr="003C2045">
        <w:rPr>
          <w:b w:val="0"/>
          <w:bCs w:val="0"/>
          <w:szCs w:val="22"/>
        </w:rPr>
        <w:t>-</w:t>
      </w:r>
      <w:r w:rsidR="00D63D18">
        <w:rPr>
          <w:b w:val="0"/>
          <w:bCs w:val="0"/>
          <w:szCs w:val="22"/>
        </w:rPr>
        <w:t xml:space="preserve"> </w:t>
      </w:r>
      <w:r w:rsidRPr="003C2045">
        <w:rPr>
          <w:b w:val="0"/>
          <w:bCs w:val="0"/>
          <w:szCs w:val="22"/>
        </w:rPr>
        <w:t xml:space="preserve">Zero risk of loss </w:t>
      </w:r>
      <w:r w:rsidR="009C0C86">
        <w:rPr>
          <w:b w:val="0"/>
          <w:bCs w:val="0"/>
          <w:szCs w:val="22"/>
        </w:rPr>
        <w:t xml:space="preserve">to the policyholder </w:t>
      </w:r>
      <w:r w:rsidRPr="003C2045">
        <w:rPr>
          <w:b w:val="0"/>
          <w:bCs w:val="0"/>
          <w:szCs w:val="22"/>
        </w:rPr>
        <w:t>(and subject to standard nonforfeiture minimum accumulation rates), interest credited based on performance of referenced index.</w:t>
      </w:r>
      <w:r w:rsidR="00D63D18">
        <w:rPr>
          <w:b w:val="0"/>
          <w:bCs w:val="0"/>
          <w:szCs w:val="22"/>
        </w:rPr>
        <w:t xml:space="preserve"> </w:t>
      </w:r>
      <w:r w:rsidR="00D63D18" w:rsidRPr="00455E1F">
        <w:rPr>
          <w:b w:val="0"/>
          <w:bCs w:val="0"/>
          <w:i/>
          <w:iCs/>
          <w:szCs w:val="22"/>
        </w:rPr>
        <w:t xml:space="preserve">(This </w:t>
      </w:r>
      <w:r w:rsidR="00455E1F" w:rsidRPr="00455E1F">
        <w:rPr>
          <w:b w:val="0"/>
          <w:bCs w:val="0"/>
          <w:i/>
          <w:iCs/>
          <w:szCs w:val="22"/>
        </w:rPr>
        <w:t>product</w:t>
      </w:r>
      <w:r w:rsidR="00455E1F">
        <w:rPr>
          <w:b w:val="0"/>
          <w:bCs w:val="0"/>
          <w:i/>
          <w:iCs/>
          <w:szCs w:val="22"/>
        </w:rPr>
        <w:t xml:space="preserve"> is</w:t>
      </w:r>
      <w:r w:rsidR="00455E1F" w:rsidRPr="00455E1F">
        <w:rPr>
          <w:b w:val="0"/>
          <w:bCs w:val="0"/>
          <w:i/>
          <w:iCs/>
          <w:szCs w:val="22"/>
        </w:rPr>
        <w:t xml:space="preserve"> </w:t>
      </w:r>
      <w:r w:rsidR="00455E1F">
        <w:rPr>
          <w:b w:val="0"/>
          <w:bCs w:val="0"/>
          <w:i/>
          <w:iCs/>
          <w:szCs w:val="22"/>
        </w:rPr>
        <w:t xml:space="preserve">addressed </w:t>
      </w:r>
      <w:r w:rsidR="00455E1F" w:rsidRPr="00455E1F">
        <w:rPr>
          <w:b w:val="0"/>
          <w:bCs w:val="0"/>
          <w:i/>
          <w:iCs/>
          <w:szCs w:val="22"/>
        </w:rPr>
        <w:t>in this agenda item.)</w:t>
      </w:r>
      <w:r w:rsidR="00455E1F">
        <w:rPr>
          <w:b w:val="0"/>
          <w:bCs w:val="0"/>
          <w:szCs w:val="22"/>
        </w:rPr>
        <w:t xml:space="preserve"> </w:t>
      </w:r>
    </w:p>
    <w:p w14:paraId="50BC9549" w14:textId="77777777" w:rsidR="003C2045" w:rsidRPr="003C2045" w:rsidRDefault="003C2045" w:rsidP="003C2045">
      <w:pPr>
        <w:pStyle w:val="BodyText2"/>
        <w:rPr>
          <w:b w:val="0"/>
          <w:bCs w:val="0"/>
          <w:szCs w:val="22"/>
        </w:rPr>
      </w:pPr>
    </w:p>
    <w:p w14:paraId="34A218F4" w14:textId="2011D7E7" w:rsidR="003C2045" w:rsidRPr="003C2045" w:rsidRDefault="003C2045" w:rsidP="003C2045">
      <w:pPr>
        <w:pStyle w:val="BodyText2"/>
        <w:numPr>
          <w:ilvl w:val="0"/>
          <w:numId w:val="20"/>
        </w:numPr>
        <w:rPr>
          <w:b w:val="0"/>
          <w:bCs w:val="0"/>
          <w:szCs w:val="22"/>
        </w:rPr>
      </w:pPr>
      <w:r w:rsidRPr="003C2045">
        <w:rPr>
          <w:b w:val="0"/>
          <w:bCs w:val="0"/>
          <w:szCs w:val="22"/>
        </w:rPr>
        <w:t xml:space="preserve">Registered Index-Linked Annuity (RILA) - Hybrid of a fixed indexed and variable annuity. Has risk of loss </w:t>
      </w:r>
      <w:r w:rsidR="009C0C86">
        <w:rPr>
          <w:b w:val="0"/>
          <w:bCs w:val="0"/>
          <w:szCs w:val="22"/>
        </w:rPr>
        <w:t>to policyholder</w:t>
      </w:r>
      <w:r w:rsidRPr="003C2045">
        <w:rPr>
          <w:b w:val="0"/>
          <w:bCs w:val="0"/>
          <w:szCs w:val="22"/>
        </w:rPr>
        <w:t xml:space="preserve">, but subject to buffers / floors. </w:t>
      </w:r>
      <w:r w:rsidR="00E94445">
        <w:rPr>
          <w:b w:val="0"/>
          <w:bCs w:val="0"/>
          <w:szCs w:val="22"/>
        </w:rPr>
        <w:t xml:space="preserve">(Components may be bifurcated between the general and separate account, but aspects captured in the separate account are </w:t>
      </w:r>
      <w:r w:rsidR="00E94445" w:rsidRPr="003C2045">
        <w:rPr>
          <w:b w:val="0"/>
          <w:bCs w:val="0"/>
          <w:szCs w:val="22"/>
        </w:rPr>
        <w:t>not</w:t>
      </w:r>
      <w:r w:rsidR="00E94445">
        <w:rPr>
          <w:b w:val="0"/>
          <w:bCs w:val="0"/>
          <w:szCs w:val="22"/>
        </w:rPr>
        <w:t xml:space="preserve"> </w:t>
      </w:r>
      <w:r w:rsidR="00E94445" w:rsidRPr="003C2045">
        <w:rPr>
          <w:b w:val="0"/>
          <w:bCs w:val="0"/>
          <w:szCs w:val="22"/>
        </w:rPr>
        <w:t>subject to nonforfeiture minimums)</w:t>
      </w:r>
      <w:r w:rsidR="00E94445">
        <w:rPr>
          <w:b w:val="0"/>
          <w:bCs w:val="0"/>
          <w:szCs w:val="22"/>
        </w:rPr>
        <w:t xml:space="preserve">. </w:t>
      </w:r>
      <w:r w:rsidRPr="003C2045">
        <w:rPr>
          <w:b w:val="0"/>
          <w:bCs w:val="0"/>
          <w:szCs w:val="22"/>
        </w:rPr>
        <w:t>Subject to registration as a security with the SEC.</w:t>
      </w:r>
      <w:r w:rsidR="00455E1F">
        <w:rPr>
          <w:b w:val="0"/>
          <w:bCs w:val="0"/>
          <w:szCs w:val="22"/>
        </w:rPr>
        <w:t xml:space="preserve"> </w:t>
      </w:r>
      <w:r w:rsidR="00455E1F" w:rsidRPr="00455E1F">
        <w:rPr>
          <w:b w:val="0"/>
          <w:bCs w:val="0"/>
          <w:i/>
          <w:iCs/>
          <w:szCs w:val="22"/>
        </w:rPr>
        <w:t>(</w:t>
      </w:r>
      <w:r w:rsidR="00525845">
        <w:rPr>
          <w:b w:val="0"/>
          <w:bCs w:val="0"/>
          <w:i/>
          <w:iCs/>
          <w:szCs w:val="22"/>
        </w:rPr>
        <w:t xml:space="preserve">This product may also be referred to as a “structured” index-linked annuity. </w:t>
      </w:r>
      <w:r w:rsidR="00455E1F" w:rsidRPr="00455E1F">
        <w:rPr>
          <w:b w:val="0"/>
          <w:bCs w:val="0"/>
          <w:i/>
          <w:iCs/>
          <w:szCs w:val="22"/>
        </w:rPr>
        <w:t xml:space="preserve">This product will be discussed in a separate agenda item.) </w:t>
      </w:r>
    </w:p>
    <w:p w14:paraId="0E8CEBB7" w14:textId="77777777" w:rsidR="00294D36" w:rsidRDefault="00294D36" w:rsidP="00BA08A3">
      <w:pPr>
        <w:pStyle w:val="BodyText2"/>
        <w:rPr>
          <w:b w:val="0"/>
          <w:bCs w:val="0"/>
          <w:szCs w:val="22"/>
        </w:rPr>
      </w:pPr>
    </w:p>
    <w:p w14:paraId="65055427" w14:textId="25854A64" w:rsidR="00BA08A3" w:rsidRDefault="00FC406F" w:rsidP="00BA08A3">
      <w:pPr>
        <w:pStyle w:val="BodyText2"/>
        <w:rPr>
          <w:b w:val="0"/>
          <w:bCs w:val="0"/>
          <w:szCs w:val="22"/>
        </w:rPr>
      </w:pPr>
      <w:r>
        <w:rPr>
          <w:b w:val="0"/>
          <w:bCs w:val="0"/>
          <w:szCs w:val="22"/>
        </w:rPr>
        <w:t xml:space="preserve">Current </w:t>
      </w:r>
      <w:r w:rsidR="003C32AC">
        <w:rPr>
          <w:b w:val="0"/>
          <w:bCs w:val="0"/>
          <w:szCs w:val="22"/>
        </w:rPr>
        <w:t xml:space="preserve">statutory accounting </w:t>
      </w:r>
      <w:r>
        <w:rPr>
          <w:b w:val="0"/>
          <w:bCs w:val="0"/>
          <w:szCs w:val="22"/>
        </w:rPr>
        <w:t>guidance for the accounting and reporting for derivatives i</w:t>
      </w:r>
      <w:r w:rsidR="003C32AC">
        <w:rPr>
          <w:b w:val="0"/>
          <w:bCs w:val="0"/>
          <w:szCs w:val="22"/>
        </w:rPr>
        <w:t xml:space="preserve">s captured in </w:t>
      </w:r>
      <w:r w:rsidR="003C32AC" w:rsidRPr="0032313E">
        <w:rPr>
          <w:b w:val="0"/>
          <w:bCs w:val="0"/>
          <w:i/>
          <w:iCs/>
          <w:szCs w:val="22"/>
        </w:rPr>
        <w:t>SSAP No. 86—Derivatives</w:t>
      </w:r>
      <w:r w:rsidR="003C32AC">
        <w:rPr>
          <w:b w:val="0"/>
          <w:bCs w:val="0"/>
          <w:szCs w:val="22"/>
        </w:rPr>
        <w:t xml:space="preserve"> and </w:t>
      </w:r>
      <w:r w:rsidR="003C32AC" w:rsidRPr="0032313E">
        <w:rPr>
          <w:b w:val="0"/>
          <w:bCs w:val="0"/>
          <w:i/>
          <w:iCs/>
          <w:szCs w:val="22"/>
        </w:rPr>
        <w:t>SSAP No. 108—</w:t>
      </w:r>
      <w:r w:rsidR="0012320C" w:rsidRPr="0032313E">
        <w:rPr>
          <w:b w:val="0"/>
          <w:bCs w:val="0"/>
          <w:i/>
          <w:iCs/>
          <w:szCs w:val="22"/>
        </w:rPr>
        <w:t>Derivatives Hedging Variable Annuity Guarantees</w:t>
      </w:r>
      <w:r w:rsidR="0012320C">
        <w:rPr>
          <w:b w:val="0"/>
          <w:bCs w:val="0"/>
          <w:szCs w:val="22"/>
        </w:rPr>
        <w:t xml:space="preserve">. </w:t>
      </w:r>
      <w:r w:rsidR="00C93990">
        <w:rPr>
          <w:b w:val="0"/>
          <w:bCs w:val="0"/>
          <w:szCs w:val="22"/>
        </w:rPr>
        <w:t>The provisions of</w:t>
      </w:r>
      <w:r w:rsidR="00917DF2">
        <w:rPr>
          <w:b w:val="0"/>
          <w:bCs w:val="0"/>
          <w:szCs w:val="22"/>
        </w:rPr>
        <w:t xml:space="preserve"> these SSAPs are </w:t>
      </w:r>
      <w:r w:rsidR="00986D24">
        <w:rPr>
          <w:b w:val="0"/>
          <w:bCs w:val="0"/>
          <w:szCs w:val="22"/>
        </w:rPr>
        <w:t xml:space="preserve">briefly </w:t>
      </w:r>
      <w:r w:rsidR="00917DF2">
        <w:rPr>
          <w:b w:val="0"/>
          <w:bCs w:val="0"/>
          <w:szCs w:val="22"/>
        </w:rPr>
        <w:t xml:space="preserve">summarized as follows: </w:t>
      </w:r>
    </w:p>
    <w:p w14:paraId="69F24217" w14:textId="0DDE5F39" w:rsidR="00917DF2" w:rsidRDefault="00917DF2" w:rsidP="00BA08A3">
      <w:pPr>
        <w:pStyle w:val="BodyText2"/>
        <w:rPr>
          <w:b w:val="0"/>
          <w:bCs w:val="0"/>
          <w:szCs w:val="22"/>
        </w:rPr>
      </w:pPr>
    </w:p>
    <w:p w14:paraId="26F7D2A5" w14:textId="74C64E88" w:rsidR="00917DF2" w:rsidRDefault="00986D24" w:rsidP="00986D24">
      <w:pPr>
        <w:pStyle w:val="BodyText2"/>
        <w:numPr>
          <w:ilvl w:val="0"/>
          <w:numId w:val="17"/>
        </w:numPr>
        <w:rPr>
          <w:b w:val="0"/>
          <w:bCs w:val="0"/>
          <w:szCs w:val="22"/>
        </w:rPr>
      </w:pPr>
      <w:r>
        <w:rPr>
          <w:b w:val="0"/>
          <w:bCs w:val="0"/>
          <w:szCs w:val="22"/>
        </w:rPr>
        <w:t>SSAP No. 86</w:t>
      </w:r>
      <w:r w:rsidR="00F01018">
        <w:rPr>
          <w:b w:val="0"/>
          <w:bCs w:val="0"/>
          <w:szCs w:val="22"/>
        </w:rPr>
        <w:t xml:space="preserve"> requires derivatives to be reported at fair value, with unrealized gains and losses recognized through surplus unless the derivative qualifies as an effective hedge. If </w:t>
      </w:r>
      <w:r w:rsidR="00007F19">
        <w:rPr>
          <w:b w:val="0"/>
          <w:bCs w:val="0"/>
          <w:szCs w:val="22"/>
        </w:rPr>
        <w:t xml:space="preserve">the derivative qualifies as an effective hedge, the derivative follows “hedge accounting,” with the derivative reported at a measurement </w:t>
      </w:r>
      <w:r w:rsidR="007B2B07">
        <w:rPr>
          <w:b w:val="0"/>
          <w:bCs w:val="0"/>
          <w:szCs w:val="22"/>
        </w:rPr>
        <w:t>method</w:t>
      </w:r>
      <w:r w:rsidR="00007F19">
        <w:rPr>
          <w:b w:val="0"/>
          <w:bCs w:val="0"/>
          <w:szCs w:val="22"/>
        </w:rPr>
        <w:t xml:space="preserve"> that mirrors the hedged item. </w:t>
      </w:r>
      <w:r w:rsidR="006B3F2B">
        <w:rPr>
          <w:b w:val="0"/>
          <w:bCs w:val="0"/>
          <w:szCs w:val="22"/>
        </w:rPr>
        <w:t xml:space="preserve">The </w:t>
      </w:r>
      <w:r w:rsidR="0014357B">
        <w:rPr>
          <w:b w:val="0"/>
          <w:bCs w:val="0"/>
          <w:szCs w:val="22"/>
        </w:rPr>
        <w:t xml:space="preserve">types of </w:t>
      </w:r>
      <w:r w:rsidR="006B3F2B">
        <w:rPr>
          <w:b w:val="0"/>
          <w:bCs w:val="0"/>
          <w:szCs w:val="22"/>
        </w:rPr>
        <w:t xml:space="preserve">hedging relationships, and criteria that determines effective hedge treatment, generally mirror U.S. GAAP. </w:t>
      </w:r>
      <w:r w:rsidR="000E0596">
        <w:rPr>
          <w:b w:val="0"/>
          <w:bCs w:val="0"/>
          <w:szCs w:val="22"/>
        </w:rPr>
        <w:t>With these provisions</w:t>
      </w:r>
      <w:r w:rsidR="000622EB">
        <w:rPr>
          <w:b w:val="0"/>
          <w:bCs w:val="0"/>
          <w:szCs w:val="22"/>
        </w:rPr>
        <w:t xml:space="preserve">, </w:t>
      </w:r>
      <w:r w:rsidR="000E0596">
        <w:rPr>
          <w:b w:val="0"/>
          <w:bCs w:val="0"/>
          <w:szCs w:val="22"/>
        </w:rPr>
        <w:t xml:space="preserve">derivatives used to hedge fixed indexed annuities would </w:t>
      </w:r>
      <w:r w:rsidR="007B2B07">
        <w:rPr>
          <w:b w:val="0"/>
          <w:bCs w:val="0"/>
          <w:szCs w:val="22"/>
        </w:rPr>
        <w:t xml:space="preserve">often </w:t>
      </w:r>
      <w:r w:rsidR="000E0596">
        <w:rPr>
          <w:b w:val="0"/>
          <w:bCs w:val="0"/>
          <w:szCs w:val="22"/>
        </w:rPr>
        <w:t xml:space="preserve">not qualify as effective hedges, </w:t>
      </w:r>
      <w:r w:rsidR="00AD3164">
        <w:rPr>
          <w:b w:val="0"/>
          <w:bCs w:val="0"/>
          <w:szCs w:val="22"/>
        </w:rPr>
        <w:t>so the derivatives</w:t>
      </w:r>
      <w:r w:rsidR="000E0596">
        <w:rPr>
          <w:b w:val="0"/>
          <w:bCs w:val="0"/>
          <w:szCs w:val="22"/>
        </w:rPr>
        <w:t xml:space="preserve"> would be reported at fair value. </w:t>
      </w:r>
      <w:r w:rsidR="00C57388">
        <w:rPr>
          <w:b w:val="0"/>
          <w:bCs w:val="0"/>
          <w:szCs w:val="22"/>
        </w:rPr>
        <w:t xml:space="preserve">From </w:t>
      </w:r>
      <w:r w:rsidR="00E61732">
        <w:rPr>
          <w:b w:val="0"/>
          <w:bCs w:val="0"/>
          <w:szCs w:val="22"/>
        </w:rPr>
        <w:t>initial assessments</w:t>
      </w:r>
      <w:r w:rsidR="00C57388">
        <w:rPr>
          <w:b w:val="0"/>
          <w:bCs w:val="0"/>
          <w:szCs w:val="22"/>
        </w:rPr>
        <w:t xml:space="preserve">, the </w:t>
      </w:r>
      <w:r w:rsidR="00BD6843">
        <w:rPr>
          <w:b w:val="0"/>
          <w:bCs w:val="0"/>
          <w:szCs w:val="22"/>
        </w:rPr>
        <w:t xml:space="preserve">hedge of a </w:t>
      </w:r>
      <w:r w:rsidR="00BD6843" w:rsidRPr="00E94445">
        <w:rPr>
          <w:b w:val="0"/>
          <w:bCs w:val="0"/>
          <w:szCs w:val="22"/>
        </w:rPr>
        <w:t>portfolio</w:t>
      </w:r>
      <w:r w:rsidR="00BD6843">
        <w:rPr>
          <w:b w:val="0"/>
          <w:bCs w:val="0"/>
          <w:szCs w:val="22"/>
        </w:rPr>
        <w:t xml:space="preserve"> of </w:t>
      </w:r>
      <w:r w:rsidR="004B7E69">
        <w:rPr>
          <w:b w:val="0"/>
          <w:bCs w:val="0"/>
          <w:szCs w:val="22"/>
        </w:rPr>
        <w:t>FIA/IUL</w:t>
      </w:r>
      <w:r w:rsidR="00BD6843">
        <w:rPr>
          <w:b w:val="0"/>
          <w:bCs w:val="0"/>
          <w:szCs w:val="22"/>
        </w:rPr>
        <w:t xml:space="preserve"> contracts</w:t>
      </w:r>
      <w:r w:rsidR="00E94445">
        <w:rPr>
          <w:b w:val="0"/>
          <w:bCs w:val="0"/>
          <w:szCs w:val="22"/>
        </w:rPr>
        <w:t>,</w:t>
      </w:r>
      <w:r w:rsidR="00BD6843">
        <w:rPr>
          <w:b w:val="0"/>
          <w:bCs w:val="0"/>
          <w:szCs w:val="22"/>
        </w:rPr>
        <w:t xml:space="preserve"> </w:t>
      </w:r>
      <w:r w:rsidR="0073343A">
        <w:rPr>
          <w:b w:val="0"/>
          <w:bCs w:val="0"/>
          <w:szCs w:val="22"/>
        </w:rPr>
        <w:t xml:space="preserve">as well as the </w:t>
      </w:r>
      <w:r w:rsidR="00E94445">
        <w:rPr>
          <w:b w:val="0"/>
          <w:bCs w:val="0"/>
          <w:szCs w:val="22"/>
        </w:rPr>
        <w:t>identification</w:t>
      </w:r>
      <w:r w:rsidR="0073343A">
        <w:rPr>
          <w:b w:val="0"/>
          <w:bCs w:val="0"/>
          <w:szCs w:val="22"/>
        </w:rPr>
        <w:t xml:space="preserve"> </w:t>
      </w:r>
      <w:r w:rsidR="00E94445">
        <w:rPr>
          <w:b w:val="0"/>
          <w:bCs w:val="0"/>
          <w:szCs w:val="22"/>
        </w:rPr>
        <w:t>as</w:t>
      </w:r>
      <w:r w:rsidR="0073343A">
        <w:rPr>
          <w:b w:val="0"/>
          <w:bCs w:val="0"/>
          <w:szCs w:val="22"/>
        </w:rPr>
        <w:t xml:space="preserve"> an embedded derivative</w:t>
      </w:r>
      <w:r w:rsidR="00E94445">
        <w:rPr>
          <w:b w:val="0"/>
          <w:bCs w:val="0"/>
          <w:szCs w:val="22"/>
        </w:rPr>
        <w:t>, preclude obtaining a hedge effectiveness under existing U.S. GAAP and SAP</w:t>
      </w:r>
      <w:r w:rsidR="00D271ED">
        <w:rPr>
          <w:b w:val="0"/>
          <w:bCs w:val="0"/>
          <w:szCs w:val="22"/>
        </w:rPr>
        <w:t xml:space="preserve">. </w:t>
      </w:r>
      <w:r w:rsidR="007866D3">
        <w:rPr>
          <w:b w:val="0"/>
          <w:bCs w:val="0"/>
          <w:szCs w:val="22"/>
        </w:rPr>
        <w:t>Although FASB has issued ASU 2017-1</w:t>
      </w:r>
      <w:r w:rsidR="009835E3">
        <w:rPr>
          <w:b w:val="0"/>
          <w:bCs w:val="0"/>
          <w:szCs w:val="22"/>
        </w:rPr>
        <w:t xml:space="preserve">2, which is still pending full statutory accounting review, </w:t>
      </w:r>
      <w:r w:rsidR="006D1D3F">
        <w:rPr>
          <w:b w:val="0"/>
          <w:bCs w:val="0"/>
          <w:szCs w:val="22"/>
        </w:rPr>
        <w:t xml:space="preserve">from </w:t>
      </w:r>
      <w:r w:rsidR="00597FC5">
        <w:rPr>
          <w:b w:val="0"/>
          <w:bCs w:val="0"/>
          <w:szCs w:val="22"/>
        </w:rPr>
        <w:t xml:space="preserve">initial </w:t>
      </w:r>
      <w:r w:rsidR="004B7E69">
        <w:rPr>
          <w:b w:val="0"/>
          <w:bCs w:val="0"/>
          <w:szCs w:val="22"/>
        </w:rPr>
        <w:t>review</w:t>
      </w:r>
      <w:r w:rsidR="006D1D3F">
        <w:rPr>
          <w:b w:val="0"/>
          <w:bCs w:val="0"/>
          <w:szCs w:val="22"/>
        </w:rPr>
        <w:t xml:space="preserve">, the revisions in that ASU do not assist in </w:t>
      </w:r>
      <w:r w:rsidR="00D0000A">
        <w:rPr>
          <w:b w:val="0"/>
          <w:bCs w:val="0"/>
          <w:szCs w:val="22"/>
        </w:rPr>
        <w:t>qualifying</w:t>
      </w:r>
      <w:r w:rsidR="0008682C">
        <w:rPr>
          <w:b w:val="0"/>
          <w:bCs w:val="0"/>
          <w:szCs w:val="22"/>
        </w:rPr>
        <w:t xml:space="preserve"> these hedges as effective</w:t>
      </w:r>
      <w:r w:rsidR="00D271ED">
        <w:rPr>
          <w:b w:val="0"/>
          <w:bCs w:val="0"/>
          <w:szCs w:val="22"/>
        </w:rPr>
        <w:t xml:space="preserve">. </w:t>
      </w:r>
    </w:p>
    <w:p w14:paraId="39F2E479" w14:textId="77777777" w:rsidR="00443469" w:rsidRDefault="00443469" w:rsidP="00443469">
      <w:pPr>
        <w:pStyle w:val="BodyText2"/>
        <w:ind w:left="720"/>
        <w:rPr>
          <w:b w:val="0"/>
          <w:bCs w:val="0"/>
          <w:szCs w:val="22"/>
        </w:rPr>
      </w:pPr>
    </w:p>
    <w:p w14:paraId="3C8EE8F9" w14:textId="2114DFD3" w:rsidR="00470296" w:rsidRDefault="00470296" w:rsidP="00986D24">
      <w:pPr>
        <w:pStyle w:val="BodyText2"/>
        <w:numPr>
          <w:ilvl w:val="0"/>
          <w:numId w:val="17"/>
        </w:numPr>
        <w:rPr>
          <w:b w:val="0"/>
          <w:bCs w:val="0"/>
          <w:szCs w:val="22"/>
        </w:rPr>
      </w:pPr>
      <w:r>
        <w:rPr>
          <w:b w:val="0"/>
          <w:bCs w:val="0"/>
          <w:szCs w:val="22"/>
        </w:rPr>
        <w:t>SSAP No. 108 was issued in 2018 for the specific intent to establish</w:t>
      </w:r>
      <w:r w:rsidR="004667B8">
        <w:rPr>
          <w:b w:val="0"/>
          <w:bCs w:val="0"/>
          <w:szCs w:val="22"/>
        </w:rPr>
        <w:t xml:space="preserve"> </w:t>
      </w:r>
      <w:r>
        <w:rPr>
          <w:b w:val="0"/>
          <w:bCs w:val="0"/>
          <w:szCs w:val="22"/>
        </w:rPr>
        <w:t xml:space="preserve">guidance for derivatives that effectively hedge variable annuity guarantees. </w:t>
      </w:r>
      <w:r w:rsidR="00F80134">
        <w:rPr>
          <w:b w:val="0"/>
          <w:bCs w:val="0"/>
          <w:szCs w:val="22"/>
        </w:rPr>
        <w:t xml:space="preserve">This guidance was necessary due to </w:t>
      </w:r>
      <w:r w:rsidR="005863FB">
        <w:rPr>
          <w:b w:val="0"/>
          <w:bCs w:val="0"/>
          <w:szCs w:val="22"/>
        </w:rPr>
        <w:t>financial statement v</w:t>
      </w:r>
      <w:r w:rsidR="00F80134">
        <w:rPr>
          <w:b w:val="0"/>
          <w:bCs w:val="0"/>
          <w:szCs w:val="22"/>
        </w:rPr>
        <w:t xml:space="preserve">olatility caused by </w:t>
      </w:r>
      <w:r w:rsidR="004D271A">
        <w:rPr>
          <w:b w:val="0"/>
          <w:bCs w:val="0"/>
          <w:szCs w:val="22"/>
        </w:rPr>
        <w:t xml:space="preserve">a mismatch of reporting for </w:t>
      </w:r>
      <w:r w:rsidR="000D2B0F">
        <w:rPr>
          <w:b w:val="0"/>
          <w:bCs w:val="0"/>
          <w:szCs w:val="22"/>
        </w:rPr>
        <w:t xml:space="preserve">the </w:t>
      </w:r>
      <w:r w:rsidR="00931391">
        <w:rPr>
          <w:b w:val="0"/>
          <w:bCs w:val="0"/>
          <w:szCs w:val="22"/>
        </w:rPr>
        <w:t xml:space="preserve">derivatives and the </w:t>
      </w:r>
      <w:r w:rsidR="003F269D">
        <w:rPr>
          <w:b w:val="0"/>
          <w:bCs w:val="0"/>
          <w:szCs w:val="22"/>
        </w:rPr>
        <w:t xml:space="preserve">variable annuity guarantee reserve. With the adopted provisions, all derivatives are reported at fair value, but the change in fair value </w:t>
      </w:r>
      <w:r w:rsidR="00AA1684">
        <w:rPr>
          <w:b w:val="0"/>
          <w:bCs w:val="0"/>
          <w:szCs w:val="22"/>
        </w:rPr>
        <w:t xml:space="preserve">is recognized </w:t>
      </w:r>
      <w:r w:rsidR="00673ADE">
        <w:rPr>
          <w:b w:val="0"/>
          <w:bCs w:val="0"/>
          <w:szCs w:val="22"/>
        </w:rPr>
        <w:t xml:space="preserve">differently based on </w:t>
      </w:r>
      <w:r w:rsidR="00637D7B">
        <w:rPr>
          <w:b w:val="0"/>
          <w:bCs w:val="0"/>
          <w:szCs w:val="22"/>
        </w:rPr>
        <w:t xml:space="preserve">when </w:t>
      </w:r>
      <w:r w:rsidR="004E78EA">
        <w:rPr>
          <w:b w:val="0"/>
          <w:bCs w:val="0"/>
          <w:szCs w:val="22"/>
        </w:rPr>
        <w:t xml:space="preserve">the change offsets </w:t>
      </w:r>
      <w:r w:rsidR="00262F1B">
        <w:rPr>
          <w:b w:val="0"/>
          <w:bCs w:val="0"/>
          <w:szCs w:val="22"/>
        </w:rPr>
        <w:t xml:space="preserve">a </w:t>
      </w:r>
      <w:r w:rsidR="00673ADE">
        <w:rPr>
          <w:b w:val="0"/>
          <w:bCs w:val="0"/>
          <w:szCs w:val="22"/>
        </w:rPr>
        <w:t>change in the reserve</w:t>
      </w:r>
      <w:r w:rsidR="005F5F98">
        <w:rPr>
          <w:b w:val="0"/>
          <w:bCs w:val="0"/>
          <w:szCs w:val="22"/>
        </w:rPr>
        <w:t xml:space="preserve"> (with the use of deferred assets)</w:t>
      </w:r>
      <w:r w:rsidR="00673ADE">
        <w:rPr>
          <w:b w:val="0"/>
          <w:bCs w:val="0"/>
          <w:szCs w:val="22"/>
        </w:rPr>
        <w:t xml:space="preserve">. This approach </w:t>
      </w:r>
      <w:r w:rsidR="00262175">
        <w:rPr>
          <w:b w:val="0"/>
          <w:bCs w:val="0"/>
          <w:szCs w:val="22"/>
        </w:rPr>
        <w:t xml:space="preserve">mitigates the </w:t>
      </w:r>
      <w:r w:rsidR="004E78EA">
        <w:rPr>
          <w:b w:val="0"/>
          <w:bCs w:val="0"/>
          <w:szCs w:val="22"/>
        </w:rPr>
        <w:t xml:space="preserve">financial statement </w:t>
      </w:r>
      <w:r w:rsidR="00262175">
        <w:rPr>
          <w:b w:val="0"/>
          <w:bCs w:val="0"/>
          <w:szCs w:val="22"/>
        </w:rPr>
        <w:t>volatility caused by the fair value change</w:t>
      </w:r>
      <w:r w:rsidR="00262F1B">
        <w:rPr>
          <w:b w:val="0"/>
          <w:bCs w:val="0"/>
          <w:szCs w:val="22"/>
        </w:rPr>
        <w:t>s</w:t>
      </w:r>
      <w:r w:rsidR="00262175">
        <w:rPr>
          <w:b w:val="0"/>
          <w:bCs w:val="0"/>
          <w:szCs w:val="22"/>
        </w:rPr>
        <w:t xml:space="preserve"> </w:t>
      </w:r>
      <w:r w:rsidR="004667B8">
        <w:rPr>
          <w:b w:val="0"/>
          <w:bCs w:val="0"/>
          <w:szCs w:val="22"/>
        </w:rPr>
        <w:t xml:space="preserve">in </w:t>
      </w:r>
      <w:r w:rsidR="005863FB">
        <w:rPr>
          <w:b w:val="0"/>
          <w:bCs w:val="0"/>
          <w:szCs w:val="22"/>
        </w:rPr>
        <w:t xml:space="preserve">qualifying </w:t>
      </w:r>
      <w:r w:rsidR="004667B8">
        <w:rPr>
          <w:b w:val="0"/>
          <w:bCs w:val="0"/>
          <w:szCs w:val="22"/>
        </w:rPr>
        <w:t xml:space="preserve">derivatives. </w:t>
      </w:r>
      <w:r w:rsidR="00262F1B">
        <w:rPr>
          <w:b w:val="0"/>
          <w:bCs w:val="0"/>
          <w:szCs w:val="22"/>
        </w:rPr>
        <w:t xml:space="preserve">The </w:t>
      </w:r>
      <w:r w:rsidR="00262F1B">
        <w:rPr>
          <w:b w:val="0"/>
          <w:bCs w:val="0"/>
          <w:szCs w:val="22"/>
        </w:rPr>
        <w:lastRenderedPageBreak/>
        <w:t xml:space="preserve">guidance in SSAP No. 108 is significantly different from SSAP No. 86 and U.S. GAAP as it permits </w:t>
      </w:r>
      <w:r w:rsidR="004104C1">
        <w:rPr>
          <w:b w:val="0"/>
          <w:bCs w:val="0"/>
          <w:szCs w:val="22"/>
        </w:rPr>
        <w:t xml:space="preserve">qualifying effective hedging assessments </w:t>
      </w:r>
      <w:r w:rsidR="007F3055">
        <w:rPr>
          <w:b w:val="0"/>
          <w:bCs w:val="0"/>
          <w:szCs w:val="22"/>
        </w:rPr>
        <w:t xml:space="preserve">in dynamic and macro hedging </w:t>
      </w:r>
      <w:r w:rsidR="0032313E">
        <w:rPr>
          <w:b w:val="0"/>
          <w:bCs w:val="0"/>
          <w:szCs w:val="22"/>
        </w:rPr>
        <w:t xml:space="preserve">programs. </w:t>
      </w:r>
      <w:r w:rsidR="00F42760">
        <w:rPr>
          <w:b w:val="0"/>
          <w:bCs w:val="0"/>
          <w:szCs w:val="22"/>
        </w:rPr>
        <w:t>Use of SSAP No. 108 is restricted</w:t>
      </w:r>
      <w:r w:rsidR="007165EE">
        <w:rPr>
          <w:b w:val="0"/>
          <w:bCs w:val="0"/>
          <w:szCs w:val="22"/>
        </w:rPr>
        <w:t xml:space="preserve">, and is limited to annuity contracts and other contracts involving certain guaranteed annuity benefits similar to those offered </w:t>
      </w:r>
      <w:r w:rsidR="00F367A9">
        <w:rPr>
          <w:b w:val="0"/>
          <w:bCs w:val="0"/>
          <w:szCs w:val="22"/>
        </w:rPr>
        <w:t xml:space="preserve">with variable annuities that are reserved for in accordance with </w:t>
      </w:r>
      <w:r w:rsidR="00F367A9" w:rsidRPr="005969C0">
        <w:rPr>
          <w:b w:val="0"/>
          <w:bCs w:val="0"/>
          <w:i/>
          <w:iCs/>
          <w:szCs w:val="22"/>
        </w:rPr>
        <w:t xml:space="preserve">Valuation Manual 21: Requirements for Principal-Based </w:t>
      </w:r>
      <w:r w:rsidR="005969C0" w:rsidRPr="005969C0">
        <w:rPr>
          <w:b w:val="0"/>
          <w:bCs w:val="0"/>
          <w:i/>
          <w:iCs/>
          <w:szCs w:val="22"/>
        </w:rPr>
        <w:t>Reserves for Variable Annuities</w:t>
      </w:r>
      <w:r w:rsidR="005969C0">
        <w:rPr>
          <w:b w:val="0"/>
          <w:bCs w:val="0"/>
          <w:szCs w:val="22"/>
        </w:rPr>
        <w:t xml:space="preserve"> (VM-21). </w:t>
      </w:r>
    </w:p>
    <w:p w14:paraId="38DB66E3" w14:textId="77777777" w:rsidR="00443469" w:rsidRPr="00710B40" w:rsidRDefault="00443469" w:rsidP="00443469">
      <w:pPr>
        <w:pStyle w:val="BodyText2"/>
        <w:ind w:left="720"/>
        <w:rPr>
          <w:b w:val="0"/>
          <w:bCs w:val="0"/>
          <w:szCs w:val="22"/>
        </w:rPr>
      </w:pPr>
    </w:p>
    <w:p w14:paraId="2875C230" w14:textId="54AACE02" w:rsidR="0067394D" w:rsidRPr="0067394D" w:rsidRDefault="0067394D" w:rsidP="00BA08A3">
      <w:pPr>
        <w:pStyle w:val="BodyText2"/>
        <w:rPr>
          <w:b w:val="0"/>
          <w:bCs w:val="0"/>
          <w:szCs w:val="22"/>
          <w:u w:val="single"/>
        </w:rPr>
      </w:pPr>
      <w:bookmarkStart w:id="5" w:name="_Hlk53653104"/>
      <w:r w:rsidRPr="0067394D">
        <w:rPr>
          <w:b w:val="0"/>
          <w:bCs w:val="0"/>
          <w:szCs w:val="22"/>
          <w:u w:val="single"/>
        </w:rPr>
        <w:t>Accounting / Reporting Issue</w:t>
      </w:r>
    </w:p>
    <w:p w14:paraId="3621000D" w14:textId="76FF6E1E" w:rsidR="008C56C4" w:rsidRDefault="0067394D" w:rsidP="00BA08A3">
      <w:pPr>
        <w:pStyle w:val="BodyText2"/>
        <w:rPr>
          <w:b w:val="0"/>
          <w:bCs w:val="0"/>
          <w:szCs w:val="22"/>
        </w:rPr>
      </w:pPr>
      <w:r>
        <w:rPr>
          <w:b w:val="0"/>
          <w:bCs w:val="0"/>
          <w:szCs w:val="22"/>
        </w:rPr>
        <w:t xml:space="preserve">It has been identified that </w:t>
      </w:r>
      <w:r w:rsidR="00B118B3">
        <w:rPr>
          <w:b w:val="0"/>
          <w:bCs w:val="0"/>
          <w:szCs w:val="22"/>
        </w:rPr>
        <w:t xml:space="preserve">there is a mismatch of accounting provisions </w:t>
      </w:r>
      <w:r w:rsidR="00104B00">
        <w:rPr>
          <w:b w:val="0"/>
          <w:bCs w:val="0"/>
          <w:szCs w:val="22"/>
        </w:rPr>
        <w:t>when derivative</w:t>
      </w:r>
      <w:r w:rsidR="004E328A">
        <w:rPr>
          <w:b w:val="0"/>
          <w:bCs w:val="0"/>
          <w:szCs w:val="22"/>
        </w:rPr>
        <w:t>s</w:t>
      </w:r>
      <w:r w:rsidR="00104B00">
        <w:rPr>
          <w:b w:val="0"/>
          <w:bCs w:val="0"/>
          <w:szCs w:val="22"/>
        </w:rPr>
        <w:t xml:space="preserve"> are used to hedge </w:t>
      </w:r>
      <w:r w:rsidR="004D7081">
        <w:rPr>
          <w:b w:val="0"/>
          <w:bCs w:val="0"/>
          <w:szCs w:val="22"/>
        </w:rPr>
        <w:t xml:space="preserve">the growth in interest credited </w:t>
      </w:r>
      <w:r w:rsidR="006C3217">
        <w:rPr>
          <w:b w:val="0"/>
          <w:bCs w:val="0"/>
          <w:szCs w:val="22"/>
        </w:rPr>
        <w:t xml:space="preserve">to </w:t>
      </w:r>
      <w:r w:rsidR="00104B00">
        <w:rPr>
          <w:b w:val="0"/>
          <w:bCs w:val="0"/>
          <w:szCs w:val="22"/>
        </w:rPr>
        <w:t>reserves</w:t>
      </w:r>
      <w:r w:rsidR="004E328A">
        <w:rPr>
          <w:b w:val="0"/>
          <w:bCs w:val="0"/>
          <w:szCs w:val="22"/>
        </w:rPr>
        <w:t xml:space="preserve"> (liability)</w:t>
      </w:r>
      <w:r w:rsidR="00104B00">
        <w:rPr>
          <w:b w:val="0"/>
          <w:bCs w:val="0"/>
          <w:szCs w:val="22"/>
        </w:rPr>
        <w:t xml:space="preserve">. </w:t>
      </w:r>
      <w:r w:rsidR="000A7B78">
        <w:rPr>
          <w:b w:val="0"/>
          <w:bCs w:val="0"/>
          <w:szCs w:val="22"/>
        </w:rPr>
        <w:t>Although the derivative may be an effective hedge to the</w:t>
      </w:r>
      <w:r w:rsidR="005D1D61">
        <w:rPr>
          <w:b w:val="0"/>
          <w:bCs w:val="0"/>
          <w:szCs w:val="22"/>
        </w:rPr>
        <w:t xml:space="preserve"> interest credited for the performance of a referenced index, </w:t>
      </w:r>
      <w:r w:rsidR="00745788">
        <w:rPr>
          <w:b w:val="0"/>
          <w:bCs w:val="0"/>
          <w:szCs w:val="22"/>
        </w:rPr>
        <w:t>under the provisions of</w:t>
      </w:r>
      <w:r w:rsidR="00F9686F">
        <w:rPr>
          <w:b w:val="0"/>
          <w:bCs w:val="0"/>
          <w:szCs w:val="22"/>
        </w:rPr>
        <w:t xml:space="preserve"> SSAP No. 86</w:t>
      </w:r>
      <w:r w:rsidR="00D72D33">
        <w:rPr>
          <w:b w:val="0"/>
          <w:bCs w:val="0"/>
          <w:szCs w:val="22"/>
        </w:rPr>
        <w:t xml:space="preserve">, </w:t>
      </w:r>
      <w:r w:rsidR="00136122">
        <w:rPr>
          <w:b w:val="0"/>
          <w:bCs w:val="0"/>
          <w:szCs w:val="22"/>
        </w:rPr>
        <w:t xml:space="preserve">the derivative </w:t>
      </w:r>
      <w:r w:rsidR="00D72D33">
        <w:rPr>
          <w:b w:val="0"/>
          <w:bCs w:val="0"/>
          <w:szCs w:val="22"/>
        </w:rPr>
        <w:t xml:space="preserve">does not qualify for hedge accounting. As such, the derivative is reported </w:t>
      </w:r>
      <w:r w:rsidR="00F9686F">
        <w:rPr>
          <w:b w:val="0"/>
          <w:bCs w:val="0"/>
          <w:szCs w:val="22"/>
        </w:rPr>
        <w:t>at fair value</w:t>
      </w:r>
      <w:r w:rsidR="00D72D33">
        <w:rPr>
          <w:b w:val="0"/>
          <w:bCs w:val="0"/>
          <w:szCs w:val="22"/>
        </w:rPr>
        <w:t xml:space="preserve">, with </w:t>
      </w:r>
      <w:r w:rsidR="00136122">
        <w:rPr>
          <w:b w:val="0"/>
          <w:bCs w:val="0"/>
          <w:szCs w:val="22"/>
        </w:rPr>
        <w:t xml:space="preserve">fair value </w:t>
      </w:r>
      <w:r w:rsidR="00D72D33">
        <w:rPr>
          <w:b w:val="0"/>
          <w:bCs w:val="0"/>
          <w:szCs w:val="22"/>
        </w:rPr>
        <w:t>change</w:t>
      </w:r>
      <w:r w:rsidR="003F172E">
        <w:rPr>
          <w:b w:val="0"/>
          <w:bCs w:val="0"/>
          <w:szCs w:val="22"/>
        </w:rPr>
        <w:t>s</w:t>
      </w:r>
      <w:r w:rsidR="00D72D33">
        <w:rPr>
          <w:b w:val="0"/>
          <w:bCs w:val="0"/>
          <w:szCs w:val="22"/>
        </w:rPr>
        <w:t xml:space="preserve"> </w:t>
      </w:r>
      <w:r w:rsidR="00136122">
        <w:rPr>
          <w:b w:val="0"/>
          <w:bCs w:val="0"/>
          <w:szCs w:val="22"/>
        </w:rPr>
        <w:t xml:space="preserve">recognized </w:t>
      </w:r>
      <w:r w:rsidR="00D72D33">
        <w:rPr>
          <w:b w:val="0"/>
          <w:bCs w:val="0"/>
          <w:szCs w:val="22"/>
        </w:rPr>
        <w:t>as unrealized gain</w:t>
      </w:r>
      <w:r w:rsidR="003F172E">
        <w:rPr>
          <w:b w:val="0"/>
          <w:bCs w:val="0"/>
          <w:szCs w:val="22"/>
        </w:rPr>
        <w:t>s</w:t>
      </w:r>
      <w:r w:rsidR="00D72D33">
        <w:rPr>
          <w:b w:val="0"/>
          <w:bCs w:val="0"/>
          <w:szCs w:val="22"/>
        </w:rPr>
        <w:t xml:space="preserve"> or loss</w:t>
      </w:r>
      <w:r w:rsidR="003F172E">
        <w:rPr>
          <w:b w:val="0"/>
          <w:bCs w:val="0"/>
          <w:szCs w:val="22"/>
        </w:rPr>
        <w:t>es</w:t>
      </w:r>
      <w:r w:rsidR="00D72D33">
        <w:rPr>
          <w:b w:val="0"/>
          <w:bCs w:val="0"/>
          <w:szCs w:val="22"/>
        </w:rPr>
        <w:t xml:space="preserve"> </w:t>
      </w:r>
      <w:r w:rsidR="00BE15B5">
        <w:rPr>
          <w:b w:val="0"/>
          <w:bCs w:val="0"/>
          <w:szCs w:val="22"/>
        </w:rPr>
        <w:t>through surplus</w:t>
      </w:r>
      <w:r w:rsidR="00136122">
        <w:rPr>
          <w:b w:val="0"/>
          <w:bCs w:val="0"/>
          <w:szCs w:val="22"/>
        </w:rPr>
        <w:t xml:space="preserve">. With this reporting, </w:t>
      </w:r>
      <w:r w:rsidR="00BF7D3E">
        <w:rPr>
          <w:b w:val="0"/>
          <w:bCs w:val="0"/>
          <w:szCs w:val="22"/>
        </w:rPr>
        <w:t xml:space="preserve">the results of the effective hedge </w:t>
      </w:r>
      <w:r w:rsidR="00F9686F">
        <w:rPr>
          <w:b w:val="0"/>
          <w:bCs w:val="0"/>
          <w:szCs w:val="22"/>
        </w:rPr>
        <w:t xml:space="preserve">do not directly offset the change in reserve recognized </w:t>
      </w:r>
      <w:r w:rsidR="00B50E54">
        <w:rPr>
          <w:b w:val="0"/>
          <w:bCs w:val="0"/>
          <w:szCs w:val="22"/>
        </w:rPr>
        <w:t>in the summary of operations</w:t>
      </w:r>
      <w:r w:rsidR="00CD5F54">
        <w:rPr>
          <w:b w:val="0"/>
          <w:bCs w:val="0"/>
          <w:szCs w:val="22"/>
        </w:rPr>
        <w:t xml:space="preserve"> during the hedging period</w:t>
      </w:r>
      <w:r w:rsidR="00B50E54">
        <w:rPr>
          <w:b w:val="0"/>
          <w:bCs w:val="0"/>
          <w:szCs w:val="22"/>
        </w:rPr>
        <w:t xml:space="preserve">. </w:t>
      </w:r>
      <w:r w:rsidR="00E464C2">
        <w:rPr>
          <w:b w:val="0"/>
          <w:bCs w:val="0"/>
          <w:szCs w:val="22"/>
        </w:rPr>
        <w:t>The ultimate</w:t>
      </w:r>
      <w:r w:rsidR="00602341">
        <w:rPr>
          <w:b w:val="0"/>
          <w:bCs w:val="0"/>
          <w:szCs w:val="22"/>
        </w:rPr>
        <w:t xml:space="preserve"> impact </w:t>
      </w:r>
      <w:r w:rsidR="00E464C2">
        <w:rPr>
          <w:b w:val="0"/>
          <w:bCs w:val="0"/>
          <w:szCs w:val="22"/>
        </w:rPr>
        <w:t xml:space="preserve">is </w:t>
      </w:r>
      <w:r w:rsidR="00602341">
        <w:rPr>
          <w:b w:val="0"/>
          <w:bCs w:val="0"/>
          <w:szCs w:val="22"/>
        </w:rPr>
        <w:t xml:space="preserve">the effective hedge is not illustrated in the </w:t>
      </w:r>
      <w:r w:rsidR="00E61F77">
        <w:rPr>
          <w:b w:val="0"/>
          <w:bCs w:val="0"/>
          <w:szCs w:val="22"/>
        </w:rPr>
        <w:t xml:space="preserve">company’s </w:t>
      </w:r>
      <w:r w:rsidR="00A15ACE">
        <w:rPr>
          <w:b w:val="0"/>
          <w:bCs w:val="0"/>
          <w:szCs w:val="22"/>
        </w:rPr>
        <w:t xml:space="preserve">performance </w:t>
      </w:r>
      <w:r w:rsidR="00E61F77">
        <w:rPr>
          <w:b w:val="0"/>
          <w:bCs w:val="0"/>
          <w:szCs w:val="22"/>
        </w:rPr>
        <w:t>results</w:t>
      </w:r>
      <w:r w:rsidR="00A15ACE">
        <w:rPr>
          <w:b w:val="0"/>
          <w:bCs w:val="0"/>
          <w:szCs w:val="22"/>
        </w:rPr>
        <w:t xml:space="preserve"> within the </w:t>
      </w:r>
      <w:r w:rsidR="00602341">
        <w:rPr>
          <w:b w:val="0"/>
          <w:bCs w:val="0"/>
          <w:szCs w:val="22"/>
        </w:rPr>
        <w:t>financial statements</w:t>
      </w:r>
      <w:r w:rsidR="00AE4118">
        <w:rPr>
          <w:b w:val="0"/>
          <w:bCs w:val="0"/>
          <w:szCs w:val="22"/>
        </w:rPr>
        <w:t xml:space="preserve">, </w:t>
      </w:r>
      <w:r w:rsidR="008F56DE">
        <w:rPr>
          <w:b w:val="0"/>
          <w:bCs w:val="0"/>
          <w:szCs w:val="22"/>
        </w:rPr>
        <w:t>and</w:t>
      </w:r>
      <w:r w:rsidR="00AE4118">
        <w:rPr>
          <w:b w:val="0"/>
          <w:bCs w:val="0"/>
          <w:szCs w:val="22"/>
        </w:rPr>
        <w:t xml:space="preserve"> </w:t>
      </w:r>
      <w:r w:rsidR="005067A0">
        <w:rPr>
          <w:b w:val="0"/>
          <w:bCs w:val="0"/>
          <w:szCs w:val="22"/>
        </w:rPr>
        <w:t xml:space="preserve">the current reporting </w:t>
      </w:r>
      <w:r w:rsidR="00AE4118">
        <w:rPr>
          <w:b w:val="0"/>
          <w:bCs w:val="0"/>
          <w:szCs w:val="22"/>
        </w:rPr>
        <w:t xml:space="preserve">creates </w:t>
      </w:r>
      <w:r w:rsidR="005067A0">
        <w:rPr>
          <w:b w:val="0"/>
          <w:bCs w:val="0"/>
          <w:szCs w:val="22"/>
        </w:rPr>
        <w:t xml:space="preserve">a presentation of </w:t>
      </w:r>
      <w:r w:rsidR="00AE4118">
        <w:rPr>
          <w:b w:val="0"/>
          <w:bCs w:val="0"/>
          <w:szCs w:val="22"/>
        </w:rPr>
        <w:t xml:space="preserve">additional </w:t>
      </w:r>
      <w:r w:rsidR="005067A0">
        <w:rPr>
          <w:b w:val="0"/>
          <w:bCs w:val="0"/>
          <w:szCs w:val="22"/>
        </w:rPr>
        <w:t xml:space="preserve">surplus </w:t>
      </w:r>
      <w:r w:rsidR="00AE4118">
        <w:rPr>
          <w:b w:val="0"/>
          <w:bCs w:val="0"/>
          <w:szCs w:val="22"/>
        </w:rPr>
        <w:t xml:space="preserve">volatility from the use of </w:t>
      </w:r>
      <w:r w:rsidR="00415A96">
        <w:rPr>
          <w:b w:val="0"/>
          <w:bCs w:val="0"/>
          <w:szCs w:val="22"/>
        </w:rPr>
        <w:t>derivatives</w:t>
      </w:r>
      <w:r w:rsidR="003D603A">
        <w:rPr>
          <w:b w:val="0"/>
          <w:bCs w:val="0"/>
          <w:szCs w:val="22"/>
        </w:rPr>
        <w:t>, although they are effectively hed</w:t>
      </w:r>
      <w:r w:rsidR="00F92A75">
        <w:rPr>
          <w:b w:val="0"/>
          <w:bCs w:val="0"/>
          <w:szCs w:val="22"/>
        </w:rPr>
        <w:t xml:space="preserve">ging </w:t>
      </w:r>
      <w:r w:rsidR="00B462A0">
        <w:rPr>
          <w:b w:val="0"/>
          <w:bCs w:val="0"/>
          <w:szCs w:val="22"/>
        </w:rPr>
        <w:t xml:space="preserve">the growth in interest </w:t>
      </w:r>
      <w:r w:rsidR="00CD6618">
        <w:rPr>
          <w:b w:val="0"/>
          <w:bCs w:val="0"/>
          <w:szCs w:val="22"/>
        </w:rPr>
        <w:t xml:space="preserve">that will be </w:t>
      </w:r>
      <w:r w:rsidR="00B462A0">
        <w:rPr>
          <w:b w:val="0"/>
          <w:bCs w:val="0"/>
          <w:szCs w:val="22"/>
        </w:rPr>
        <w:t>credited to the policy as a direct result of related indices</w:t>
      </w:r>
      <w:r w:rsidR="008F56DE">
        <w:rPr>
          <w:b w:val="0"/>
          <w:bCs w:val="0"/>
          <w:szCs w:val="22"/>
        </w:rPr>
        <w:t>.</w:t>
      </w:r>
    </w:p>
    <w:p w14:paraId="7D495247" w14:textId="77777777" w:rsidR="008C56C4" w:rsidRDefault="008C56C4" w:rsidP="00BA08A3">
      <w:pPr>
        <w:pStyle w:val="BodyText2"/>
        <w:rPr>
          <w:b w:val="0"/>
          <w:bCs w:val="0"/>
          <w:szCs w:val="22"/>
        </w:rPr>
      </w:pPr>
    </w:p>
    <w:p w14:paraId="1B7BA6AF" w14:textId="43F09B61" w:rsidR="00217078" w:rsidRDefault="00217078" w:rsidP="00BA08A3">
      <w:pPr>
        <w:pStyle w:val="BodyText2"/>
        <w:rPr>
          <w:b w:val="0"/>
          <w:bCs w:val="0"/>
          <w:szCs w:val="22"/>
        </w:rPr>
      </w:pPr>
      <w:r>
        <w:rPr>
          <w:b w:val="0"/>
          <w:bCs w:val="0"/>
          <w:szCs w:val="22"/>
        </w:rPr>
        <w:t xml:space="preserve">Although specialized guidance </w:t>
      </w:r>
      <w:r w:rsidR="008E15F2">
        <w:rPr>
          <w:b w:val="0"/>
          <w:bCs w:val="0"/>
          <w:szCs w:val="22"/>
        </w:rPr>
        <w:t>was</w:t>
      </w:r>
      <w:r>
        <w:rPr>
          <w:b w:val="0"/>
          <w:bCs w:val="0"/>
          <w:szCs w:val="22"/>
        </w:rPr>
        <w:t xml:space="preserve"> developed in SSAP No. 108 </w:t>
      </w:r>
      <w:r w:rsidR="00114415">
        <w:rPr>
          <w:b w:val="0"/>
          <w:bCs w:val="0"/>
          <w:szCs w:val="22"/>
        </w:rPr>
        <w:t xml:space="preserve">to address derivatives hedging variable annuity guarantees, the guidance in SSAP No. 108 </w:t>
      </w:r>
      <w:r w:rsidR="00B26E38">
        <w:rPr>
          <w:b w:val="0"/>
          <w:bCs w:val="0"/>
          <w:szCs w:val="22"/>
        </w:rPr>
        <w:t xml:space="preserve">cannot be easily adapted to incorporate </w:t>
      </w:r>
      <w:r w:rsidR="008E15F2">
        <w:rPr>
          <w:b w:val="0"/>
          <w:bCs w:val="0"/>
          <w:szCs w:val="22"/>
        </w:rPr>
        <w:t xml:space="preserve">derivatives hedging </w:t>
      </w:r>
      <w:r w:rsidR="00D85BEA">
        <w:rPr>
          <w:b w:val="0"/>
          <w:bCs w:val="0"/>
          <w:szCs w:val="22"/>
        </w:rPr>
        <w:t xml:space="preserve">the growth in interest credited to </w:t>
      </w:r>
      <w:r w:rsidR="00B26E38">
        <w:rPr>
          <w:b w:val="0"/>
          <w:bCs w:val="0"/>
          <w:szCs w:val="22"/>
        </w:rPr>
        <w:t>FIA</w:t>
      </w:r>
      <w:r w:rsidR="004B7E69">
        <w:rPr>
          <w:b w:val="0"/>
          <w:bCs w:val="0"/>
          <w:szCs w:val="22"/>
        </w:rPr>
        <w:t>/IUL</w:t>
      </w:r>
      <w:r w:rsidR="00D85BEA">
        <w:rPr>
          <w:b w:val="0"/>
          <w:bCs w:val="0"/>
          <w:szCs w:val="22"/>
        </w:rPr>
        <w:t xml:space="preserve"> reserves</w:t>
      </w:r>
      <w:r w:rsidR="00B26E38">
        <w:rPr>
          <w:b w:val="0"/>
          <w:bCs w:val="0"/>
          <w:szCs w:val="22"/>
        </w:rPr>
        <w:t xml:space="preserve">. </w:t>
      </w:r>
      <w:r w:rsidR="00845245">
        <w:rPr>
          <w:b w:val="0"/>
          <w:bCs w:val="0"/>
          <w:szCs w:val="22"/>
        </w:rPr>
        <w:t xml:space="preserve">This is primarily because the fundamental hedging provisions in SSAP No. 108 </w:t>
      </w:r>
      <w:r w:rsidR="0092710B">
        <w:rPr>
          <w:b w:val="0"/>
          <w:bCs w:val="0"/>
          <w:szCs w:val="22"/>
        </w:rPr>
        <w:t xml:space="preserve">utilize a fair value hedging approach. </w:t>
      </w:r>
      <w:r w:rsidR="00227C5B">
        <w:rPr>
          <w:b w:val="0"/>
          <w:bCs w:val="0"/>
          <w:szCs w:val="22"/>
        </w:rPr>
        <w:t>Under that approach, t</w:t>
      </w:r>
      <w:r w:rsidR="0092710B">
        <w:rPr>
          <w:b w:val="0"/>
          <w:bCs w:val="0"/>
          <w:szCs w:val="22"/>
        </w:rPr>
        <w:t>he fair value change of the hedging instruments is compared to the fair value change of the variable annuity reserves to determine effectiveness. However, fo</w:t>
      </w:r>
      <w:r w:rsidR="002B6ABA">
        <w:rPr>
          <w:b w:val="0"/>
          <w:bCs w:val="0"/>
          <w:szCs w:val="22"/>
        </w:rPr>
        <w:t xml:space="preserve">r derivatives hedging </w:t>
      </w:r>
      <w:r w:rsidR="007321B6">
        <w:rPr>
          <w:b w:val="0"/>
          <w:bCs w:val="0"/>
          <w:szCs w:val="22"/>
        </w:rPr>
        <w:t xml:space="preserve">the growth in interest credited for </w:t>
      </w:r>
      <w:r w:rsidR="002B6ABA">
        <w:rPr>
          <w:b w:val="0"/>
          <w:bCs w:val="0"/>
          <w:szCs w:val="22"/>
        </w:rPr>
        <w:t>FIA</w:t>
      </w:r>
      <w:r w:rsidR="004B7E69">
        <w:rPr>
          <w:b w:val="0"/>
          <w:bCs w:val="0"/>
          <w:szCs w:val="22"/>
        </w:rPr>
        <w:t>/IUL</w:t>
      </w:r>
      <w:r w:rsidR="002B6ABA">
        <w:rPr>
          <w:b w:val="0"/>
          <w:bCs w:val="0"/>
          <w:szCs w:val="22"/>
        </w:rPr>
        <w:t xml:space="preserve"> reserves, determination of effectiveness </w:t>
      </w:r>
      <w:r w:rsidR="006C5A9D">
        <w:rPr>
          <w:b w:val="0"/>
          <w:bCs w:val="0"/>
          <w:szCs w:val="22"/>
        </w:rPr>
        <w:t>is</w:t>
      </w:r>
      <w:r w:rsidR="002B6ABA">
        <w:rPr>
          <w:b w:val="0"/>
          <w:bCs w:val="0"/>
          <w:szCs w:val="22"/>
        </w:rPr>
        <w:t xml:space="preserve"> driven by a cash flow hedge assessment. </w:t>
      </w:r>
      <w:r w:rsidR="00656323">
        <w:rPr>
          <w:b w:val="0"/>
          <w:bCs w:val="0"/>
          <w:szCs w:val="22"/>
        </w:rPr>
        <w:t xml:space="preserve">Meaning, that the hedging derivative will produce cash flows that will offset the </w:t>
      </w:r>
      <w:r w:rsidR="003E0496">
        <w:rPr>
          <w:b w:val="0"/>
          <w:bCs w:val="0"/>
          <w:szCs w:val="22"/>
        </w:rPr>
        <w:t xml:space="preserve">indexed-based </w:t>
      </w:r>
      <w:r w:rsidR="00656323">
        <w:rPr>
          <w:b w:val="0"/>
          <w:bCs w:val="0"/>
          <w:szCs w:val="22"/>
        </w:rPr>
        <w:t xml:space="preserve">interest crediting rate </w:t>
      </w:r>
      <w:r w:rsidR="00FD4B10">
        <w:rPr>
          <w:b w:val="0"/>
          <w:bCs w:val="0"/>
          <w:szCs w:val="22"/>
        </w:rPr>
        <w:t xml:space="preserve">in the hedged reserves. </w:t>
      </w:r>
    </w:p>
    <w:p w14:paraId="3666B8FC" w14:textId="1DD359F7" w:rsidR="002C0A8A" w:rsidRDefault="002C0A8A" w:rsidP="00BA08A3">
      <w:pPr>
        <w:pStyle w:val="BodyText2"/>
        <w:rPr>
          <w:b w:val="0"/>
          <w:bCs w:val="0"/>
          <w:szCs w:val="22"/>
        </w:rPr>
      </w:pPr>
    </w:p>
    <w:p w14:paraId="502F17F8" w14:textId="059DD6D9" w:rsidR="002C0A8A" w:rsidRDefault="002C0A8A" w:rsidP="00BA08A3">
      <w:pPr>
        <w:pStyle w:val="BodyText2"/>
        <w:rPr>
          <w:b w:val="0"/>
          <w:bCs w:val="0"/>
          <w:szCs w:val="22"/>
        </w:rPr>
      </w:pPr>
      <w:r>
        <w:rPr>
          <w:b w:val="0"/>
          <w:bCs w:val="0"/>
          <w:szCs w:val="22"/>
        </w:rPr>
        <w:t xml:space="preserve">Although the programs may vary </w:t>
      </w:r>
      <w:r w:rsidR="003836E7">
        <w:rPr>
          <w:b w:val="0"/>
          <w:bCs w:val="0"/>
          <w:szCs w:val="22"/>
        </w:rPr>
        <w:t xml:space="preserve">significantly </w:t>
      </w:r>
      <w:r>
        <w:rPr>
          <w:b w:val="0"/>
          <w:bCs w:val="0"/>
          <w:szCs w:val="22"/>
        </w:rPr>
        <w:t>by company, it is anticipated that</w:t>
      </w:r>
      <w:r w:rsidR="004F3421">
        <w:rPr>
          <w:b w:val="0"/>
          <w:bCs w:val="0"/>
          <w:szCs w:val="22"/>
        </w:rPr>
        <w:t xml:space="preserve"> the following elements may be present in these derivative arrangements: </w:t>
      </w:r>
    </w:p>
    <w:p w14:paraId="7F065DBD" w14:textId="32472801" w:rsidR="004F3421" w:rsidRDefault="004F3421" w:rsidP="00BA08A3">
      <w:pPr>
        <w:pStyle w:val="BodyText2"/>
        <w:rPr>
          <w:b w:val="0"/>
          <w:bCs w:val="0"/>
          <w:szCs w:val="22"/>
        </w:rPr>
      </w:pPr>
    </w:p>
    <w:p w14:paraId="5F27AE25" w14:textId="25CDE6C4" w:rsidR="00061B00" w:rsidRDefault="001709F9" w:rsidP="004F3421">
      <w:pPr>
        <w:pStyle w:val="BodyText2"/>
        <w:numPr>
          <w:ilvl w:val="0"/>
          <w:numId w:val="31"/>
        </w:numPr>
        <w:rPr>
          <w:b w:val="0"/>
          <w:bCs w:val="0"/>
          <w:szCs w:val="22"/>
        </w:rPr>
      </w:pPr>
      <w:r>
        <w:rPr>
          <w:b w:val="0"/>
          <w:bCs w:val="0"/>
          <w:szCs w:val="22"/>
        </w:rPr>
        <w:t xml:space="preserve">Designation of many hedged items </w:t>
      </w:r>
      <w:r w:rsidR="00EB6583">
        <w:rPr>
          <w:b w:val="0"/>
          <w:bCs w:val="0"/>
          <w:szCs w:val="22"/>
        </w:rPr>
        <w:t xml:space="preserve">that reflect </w:t>
      </w:r>
      <w:r>
        <w:rPr>
          <w:b w:val="0"/>
          <w:bCs w:val="0"/>
          <w:szCs w:val="22"/>
        </w:rPr>
        <w:t>bundles of FIA</w:t>
      </w:r>
      <w:r w:rsidR="004B7E69">
        <w:rPr>
          <w:b w:val="0"/>
          <w:bCs w:val="0"/>
          <w:szCs w:val="22"/>
        </w:rPr>
        <w:t>/IUL</w:t>
      </w:r>
      <w:r>
        <w:rPr>
          <w:b w:val="0"/>
          <w:bCs w:val="0"/>
          <w:szCs w:val="22"/>
        </w:rPr>
        <w:t xml:space="preserve"> contracts with similar terms/crediting dates hedged with a single</w:t>
      </w:r>
      <w:r w:rsidR="003A44C1">
        <w:rPr>
          <w:b w:val="0"/>
          <w:bCs w:val="0"/>
          <w:szCs w:val="22"/>
        </w:rPr>
        <w:t xml:space="preserve"> </w:t>
      </w:r>
      <w:r w:rsidR="002B5774">
        <w:rPr>
          <w:b w:val="0"/>
          <w:bCs w:val="0"/>
          <w:szCs w:val="22"/>
        </w:rPr>
        <w:t>derivative (</w:t>
      </w:r>
      <w:r w:rsidR="003A44C1">
        <w:rPr>
          <w:b w:val="0"/>
          <w:bCs w:val="0"/>
          <w:szCs w:val="22"/>
        </w:rPr>
        <w:t>or portfolio of derivatives</w:t>
      </w:r>
      <w:r w:rsidR="002B5774">
        <w:rPr>
          <w:b w:val="0"/>
          <w:bCs w:val="0"/>
          <w:szCs w:val="22"/>
        </w:rPr>
        <w:t>)</w:t>
      </w:r>
      <w:r w:rsidR="003A44C1">
        <w:rPr>
          <w:b w:val="0"/>
          <w:bCs w:val="0"/>
          <w:szCs w:val="22"/>
        </w:rPr>
        <w:t xml:space="preserve"> to exactly mirror the terms of the crediting rate</w:t>
      </w:r>
      <w:r w:rsidR="006A06BF">
        <w:rPr>
          <w:b w:val="0"/>
          <w:bCs w:val="0"/>
          <w:szCs w:val="22"/>
        </w:rPr>
        <w:t xml:space="preserve">, resulting with </w:t>
      </w:r>
      <w:r w:rsidR="00A30BB0">
        <w:rPr>
          <w:b w:val="0"/>
          <w:bCs w:val="0"/>
          <w:szCs w:val="22"/>
        </w:rPr>
        <w:t xml:space="preserve">the intent of </w:t>
      </w:r>
      <w:r w:rsidR="006A06BF">
        <w:rPr>
          <w:b w:val="0"/>
          <w:bCs w:val="0"/>
          <w:szCs w:val="22"/>
        </w:rPr>
        <w:t xml:space="preserve">a perfect hedge. </w:t>
      </w:r>
      <w:r w:rsidR="00507A7F">
        <w:rPr>
          <w:b w:val="0"/>
          <w:bCs w:val="0"/>
          <w:szCs w:val="22"/>
        </w:rPr>
        <w:t>(It is anticipated that a reporting entity would have ma</w:t>
      </w:r>
      <w:r w:rsidR="0096189E">
        <w:rPr>
          <w:b w:val="0"/>
          <w:bCs w:val="0"/>
          <w:szCs w:val="22"/>
        </w:rPr>
        <w:t xml:space="preserve">ny outstanding </w:t>
      </w:r>
      <w:r w:rsidR="00FB723D">
        <w:rPr>
          <w:b w:val="0"/>
          <w:bCs w:val="0"/>
          <w:szCs w:val="22"/>
        </w:rPr>
        <w:t xml:space="preserve">derivative structures to cover various bundles of FIA contracts.) </w:t>
      </w:r>
    </w:p>
    <w:p w14:paraId="62E94FC8" w14:textId="77777777" w:rsidR="00061B00" w:rsidRDefault="00061B00" w:rsidP="00061B00">
      <w:pPr>
        <w:pStyle w:val="BodyText2"/>
        <w:ind w:left="720"/>
        <w:rPr>
          <w:b w:val="0"/>
          <w:bCs w:val="0"/>
          <w:szCs w:val="22"/>
        </w:rPr>
      </w:pPr>
    </w:p>
    <w:p w14:paraId="35F3925D" w14:textId="13D40DCC" w:rsidR="00F47307" w:rsidRDefault="00061B00" w:rsidP="004F3421">
      <w:pPr>
        <w:pStyle w:val="BodyText2"/>
        <w:numPr>
          <w:ilvl w:val="0"/>
          <w:numId w:val="31"/>
        </w:numPr>
        <w:rPr>
          <w:b w:val="0"/>
          <w:bCs w:val="0"/>
          <w:szCs w:val="22"/>
        </w:rPr>
      </w:pPr>
      <w:r>
        <w:rPr>
          <w:b w:val="0"/>
          <w:bCs w:val="0"/>
          <w:szCs w:val="22"/>
        </w:rPr>
        <w:t xml:space="preserve">Continuous assessment of hedge, noting deviations between </w:t>
      </w:r>
      <w:r w:rsidR="006F0E76">
        <w:rPr>
          <w:b w:val="0"/>
          <w:bCs w:val="0"/>
          <w:szCs w:val="22"/>
        </w:rPr>
        <w:t xml:space="preserve">the intended </w:t>
      </w:r>
      <w:r>
        <w:rPr>
          <w:b w:val="0"/>
          <w:bCs w:val="0"/>
          <w:szCs w:val="22"/>
        </w:rPr>
        <w:t xml:space="preserve">perfect match due to changes in </w:t>
      </w:r>
      <w:r w:rsidR="00EB6583">
        <w:rPr>
          <w:b w:val="0"/>
          <w:bCs w:val="0"/>
          <w:szCs w:val="22"/>
        </w:rPr>
        <w:t xml:space="preserve">the </w:t>
      </w:r>
      <w:r>
        <w:rPr>
          <w:b w:val="0"/>
          <w:bCs w:val="0"/>
          <w:szCs w:val="22"/>
        </w:rPr>
        <w:t>portfolio of hedged items (e.g., policy lapses)</w:t>
      </w:r>
      <w:r w:rsidR="00F85142">
        <w:rPr>
          <w:b w:val="0"/>
          <w:bCs w:val="0"/>
          <w:szCs w:val="22"/>
        </w:rPr>
        <w:t xml:space="preserve"> or slight issues with execution (e.g., </w:t>
      </w:r>
      <w:r w:rsidR="006F0E76">
        <w:rPr>
          <w:b w:val="0"/>
          <w:bCs w:val="0"/>
          <w:szCs w:val="22"/>
        </w:rPr>
        <w:t>timing delay in derivative acquisition)</w:t>
      </w:r>
      <w:r w:rsidR="00286D67">
        <w:rPr>
          <w:b w:val="0"/>
          <w:bCs w:val="0"/>
          <w:szCs w:val="22"/>
        </w:rPr>
        <w:t xml:space="preserve"> or maturity dates (e.g., 360 instead of 365 days)</w:t>
      </w:r>
      <w:r w:rsidR="006F0E76">
        <w:rPr>
          <w:b w:val="0"/>
          <w:bCs w:val="0"/>
          <w:szCs w:val="22"/>
        </w:rPr>
        <w:t>.</w:t>
      </w:r>
    </w:p>
    <w:p w14:paraId="5C42C2C4" w14:textId="77777777" w:rsidR="00F47307" w:rsidRDefault="00F47307" w:rsidP="00F47307">
      <w:pPr>
        <w:pStyle w:val="ListParagraph"/>
        <w:rPr>
          <w:b/>
          <w:bCs/>
          <w:szCs w:val="22"/>
        </w:rPr>
      </w:pPr>
    </w:p>
    <w:p w14:paraId="6ED66A14" w14:textId="3F55209D" w:rsidR="004F3421" w:rsidRPr="00217078" w:rsidRDefault="00FC10FC" w:rsidP="004F3421">
      <w:pPr>
        <w:pStyle w:val="BodyText2"/>
        <w:numPr>
          <w:ilvl w:val="0"/>
          <w:numId w:val="31"/>
        </w:numPr>
        <w:rPr>
          <w:b w:val="0"/>
          <w:bCs w:val="0"/>
          <w:szCs w:val="22"/>
        </w:rPr>
      </w:pPr>
      <w:r>
        <w:rPr>
          <w:b w:val="0"/>
          <w:bCs w:val="0"/>
          <w:szCs w:val="22"/>
        </w:rPr>
        <w:t xml:space="preserve">Incorporation of additional derivatives (macro/dynamic) </w:t>
      </w:r>
      <w:r w:rsidR="00FA6176">
        <w:rPr>
          <w:b w:val="0"/>
          <w:bCs w:val="0"/>
          <w:szCs w:val="22"/>
        </w:rPr>
        <w:t xml:space="preserve">as needed to </w:t>
      </w:r>
      <w:r>
        <w:rPr>
          <w:b w:val="0"/>
          <w:bCs w:val="0"/>
          <w:szCs w:val="22"/>
        </w:rPr>
        <w:t>overla</w:t>
      </w:r>
      <w:r w:rsidR="00FA6176">
        <w:rPr>
          <w:b w:val="0"/>
          <w:bCs w:val="0"/>
          <w:szCs w:val="22"/>
        </w:rPr>
        <w:t>y</w:t>
      </w:r>
      <w:r>
        <w:rPr>
          <w:b w:val="0"/>
          <w:bCs w:val="0"/>
          <w:szCs w:val="22"/>
        </w:rPr>
        <w:t xml:space="preserve"> the entire structure to </w:t>
      </w:r>
      <w:r w:rsidR="006746AD">
        <w:rPr>
          <w:b w:val="0"/>
          <w:bCs w:val="0"/>
          <w:szCs w:val="22"/>
        </w:rPr>
        <w:t xml:space="preserve">address deviations in the intended match and </w:t>
      </w:r>
      <w:r>
        <w:rPr>
          <w:b w:val="0"/>
          <w:bCs w:val="0"/>
          <w:szCs w:val="22"/>
        </w:rPr>
        <w:t>ensure</w:t>
      </w:r>
      <w:r w:rsidR="00F73853">
        <w:rPr>
          <w:b w:val="0"/>
          <w:bCs w:val="0"/>
          <w:szCs w:val="22"/>
        </w:rPr>
        <w:t xml:space="preserve"> effective coverage of risk </w:t>
      </w:r>
      <w:r w:rsidR="0089708B">
        <w:rPr>
          <w:b w:val="0"/>
          <w:bCs w:val="0"/>
          <w:szCs w:val="22"/>
        </w:rPr>
        <w:t>of</w:t>
      </w:r>
      <w:r w:rsidR="00F73853">
        <w:rPr>
          <w:b w:val="0"/>
          <w:bCs w:val="0"/>
          <w:szCs w:val="22"/>
        </w:rPr>
        <w:t xml:space="preserve"> the FIA</w:t>
      </w:r>
      <w:r w:rsidR="004B7E69">
        <w:rPr>
          <w:b w:val="0"/>
          <w:bCs w:val="0"/>
          <w:szCs w:val="22"/>
        </w:rPr>
        <w:t>/IUL</w:t>
      </w:r>
      <w:r w:rsidR="00F73853">
        <w:rPr>
          <w:b w:val="0"/>
          <w:bCs w:val="0"/>
          <w:szCs w:val="22"/>
        </w:rPr>
        <w:t xml:space="preserve"> crediting rate</w:t>
      </w:r>
      <w:r w:rsidR="00D271ED">
        <w:rPr>
          <w:b w:val="0"/>
          <w:bCs w:val="0"/>
          <w:szCs w:val="22"/>
        </w:rPr>
        <w:t xml:space="preserve">. </w:t>
      </w:r>
    </w:p>
    <w:p w14:paraId="5A668C5B" w14:textId="77777777" w:rsidR="0067394D" w:rsidRDefault="0067394D" w:rsidP="00BA08A3">
      <w:pPr>
        <w:pStyle w:val="BodyText2"/>
        <w:rPr>
          <w:b w:val="0"/>
          <w:bCs w:val="0"/>
          <w:szCs w:val="22"/>
        </w:rPr>
      </w:pPr>
    </w:p>
    <w:p w14:paraId="6CBF9F5D" w14:textId="77777777" w:rsidR="00C4690F" w:rsidRDefault="00FD4B10" w:rsidP="00FD4B10">
      <w:pPr>
        <w:pStyle w:val="BodyText2"/>
        <w:rPr>
          <w:b w:val="0"/>
          <w:bCs w:val="0"/>
          <w:szCs w:val="22"/>
          <w:u w:val="single"/>
        </w:rPr>
      </w:pPr>
      <w:r w:rsidRPr="00217078">
        <w:rPr>
          <w:b w:val="0"/>
          <w:bCs w:val="0"/>
          <w:szCs w:val="22"/>
          <w:u w:val="single"/>
        </w:rPr>
        <w:t xml:space="preserve">Proposed Concepts to Address Reporting Mismatch: </w:t>
      </w:r>
    </w:p>
    <w:p w14:paraId="46A6234D" w14:textId="05C3ECFF" w:rsidR="00724FD3" w:rsidRDefault="00C739C2" w:rsidP="00FD4B10">
      <w:pPr>
        <w:pStyle w:val="BodyText2"/>
        <w:rPr>
          <w:b w:val="0"/>
          <w:bCs w:val="0"/>
          <w:szCs w:val="22"/>
        </w:rPr>
      </w:pPr>
      <w:r>
        <w:rPr>
          <w:b w:val="0"/>
          <w:bCs w:val="0"/>
          <w:szCs w:val="22"/>
        </w:rPr>
        <w:t xml:space="preserve">This agenda item proposes to incorporate new statutory accounting guidance </w:t>
      </w:r>
      <w:r w:rsidR="00344529">
        <w:rPr>
          <w:b w:val="0"/>
          <w:bCs w:val="0"/>
          <w:szCs w:val="22"/>
        </w:rPr>
        <w:t xml:space="preserve">to establish accounting and reporting concepts that properly represent the use of effective hedges for </w:t>
      </w:r>
      <w:r w:rsidR="00702816">
        <w:rPr>
          <w:b w:val="0"/>
          <w:bCs w:val="0"/>
          <w:szCs w:val="22"/>
        </w:rPr>
        <w:t>indexed products in the general account</w:t>
      </w:r>
      <w:r w:rsidR="00466C38">
        <w:rPr>
          <w:b w:val="0"/>
          <w:bCs w:val="0"/>
          <w:szCs w:val="22"/>
        </w:rPr>
        <w:t xml:space="preserve">. </w:t>
      </w:r>
      <w:r w:rsidR="00724FD3">
        <w:rPr>
          <w:b w:val="0"/>
          <w:bCs w:val="0"/>
          <w:szCs w:val="22"/>
        </w:rPr>
        <w:t xml:space="preserve">From an initial assessment, it appears that there are two potential approaches to consider: </w:t>
      </w:r>
    </w:p>
    <w:p w14:paraId="11030737" w14:textId="3C387C02" w:rsidR="00FE4A6B" w:rsidRDefault="00FE4A6B" w:rsidP="00FD4B10">
      <w:pPr>
        <w:pStyle w:val="BodyText2"/>
        <w:rPr>
          <w:b w:val="0"/>
          <w:bCs w:val="0"/>
          <w:szCs w:val="22"/>
        </w:rPr>
      </w:pPr>
    </w:p>
    <w:p w14:paraId="5DFA26F3" w14:textId="4739A675" w:rsidR="00FE4A6B" w:rsidRDefault="000E2191" w:rsidP="00095623">
      <w:pPr>
        <w:pStyle w:val="BodyText2"/>
        <w:numPr>
          <w:ilvl w:val="0"/>
          <w:numId w:val="23"/>
        </w:numPr>
        <w:ind w:left="720"/>
        <w:rPr>
          <w:b w:val="0"/>
          <w:bCs w:val="0"/>
          <w:szCs w:val="22"/>
        </w:rPr>
      </w:pPr>
      <w:bookmarkStart w:id="6" w:name="_Hlk54784974"/>
      <w:r w:rsidRPr="00C021B3">
        <w:rPr>
          <w:b w:val="0"/>
          <w:bCs w:val="0"/>
          <w:szCs w:val="22"/>
          <w:u w:val="single"/>
        </w:rPr>
        <w:t xml:space="preserve">Approach 1: </w:t>
      </w:r>
      <w:r w:rsidR="00F72B0E" w:rsidRPr="00C021B3">
        <w:rPr>
          <w:b w:val="0"/>
          <w:bCs w:val="0"/>
          <w:szCs w:val="22"/>
          <w:u w:val="single"/>
        </w:rPr>
        <w:t>Establish guidance that permits effective hedge treatment that is in line with SSAP No. 86.</w:t>
      </w:r>
      <w:r w:rsidR="00F72B0E">
        <w:rPr>
          <w:b w:val="0"/>
          <w:bCs w:val="0"/>
          <w:szCs w:val="22"/>
        </w:rPr>
        <w:t xml:space="preserve"> With this approach, the derivative would be reported at amortized cost, with direction that the</w:t>
      </w:r>
      <w:r w:rsidR="00D1585E">
        <w:rPr>
          <w:b w:val="0"/>
          <w:bCs w:val="0"/>
          <w:szCs w:val="22"/>
        </w:rPr>
        <w:t xml:space="preserve"> </w:t>
      </w:r>
      <w:r w:rsidR="0042071F">
        <w:rPr>
          <w:b w:val="0"/>
          <w:bCs w:val="0"/>
          <w:szCs w:val="22"/>
        </w:rPr>
        <w:t xml:space="preserve">fair value </w:t>
      </w:r>
      <w:r w:rsidR="00F72B0E">
        <w:rPr>
          <w:b w:val="0"/>
          <w:bCs w:val="0"/>
          <w:szCs w:val="22"/>
        </w:rPr>
        <w:t xml:space="preserve">changes in the hedging derivative </w:t>
      </w:r>
      <w:r w:rsidR="00D43CCC">
        <w:rPr>
          <w:b w:val="0"/>
          <w:bCs w:val="0"/>
          <w:szCs w:val="22"/>
        </w:rPr>
        <w:t xml:space="preserve">(at settlement) </w:t>
      </w:r>
      <w:r w:rsidR="00986236">
        <w:rPr>
          <w:b w:val="0"/>
          <w:bCs w:val="0"/>
          <w:szCs w:val="22"/>
        </w:rPr>
        <w:t>would be recognized to</w:t>
      </w:r>
      <w:r w:rsidR="00287CE2">
        <w:rPr>
          <w:b w:val="0"/>
          <w:bCs w:val="0"/>
          <w:szCs w:val="22"/>
        </w:rPr>
        <w:t xml:space="preserve"> net investment income (or </w:t>
      </w:r>
      <w:r w:rsidR="00986236">
        <w:rPr>
          <w:b w:val="0"/>
          <w:bCs w:val="0"/>
          <w:szCs w:val="22"/>
        </w:rPr>
        <w:t>realized gains and losses</w:t>
      </w:r>
      <w:r w:rsidR="006B2B51">
        <w:rPr>
          <w:b w:val="0"/>
          <w:bCs w:val="0"/>
          <w:szCs w:val="22"/>
        </w:rPr>
        <w:t>)</w:t>
      </w:r>
      <w:r w:rsidR="00C16D40">
        <w:rPr>
          <w:b w:val="0"/>
          <w:bCs w:val="0"/>
          <w:szCs w:val="22"/>
        </w:rPr>
        <w:t xml:space="preserve"> to offset the recognized change in FIA</w:t>
      </w:r>
      <w:r w:rsidR="004B7E69">
        <w:rPr>
          <w:b w:val="0"/>
          <w:bCs w:val="0"/>
          <w:szCs w:val="22"/>
        </w:rPr>
        <w:t>/IUL</w:t>
      </w:r>
      <w:r w:rsidR="00C16D40">
        <w:rPr>
          <w:b w:val="0"/>
          <w:bCs w:val="0"/>
          <w:szCs w:val="22"/>
        </w:rPr>
        <w:t xml:space="preserve"> reserve</w:t>
      </w:r>
      <w:r w:rsidR="00986236">
        <w:rPr>
          <w:b w:val="0"/>
          <w:bCs w:val="0"/>
          <w:szCs w:val="22"/>
        </w:rPr>
        <w:t xml:space="preserve">. </w:t>
      </w:r>
      <w:r w:rsidR="00247550" w:rsidRPr="00D43CCC">
        <w:rPr>
          <w:b w:val="0"/>
          <w:bCs w:val="0"/>
          <w:szCs w:val="22"/>
        </w:rPr>
        <w:t>With th</w:t>
      </w:r>
      <w:r w:rsidR="00AE18AA" w:rsidRPr="00D43CCC">
        <w:rPr>
          <w:b w:val="0"/>
          <w:bCs w:val="0"/>
          <w:szCs w:val="22"/>
        </w:rPr>
        <w:t xml:space="preserve">is approach, the derivatives would change </w:t>
      </w:r>
      <w:r w:rsidR="001F675E">
        <w:rPr>
          <w:b w:val="0"/>
          <w:bCs w:val="0"/>
          <w:szCs w:val="22"/>
        </w:rPr>
        <w:t xml:space="preserve">the SAP </w:t>
      </w:r>
      <w:r w:rsidR="00AE18AA" w:rsidRPr="00D43CCC">
        <w:rPr>
          <w:b w:val="0"/>
          <w:bCs w:val="0"/>
          <w:szCs w:val="22"/>
        </w:rPr>
        <w:t xml:space="preserve">measurement method (from fair value to amortized cost) and </w:t>
      </w:r>
      <w:r w:rsidR="00BB59CF" w:rsidRPr="00D43CCC">
        <w:rPr>
          <w:b w:val="0"/>
          <w:bCs w:val="0"/>
          <w:szCs w:val="22"/>
        </w:rPr>
        <w:t>result with a disconnect from U.S. GAAP</w:t>
      </w:r>
      <w:r w:rsidR="00652BE8" w:rsidRPr="00D43CCC">
        <w:rPr>
          <w:b w:val="0"/>
          <w:bCs w:val="0"/>
          <w:szCs w:val="22"/>
        </w:rPr>
        <w:t xml:space="preserve"> in the </w:t>
      </w:r>
      <w:r w:rsidR="008876B5" w:rsidRPr="00D43CCC">
        <w:rPr>
          <w:b w:val="0"/>
          <w:bCs w:val="0"/>
          <w:szCs w:val="22"/>
        </w:rPr>
        <w:t xml:space="preserve">derivative </w:t>
      </w:r>
      <w:r w:rsidR="00BE442E" w:rsidRPr="00D43CCC">
        <w:rPr>
          <w:b w:val="0"/>
          <w:bCs w:val="0"/>
          <w:szCs w:val="22"/>
        </w:rPr>
        <w:t>reported value</w:t>
      </w:r>
      <w:r w:rsidR="0057022E" w:rsidRPr="00D43CCC">
        <w:rPr>
          <w:b w:val="0"/>
          <w:bCs w:val="0"/>
          <w:szCs w:val="22"/>
        </w:rPr>
        <w:t xml:space="preserve"> as all derivatives are required to be reported at fair value under U.S. GAAP</w:t>
      </w:r>
      <w:r w:rsidR="00BB59CF" w:rsidRPr="00D43CCC">
        <w:rPr>
          <w:b w:val="0"/>
          <w:bCs w:val="0"/>
          <w:szCs w:val="22"/>
        </w:rPr>
        <w:t xml:space="preserve">. </w:t>
      </w:r>
      <w:r w:rsidR="00914880" w:rsidRPr="00D43CCC">
        <w:rPr>
          <w:b w:val="0"/>
          <w:bCs w:val="0"/>
          <w:szCs w:val="22"/>
        </w:rPr>
        <w:t>This approach would not reflect changes in the derivative</w:t>
      </w:r>
      <w:r w:rsidR="00B378FA" w:rsidRPr="00D43CCC">
        <w:rPr>
          <w:b w:val="0"/>
          <w:bCs w:val="0"/>
          <w:szCs w:val="22"/>
        </w:rPr>
        <w:t xml:space="preserve"> position</w:t>
      </w:r>
      <w:r w:rsidR="00914880" w:rsidRPr="00D43CCC">
        <w:rPr>
          <w:b w:val="0"/>
          <w:bCs w:val="0"/>
          <w:szCs w:val="22"/>
        </w:rPr>
        <w:t xml:space="preserve"> (</w:t>
      </w:r>
      <w:r w:rsidR="00DE007D">
        <w:rPr>
          <w:b w:val="0"/>
          <w:bCs w:val="0"/>
          <w:szCs w:val="22"/>
        </w:rPr>
        <w:t xml:space="preserve">e.g., if in a loss or </w:t>
      </w:r>
      <w:r w:rsidR="00DE007D">
        <w:rPr>
          <w:b w:val="0"/>
          <w:bCs w:val="0"/>
          <w:szCs w:val="22"/>
        </w:rPr>
        <w:lastRenderedPageBreak/>
        <w:t>gain position</w:t>
      </w:r>
      <w:r w:rsidR="00914880" w:rsidRPr="00D43CCC">
        <w:rPr>
          <w:b w:val="0"/>
          <w:bCs w:val="0"/>
          <w:szCs w:val="22"/>
        </w:rPr>
        <w:t xml:space="preserve">) </w:t>
      </w:r>
      <w:r w:rsidR="0006223F" w:rsidRPr="00D43CCC">
        <w:rPr>
          <w:b w:val="0"/>
          <w:bCs w:val="0"/>
          <w:szCs w:val="22"/>
        </w:rPr>
        <w:t>in the financial</w:t>
      </w:r>
      <w:r w:rsidR="001F675E">
        <w:rPr>
          <w:b w:val="0"/>
          <w:bCs w:val="0"/>
          <w:szCs w:val="22"/>
        </w:rPr>
        <w:t>s</w:t>
      </w:r>
      <w:r w:rsidR="0006223F" w:rsidRPr="00D43CCC">
        <w:rPr>
          <w:b w:val="0"/>
          <w:bCs w:val="0"/>
          <w:szCs w:val="22"/>
        </w:rPr>
        <w:t xml:space="preserve">, </w:t>
      </w:r>
      <w:r w:rsidR="00C7303D" w:rsidRPr="00D43CCC">
        <w:rPr>
          <w:b w:val="0"/>
          <w:bCs w:val="0"/>
          <w:szCs w:val="22"/>
        </w:rPr>
        <w:t>so the actual assets / liabilities from derivative activity would not be shown on the balance sheet.</w:t>
      </w:r>
      <w:r w:rsidR="00277D57">
        <w:rPr>
          <w:b w:val="0"/>
          <w:bCs w:val="0"/>
          <w:szCs w:val="22"/>
        </w:rPr>
        <w:t xml:space="preserve"> However, this approach would eliminate artificial volatility in </w:t>
      </w:r>
      <w:r w:rsidR="00CF0E78">
        <w:rPr>
          <w:b w:val="0"/>
          <w:bCs w:val="0"/>
          <w:szCs w:val="22"/>
        </w:rPr>
        <w:t xml:space="preserve">derivative </w:t>
      </w:r>
      <w:r w:rsidR="00277D57">
        <w:rPr>
          <w:b w:val="0"/>
          <w:bCs w:val="0"/>
          <w:szCs w:val="22"/>
        </w:rPr>
        <w:t xml:space="preserve">fair value changes </w:t>
      </w:r>
      <w:r w:rsidR="009D5EE5">
        <w:rPr>
          <w:b w:val="0"/>
          <w:bCs w:val="0"/>
          <w:szCs w:val="22"/>
        </w:rPr>
        <w:t>through</w:t>
      </w:r>
      <w:r w:rsidR="00277D57">
        <w:rPr>
          <w:b w:val="0"/>
          <w:bCs w:val="0"/>
          <w:szCs w:val="22"/>
        </w:rPr>
        <w:t xml:space="preserve"> surplus</w:t>
      </w:r>
      <w:r w:rsidR="001E2691">
        <w:rPr>
          <w:b w:val="0"/>
          <w:bCs w:val="0"/>
          <w:szCs w:val="22"/>
        </w:rPr>
        <w:t xml:space="preserve"> while the derivative is open</w:t>
      </w:r>
      <w:bookmarkEnd w:id="6"/>
      <w:r w:rsidR="00D271ED">
        <w:rPr>
          <w:b w:val="0"/>
          <w:bCs w:val="0"/>
          <w:szCs w:val="22"/>
        </w:rPr>
        <w:t xml:space="preserve">. </w:t>
      </w:r>
      <w:r w:rsidR="00BF119B">
        <w:rPr>
          <w:b w:val="0"/>
          <w:bCs w:val="0"/>
          <w:szCs w:val="22"/>
        </w:rPr>
        <w:t xml:space="preserve">The key provisions </w:t>
      </w:r>
      <w:r w:rsidR="009541CD">
        <w:rPr>
          <w:b w:val="0"/>
          <w:bCs w:val="0"/>
          <w:szCs w:val="22"/>
        </w:rPr>
        <w:t>would</w:t>
      </w:r>
      <w:r w:rsidR="00BF119B">
        <w:rPr>
          <w:b w:val="0"/>
          <w:bCs w:val="0"/>
          <w:szCs w:val="22"/>
        </w:rPr>
        <w:t xml:space="preserve"> include: </w:t>
      </w:r>
    </w:p>
    <w:p w14:paraId="22DF52ED" w14:textId="77777777" w:rsidR="00BF119B" w:rsidRDefault="00BF119B" w:rsidP="00BF119B">
      <w:pPr>
        <w:pStyle w:val="BodyText2"/>
        <w:ind w:left="720"/>
        <w:rPr>
          <w:b w:val="0"/>
          <w:bCs w:val="0"/>
          <w:szCs w:val="22"/>
        </w:rPr>
      </w:pPr>
    </w:p>
    <w:p w14:paraId="59C0897B" w14:textId="376D6048" w:rsidR="00A26297" w:rsidRDefault="00BF119B" w:rsidP="00BF119B">
      <w:pPr>
        <w:pStyle w:val="BodyText2"/>
        <w:numPr>
          <w:ilvl w:val="1"/>
          <w:numId w:val="21"/>
        </w:numPr>
        <w:rPr>
          <w:b w:val="0"/>
          <w:bCs w:val="0"/>
          <w:szCs w:val="22"/>
        </w:rPr>
      </w:pPr>
      <w:r>
        <w:rPr>
          <w:b w:val="0"/>
          <w:bCs w:val="0"/>
          <w:szCs w:val="22"/>
        </w:rPr>
        <w:t xml:space="preserve">Establishing guidance that permits derivatives to </w:t>
      </w:r>
      <w:r w:rsidR="006A530E">
        <w:rPr>
          <w:b w:val="0"/>
          <w:bCs w:val="0"/>
          <w:szCs w:val="22"/>
        </w:rPr>
        <w:t>qualify</w:t>
      </w:r>
      <w:r>
        <w:rPr>
          <w:b w:val="0"/>
          <w:bCs w:val="0"/>
          <w:szCs w:val="22"/>
        </w:rPr>
        <w:t xml:space="preserve"> as effective hedges. </w:t>
      </w:r>
      <w:r w:rsidR="00D87E01">
        <w:rPr>
          <w:b w:val="0"/>
          <w:bCs w:val="0"/>
          <w:szCs w:val="22"/>
        </w:rPr>
        <w:t>As the hedged item is a</w:t>
      </w:r>
      <w:r w:rsidR="00007A85">
        <w:rPr>
          <w:b w:val="0"/>
          <w:bCs w:val="0"/>
          <w:szCs w:val="22"/>
        </w:rPr>
        <w:t xml:space="preserve"> portfolio of </w:t>
      </w:r>
      <w:r w:rsidR="00230E4B">
        <w:rPr>
          <w:b w:val="0"/>
          <w:bCs w:val="0"/>
          <w:szCs w:val="22"/>
        </w:rPr>
        <w:t>contracts resulting with an o</w:t>
      </w:r>
      <w:r w:rsidR="00E06A24">
        <w:rPr>
          <w:b w:val="0"/>
          <w:bCs w:val="0"/>
          <w:szCs w:val="22"/>
        </w:rPr>
        <w:t>ngoing</w:t>
      </w:r>
      <w:r w:rsidR="00D87E01">
        <w:rPr>
          <w:b w:val="0"/>
          <w:bCs w:val="0"/>
          <w:szCs w:val="22"/>
        </w:rPr>
        <w:t xml:space="preserve"> reserve liability, </w:t>
      </w:r>
      <w:r w:rsidR="00B701E9">
        <w:rPr>
          <w:b w:val="0"/>
          <w:bCs w:val="0"/>
          <w:szCs w:val="22"/>
        </w:rPr>
        <w:t xml:space="preserve">the </w:t>
      </w:r>
      <w:r w:rsidR="00D87E01">
        <w:rPr>
          <w:b w:val="0"/>
          <w:bCs w:val="0"/>
          <w:szCs w:val="22"/>
        </w:rPr>
        <w:t xml:space="preserve">guidance would likely need to </w:t>
      </w:r>
      <w:r w:rsidR="001937E1">
        <w:rPr>
          <w:b w:val="0"/>
          <w:bCs w:val="0"/>
          <w:szCs w:val="22"/>
        </w:rPr>
        <w:t>consider</w:t>
      </w:r>
      <w:r w:rsidR="00D87E01">
        <w:rPr>
          <w:b w:val="0"/>
          <w:bCs w:val="0"/>
          <w:szCs w:val="22"/>
        </w:rPr>
        <w:t xml:space="preserve"> concepts that permit </w:t>
      </w:r>
      <w:r w:rsidR="00926DEF">
        <w:rPr>
          <w:b w:val="0"/>
          <w:bCs w:val="0"/>
          <w:szCs w:val="22"/>
        </w:rPr>
        <w:t>structures that would not qualify as effective under existing SSAP N</w:t>
      </w:r>
      <w:r w:rsidR="00077FE2">
        <w:rPr>
          <w:b w:val="0"/>
          <w:bCs w:val="0"/>
          <w:szCs w:val="22"/>
        </w:rPr>
        <w:t>o</w:t>
      </w:r>
      <w:r w:rsidR="00926DEF">
        <w:rPr>
          <w:b w:val="0"/>
          <w:bCs w:val="0"/>
          <w:szCs w:val="22"/>
        </w:rPr>
        <w:t xml:space="preserve">. 86 provisions. </w:t>
      </w:r>
    </w:p>
    <w:p w14:paraId="6E53814A" w14:textId="77777777" w:rsidR="00A26297" w:rsidRDefault="00A26297" w:rsidP="00A26297">
      <w:pPr>
        <w:pStyle w:val="BodyText2"/>
        <w:ind w:left="1440"/>
        <w:rPr>
          <w:b w:val="0"/>
          <w:bCs w:val="0"/>
          <w:szCs w:val="22"/>
        </w:rPr>
      </w:pPr>
    </w:p>
    <w:p w14:paraId="42C7B022" w14:textId="5A345017" w:rsidR="00CB5038" w:rsidRPr="00EE581C" w:rsidRDefault="00023A66" w:rsidP="00EE581C">
      <w:pPr>
        <w:pStyle w:val="BodyText2"/>
        <w:numPr>
          <w:ilvl w:val="1"/>
          <w:numId w:val="21"/>
        </w:numPr>
        <w:rPr>
          <w:b w:val="0"/>
          <w:bCs w:val="0"/>
          <w:szCs w:val="22"/>
        </w:rPr>
      </w:pPr>
      <w:r>
        <w:rPr>
          <w:b w:val="0"/>
          <w:bCs w:val="0"/>
          <w:szCs w:val="22"/>
        </w:rPr>
        <w:t>G</w:t>
      </w:r>
      <w:r w:rsidR="00D1381D">
        <w:rPr>
          <w:b w:val="0"/>
          <w:bCs w:val="0"/>
          <w:szCs w:val="22"/>
        </w:rPr>
        <w:t xml:space="preserve">uidance that directs the reporting </w:t>
      </w:r>
      <w:r w:rsidR="00F23552">
        <w:rPr>
          <w:b w:val="0"/>
          <w:bCs w:val="0"/>
          <w:szCs w:val="22"/>
        </w:rPr>
        <w:t xml:space="preserve">of derivative </w:t>
      </w:r>
      <w:r w:rsidR="00F43D53">
        <w:rPr>
          <w:b w:val="0"/>
          <w:bCs w:val="0"/>
          <w:szCs w:val="22"/>
        </w:rPr>
        <w:t>changes</w:t>
      </w:r>
      <w:r w:rsidR="00F23552">
        <w:rPr>
          <w:b w:val="0"/>
          <w:bCs w:val="0"/>
          <w:szCs w:val="22"/>
        </w:rPr>
        <w:t xml:space="preserve"> </w:t>
      </w:r>
      <w:r w:rsidR="00F43D53">
        <w:rPr>
          <w:b w:val="0"/>
          <w:bCs w:val="0"/>
          <w:szCs w:val="22"/>
        </w:rPr>
        <w:t xml:space="preserve">at settlement as </w:t>
      </w:r>
      <w:r w:rsidR="006B2B51">
        <w:rPr>
          <w:b w:val="0"/>
          <w:bCs w:val="0"/>
          <w:szCs w:val="22"/>
        </w:rPr>
        <w:t>net investment income (or realized gains and losses)</w:t>
      </w:r>
      <w:r>
        <w:rPr>
          <w:b w:val="0"/>
          <w:bCs w:val="0"/>
          <w:szCs w:val="22"/>
        </w:rPr>
        <w:t xml:space="preserve"> </w:t>
      </w:r>
      <w:r w:rsidR="00F43D53">
        <w:rPr>
          <w:b w:val="0"/>
          <w:bCs w:val="0"/>
          <w:szCs w:val="22"/>
        </w:rPr>
        <w:t>to</w:t>
      </w:r>
      <w:r w:rsidR="00E4276D">
        <w:rPr>
          <w:b w:val="0"/>
          <w:bCs w:val="0"/>
          <w:szCs w:val="22"/>
        </w:rPr>
        <w:t xml:space="preserve"> offset </w:t>
      </w:r>
      <w:r w:rsidR="00605B70">
        <w:rPr>
          <w:b w:val="0"/>
          <w:bCs w:val="0"/>
          <w:szCs w:val="22"/>
        </w:rPr>
        <w:t xml:space="preserve">the </w:t>
      </w:r>
      <w:r w:rsidR="00CF0E78">
        <w:rPr>
          <w:b w:val="0"/>
          <w:bCs w:val="0"/>
          <w:szCs w:val="22"/>
        </w:rPr>
        <w:t xml:space="preserve">indexed-based </w:t>
      </w:r>
      <w:r w:rsidR="00605B70">
        <w:rPr>
          <w:b w:val="0"/>
          <w:bCs w:val="0"/>
          <w:szCs w:val="22"/>
        </w:rPr>
        <w:t xml:space="preserve">interest credited to </w:t>
      </w:r>
      <w:r w:rsidR="007341AE">
        <w:rPr>
          <w:b w:val="0"/>
          <w:bCs w:val="0"/>
          <w:szCs w:val="22"/>
        </w:rPr>
        <w:t>FIA</w:t>
      </w:r>
      <w:r w:rsidR="004B7E69">
        <w:rPr>
          <w:b w:val="0"/>
          <w:bCs w:val="0"/>
          <w:szCs w:val="22"/>
        </w:rPr>
        <w:t>/IUL</w:t>
      </w:r>
      <w:r w:rsidR="007341AE">
        <w:rPr>
          <w:b w:val="0"/>
          <w:bCs w:val="0"/>
          <w:szCs w:val="22"/>
        </w:rPr>
        <w:t xml:space="preserve"> </w:t>
      </w:r>
      <w:r w:rsidR="00CE135A">
        <w:rPr>
          <w:b w:val="0"/>
          <w:bCs w:val="0"/>
          <w:szCs w:val="22"/>
        </w:rPr>
        <w:t>reserve</w:t>
      </w:r>
      <w:r w:rsidR="007341AE">
        <w:rPr>
          <w:b w:val="0"/>
          <w:bCs w:val="0"/>
          <w:szCs w:val="22"/>
        </w:rPr>
        <w:t>s</w:t>
      </w:r>
      <w:r w:rsidR="002C6C77">
        <w:rPr>
          <w:b w:val="0"/>
          <w:bCs w:val="0"/>
          <w:szCs w:val="22"/>
        </w:rPr>
        <w:t xml:space="preserve">. </w:t>
      </w:r>
    </w:p>
    <w:p w14:paraId="1B7E4EF5" w14:textId="7F689605" w:rsidR="00C400EC" w:rsidRDefault="00C400EC" w:rsidP="00CB5038">
      <w:pPr>
        <w:pStyle w:val="ListParagraph"/>
        <w:rPr>
          <w:b/>
          <w:bCs/>
          <w:szCs w:val="22"/>
        </w:rPr>
      </w:pPr>
    </w:p>
    <w:p w14:paraId="2C340478" w14:textId="02CCCA26" w:rsidR="00D03F02" w:rsidRDefault="00D03F02" w:rsidP="00EC5BE8">
      <w:pPr>
        <w:pStyle w:val="ListParagraph"/>
        <w:jc w:val="both"/>
        <w:rPr>
          <w:b/>
          <w:bCs/>
          <w:szCs w:val="22"/>
        </w:rPr>
      </w:pPr>
      <w:r w:rsidRPr="00E777CC">
        <w:rPr>
          <w:sz w:val="22"/>
          <w:szCs w:val="22"/>
        </w:rPr>
        <w:t xml:space="preserve">This approach is partly in line with the legislation prescribed by the IA Insurance Division. </w:t>
      </w:r>
      <w:r w:rsidR="00760038" w:rsidRPr="00E777CC">
        <w:rPr>
          <w:sz w:val="22"/>
          <w:szCs w:val="22"/>
        </w:rPr>
        <w:t>However, that legislation addresses both derivative measurement method and</w:t>
      </w:r>
      <w:r w:rsidR="00C641C8">
        <w:rPr>
          <w:sz w:val="22"/>
          <w:szCs w:val="22"/>
        </w:rPr>
        <w:t xml:space="preserve"> the process</w:t>
      </w:r>
      <w:r w:rsidR="002B0B09" w:rsidRPr="00E777CC">
        <w:rPr>
          <w:sz w:val="22"/>
          <w:szCs w:val="22"/>
        </w:rPr>
        <w:t xml:space="preserve"> </w:t>
      </w:r>
      <w:r w:rsidR="000F32A8">
        <w:rPr>
          <w:sz w:val="22"/>
          <w:szCs w:val="22"/>
        </w:rPr>
        <w:t>to recognize the reserve change</w:t>
      </w:r>
      <w:r w:rsidR="00952AC4">
        <w:rPr>
          <w:sz w:val="22"/>
          <w:szCs w:val="22"/>
        </w:rPr>
        <w:t>. (Th</w:t>
      </w:r>
      <w:r w:rsidR="001F675E">
        <w:rPr>
          <w:sz w:val="22"/>
          <w:szCs w:val="22"/>
        </w:rPr>
        <w:t>e IA legislation</w:t>
      </w:r>
      <w:r w:rsidR="00952AC4">
        <w:rPr>
          <w:sz w:val="22"/>
          <w:szCs w:val="22"/>
        </w:rPr>
        <w:t xml:space="preserve"> guidance permits </w:t>
      </w:r>
      <w:r w:rsidR="00C641C8">
        <w:rPr>
          <w:sz w:val="22"/>
          <w:szCs w:val="22"/>
        </w:rPr>
        <w:t>recogniz</w:t>
      </w:r>
      <w:r w:rsidR="00952AC4">
        <w:rPr>
          <w:sz w:val="22"/>
          <w:szCs w:val="22"/>
        </w:rPr>
        <w:t>ing</w:t>
      </w:r>
      <w:r w:rsidR="00C641C8">
        <w:rPr>
          <w:sz w:val="22"/>
          <w:szCs w:val="22"/>
        </w:rPr>
        <w:t xml:space="preserve"> the reserve change </w:t>
      </w:r>
      <w:r w:rsidR="00185F98">
        <w:rPr>
          <w:sz w:val="22"/>
          <w:szCs w:val="22"/>
        </w:rPr>
        <w:t xml:space="preserve">in the same timeframe </w:t>
      </w:r>
      <w:r w:rsidR="00952AC4">
        <w:rPr>
          <w:sz w:val="22"/>
          <w:szCs w:val="22"/>
        </w:rPr>
        <w:t>that the</w:t>
      </w:r>
      <w:r w:rsidR="00185F98">
        <w:rPr>
          <w:sz w:val="22"/>
          <w:szCs w:val="22"/>
        </w:rPr>
        <w:t xml:space="preserve"> contract holder</w:t>
      </w:r>
      <w:r w:rsidR="000F32A8">
        <w:rPr>
          <w:sz w:val="22"/>
          <w:szCs w:val="22"/>
        </w:rPr>
        <w:t xml:space="preserve"> </w:t>
      </w:r>
      <w:r w:rsidR="00952AC4">
        <w:rPr>
          <w:sz w:val="22"/>
          <w:szCs w:val="22"/>
        </w:rPr>
        <w:t xml:space="preserve">is credited the reserve change.) </w:t>
      </w:r>
      <w:r w:rsidR="002B0B09" w:rsidRPr="00E777CC">
        <w:rPr>
          <w:sz w:val="22"/>
          <w:szCs w:val="22"/>
        </w:rPr>
        <w:t xml:space="preserve">From initial </w:t>
      </w:r>
      <w:r w:rsidR="001F675E">
        <w:rPr>
          <w:sz w:val="22"/>
          <w:szCs w:val="22"/>
        </w:rPr>
        <w:t>industry discussion</w:t>
      </w:r>
      <w:r w:rsidR="002B0B09" w:rsidRPr="00E777CC">
        <w:rPr>
          <w:sz w:val="22"/>
          <w:szCs w:val="22"/>
        </w:rPr>
        <w:t xml:space="preserve">, if only derivative measurement method </w:t>
      </w:r>
      <w:r w:rsidR="00B55EBD" w:rsidRPr="00E777CC">
        <w:rPr>
          <w:sz w:val="22"/>
          <w:szCs w:val="22"/>
        </w:rPr>
        <w:t>is a</w:t>
      </w:r>
      <w:r w:rsidR="002B0B09" w:rsidRPr="00E777CC">
        <w:rPr>
          <w:sz w:val="22"/>
          <w:szCs w:val="22"/>
        </w:rPr>
        <w:t>ddressed</w:t>
      </w:r>
      <w:r w:rsidR="00B55EBD" w:rsidRPr="00E777CC">
        <w:rPr>
          <w:sz w:val="22"/>
          <w:szCs w:val="22"/>
        </w:rPr>
        <w:t xml:space="preserve"> under SAP, this could </w:t>
      </w:r>
      <w:r w:rsidR="001F675E" w:rsidRPr="00E777CC">
        <w:rPr>
          <w:sz w:val="22"/>
          <w:szCs w:val="22"/>
        </w:rPr>
        <w:t>create</w:t>
      </w:r>
      <w:r w:rsidR="00B55EBD" w:rsidRPr="00E777CC">
        <w:rPr>
          <w:sz w:val="22"/>
          <w:szCs w:val="22"/>
        </w:rPr>
        <w:t xml:space="preserve"> greater volatility, even if using an amortized cost measurement method. </w:t>
      </w:r>
      <w:r w:rsidR="00E777CC" w:rsidRPr="00E777CC">
        <w:rPr>
          <w:sz w:val="22"/>
          <w:szCs w:val="22"/>
        </w:rPr>
        <w:t>Additionally</w:t>
      </w:r>
      <w:r w:rsidR="00BB7D75">
        <w:rPr>
          <w:sz w:val="22"/>
          <w:szCs w:val="22"/>
        </w:rPr>
        <w:t>, the IA approach only permits certain derivatives to be reported at amortized cost under this approach</w:t>
      </w:r>
      <w:r w:rsidR="003D3AC0">
        <w:rPr>
          <w:sz w:val="22"/>
          <w:szCs w:val="22"/>
        </w:rPr>
        <w:t xml:space="preserve"> (e.g., call spreads)</w:t>
      </w:r>
      <w:r w:rsidR="00BB7D75">
        <w:rPr>
          <w:sz w:val="22"/>
          <w:szCs w:val="22"/>
        </w:rPr>
        <w:t xml:space="preserve">. Futures, </w:t>
      </w:r>
      <w:r w:rsidR="00EC5BE8">
        <w:rPr>
          <w:sz w:val="22"/>
          <w:szCs w:val="22"/>
        </w:rPr>
        <w:t xml:space="preserve">swaps and swaptions are required to be reported at fair value even if they are part of the overall </w:t>
      </w:r>
      <w:r w:rsidR="003D3AC0">
        <w:rPr>
          <w:sz w:val="22"/>
          <w:szCs w:val="22"/>
        </w:rPr>
        <w:t xml:space="preserve">effective </w:t>
      </w:r>
      <w:r w:rsidR="00EC5BE8">
        <w:rPr>
          <w:sz w:val="22"/>
          <w:szCs w:val="22"/>
        </w:rPr>
        <w:t xml:space="preserve">hedging program. </w:t>
      </w:r>
    </w:p>
    <w:p w14:paraId="1CA967D1" w14:textId="77777777" w:rsidR="00D03F02" w:rsidRDefault="00D03F02" w:rsidP="00CB5038">
      <w:pPr>
        <w:pStyle w:val="ListParagraph"/>
        <w:rPr>
          <w:b/>
          <w:bCs/>
          <w:szCs w:val="22"/>
        </w:rPr>
      </w:pPr>
    </w:p>
    <w:p w14:paraId="4C52BD0B" w14:textId="3AFC4D3E" w:rsidR="004B6688" w:rsidRDefault="00AD2221" w:rsidP="00AE43EC">
      <w:pPr>
        <w:pStyle w:val="BodyText2"/>
        <w:numPr>
          <w:ilvl w:val="0"/>
          <w:numId w:val="23"/>
        </w:numPr>
        <w:ind w:left="720"/>
        <w:rPr>
          <w:b w:val="0"/>
          <w:bCs w:val="0"/>
          <w:szCs w:val="22"/>
        </w:rPr>
      </w:pPr>
      <w:bookmarkStart w:id="7" w:name="_Hlk54785019"/>
      <w:r w:rsidRPr="004B6688">
        <w:rPr>
          <w:b w:val="0"/>
          <w:bCs w:val="0"/>
          <w:szCs w:val="22"/>
          <w:u w:val="single"/>
        </w:rPr>
        <w:t xml:space="preserve">Approach </w:t>
      </w:r>
      <w:r w:rsidR="0016097E" w:rsidRPr="004B6688">
        <w:rPr>
          <w:b w:val="0"/>
          <w:bCs w:val="0"/>
          <w:szCs w:val="22"/>
          <w:u w:val="single"/>
        </w:rPr>
        <w:t>2</w:t>
      </w:r>
      <w:r w:rsidRPr="004B6688">
        <w:rPr>
          <w:b w:val="0"/>
          <w:bCs w:val="0"/>
          <w:szCs w:val="22"/>
          <w:u w:val="single"/>
        </w:rPr>
        <w:t xml:space="preserve">: Establish </w:t>
      </w:r>
      <w:r w:rsidR="0016097E" w:rsidRPr="004B6688">
        <w:rPr>
          <w:b w:val="0"/>
          <w:bCs w:val="0"/>
          <w:szCs w:val="22"/>
          <w:u w:val="single"/>
        </w:rPr>
        <w:t>g</w:t>
      </w:r>
      <w:r w:rsidRPr="004B6688">
        <w:rPr>
          <w:b w:val="0"/>
          <w:bCs w:val="0"/>
          <w:szCs w:val="22"/>
          <w:u w:val="single"/>
        </w:rPr>
        <w:t xml:space="preserve">uidance that permits effective hedge treatment that is in line with SSAP No. </w:t>
      </w:r>
      <w:r w:rsidR="0016097E" w:rsidRPr="004B6688">
        <w:rPr>
          <w:b w:val="0"/>
          <w:bCs w:val="0"/>
          <w:szCs w:val="22"/>
          <w:u w:val="single"/>
        </w:rPr>
        <w:t>108</w:t>
      </w:r>
      <w:r w:rsidRPr="004B6688">
        <w:rPr>
          <w:b w:val="0"/>
          <w:bCs w:val="0"/>
          <w:szCs w:val="22"/>
          <w:u w:val="single"/>
        </w:rPr>
        <w:t>.</w:t>
      </w:r>
      <w:r w:rsidRPr="004B6688">
        <w:rPr>
          <w:b w:val="0"/>
          <w:bCs w:val="0"/>
          <w:szCs w:val="22"/>
        </w:rPr>
        <w:t xml:space="preserve"> With this approach, the derivative would be reported at </w:t>
      </w:r>
      <w:r w:rsidR="002751EC" w:rsidRPr="004B6688">
        <w:rPr>
          <w:b w:val="0"/>
          <w:bCs w:val="0"/>
          <w:szCs w:val="22"/>
        </w:rPr>
        <w:t>fair value</w:t>
      </w:r>
      <w:r w:rsidRPr="004B6688">
        <w:rPr>
          <w:b w:val="0"/>
          <w:bCs w:val="0"/>
          <w:szCs w:val="22"/>
        </w:rPr>
        <w:t xml:space="preserve">, with direction that </w:t>
      </w:r>
      <w:r w:rsidR="00911E43">
        <w:rPr>
          <w:b w:val="0"/>
          <w:bCs w:val="0"/>
          <w:szCs w:val="22"/>
        </w:rPr>
        <w:t xml:space="preserve">the </w:t>
      </w:r>
      <w:r w:rsidR="000B433A">
        <w:rPr>
          <w:b w:val="0"/>
          <w:bCs w:val="0"/>
          <w:szCs w:val="22"/>
        </w:rPr>
        <w:t>change in fair value</w:t>
      </w:r>
      <w:r w:rsidR="00440CD1">
        <w:rPr>
          <w:b w:val="0"/>
          <w:bCs w:val="0"/>
          <w:szCs w:val="22"/>
        </w:rPr>
        <w:t xml:space="preserve"> is </w:t>
      </w:r>
      <w:r w:rsidR="006E7A10" w:rsidRPr="004B6688">
        <w:rPr>
          <w:b w:val="0"/>
          <w:bCs w:val="0"/>
          <w:szCs w:val="22"/>
        </w:rPr>
        <w:t xml:space="preserve">bifurcated for reporting </w:t>
      </w:r>
      <w:r w:rsidR="00911E43">
        <w:rPr>
          <w:b w:val="0"/>
          <w:bCs w:val="0"/>
          <w:szCs w:val="22"/>
        </w:rPr>
        <w:t>based</w:t>
      </w:r>
      <w:r w:rsidR="00415FB8" w:rsidRPr="004B6688">
        <w:rPr>
          <w:b w:val="0"/>
          <w:bCs w:val="0"/>
          <w:szCs w:val="22"/>
        </w:rPr>
        <w:t xml:space="preserve"> on whether the change </w:t>
      </w:r>
      <w:r w:rsidR="00605AF7">
        <w:rPr>
          <w:b w:val="0"/>
          <w:bCs w:val="0"/>
          <w:szCs w:val="22"/>
        </w:rPr>
        <w:t>i</w:t>
      </w:r>
      <w:r w:rsidR="003622AF">
        <w:rPr>
          <w:b w:val="0"/>
          <w:bCs w:val="0"/>
          <w:szCs w:val="22"/>
        </w:rPr>
        <w:t>s</w:t>
      </w:r>
      <w:r w:rsidR="00605AF7">
        <w:rPr>
          <w:b w:val="0"/>
          <w:bCs w:val="0"/>
          <w:szCs w:val="22"/>
        </w:rPr>
        <w:t xml:space="preserve"> an effective hedge to the </w:t>
      </w:r>
      <w:r w:rsidR="001B1F09">
        <w:rPr>
          <w:b w:val="0"/>
          <w:bCs w:val="0"/>
          <w:szCs w:val="22"/>
        </w:rPr>
        <w:t xml:space="preserve">interest </w:t>
      </w:r>
      <w:r w:rsidR="0044452F">
        <w:rPr>
          <w:b w:val="0"/>
          <w:bCs w:val="0"/>
          <w:szCs w:val="22"/>
        </w:rPr>
        <w:t>crediting rate c</w:t>
      </w:r>
      <w:r w:rsidR="00415FB8" w:rsidRPr="004B6688">
        <w:rPr>
          <w:b w:val="0"/>
          <w:bCs w:val="0"/>
          <w:szCs w:val="22"/>
        </w:rPr>
        <w:t>hange in the hedged FIA</w:t>
      </w:r>
      <w:r w:rsidR="004B7E69">
        <w:rPr>
          <w:b w:val="0"/>
          <w:bCs w:val="0"/>
          <w:szCs w:val="22"/>
        </w:rPr>
        <w:t>/IUL</w:t>
      </w:r>
      <w:r w:rsidR="00415FB8" w:rsidRPr="004B6688">
        <w:rPr>
          <w:b w:val="0"/>
          <w:bCs w:val="0"/>
          <w:szCs w:val="22"/>
        </w:rPr>
        <w:t xml:space="preserve"> reserve.</w:t>
      </w:r>
      <w:r w:rsidR="00426EC1" w:rsidRPr="004B6688">
        <w:rPr>
          <w:b w:val="0"/>
          <w:bCs w:val="0"/>
          <w:szCs w:val="22"/>
        </w:rPr>
        <w:t xml:space="preserve"> </w:t>
      </w:r>
      <w:r w:rsidR="00663DAD" w:rsidRPr="004B6688">
        <w:rPr>
          <w:b w:val="0"/>
          <w:bCs w:val="0"/>
          <w:szCs w:val="22"/>
        </w:rPr>
        <w:t xml:space="preserve">This approach would be more in line with U.S. GAAP with the use of fair </w:t>
      </w:r>
      <w:r w:rsidR="008D402F" w:rsidRPr="004B6688">
        <w:rPr>
          <w:b w:val="0"/>
          <w:bCs w:val="0"/>
          <w:szCs w:val="22"/>
        </w:rPr>
        <w:t xml:space="preserve">value </w:t>
      </w:r>
      <w:r w:rsidR="00806852">
        <w:rPr>
          <w:b w:val="0"/>
          <w:bCs w:val="0"/>
          <w:szCs w:val="22"/>
        </w:rPr>
        <w:t xml:space="preserve">for the reported value of derivatives </w:t>
      </w:r>
      <w:r w:rsidR="008D402F" w:rsidRPr="004B6688">
        <w:rPr>
          <w:b w:val="0"/>
          <w:bCs w:val="0"/>
          <w:szCs w:val="22"/>
        </w:rPr>
        <w:t>and</w:t>
      </w:r>
      <w:r w:rsidR="0044452F">
        <w:rPr>
          <w:b w:val="0"/>
          <w:bCs w:val="0"/>
          <w:szCs w:val="22"/>
        </w:rPr>
        <w:t xml:space="preserve"> would be designed to recognize the </w:t>
      </w:r>
      <w:r w:rsidR="008D402F">
        <w:rPr>
          <w:b w:val="0"/>
          <w:bCs w:val="0"/>
          <w:szCs w:val="22"/>
        </w:rPr>
        <w:t xml:space="preserve">derivative and reserve change at the same time through the income statement. </w:t>
      </w:r>
      <w:r w:rsidR="00553400" w:rsidRPr="004B6688">
        <w:rPr>
          <w:b w:val="0"/>
          <w:bCs w:val="0"/>
          <w:szCs w:val="22"/>
        </w:rPr>
        <w:t xml:space="preserve">This approach would require assessment as to any fair value fluctuation that </w:t>
      </w:r>
      <w:r w:rsidR="00440CD1">
        <w:rPr>
          <w:b w:val="0"/>
          <w:bCs w:val="0"/>
          <w:szCs w:val="22"/>
        </w:rPr>
        <w:t>does not offset the crediting rate</w:t>
      </w:r>
      <w:r w:rsidR="00553400" w:rsidRPr="004B6688">
        <w:rPr>
          <w:b w:val="0"/>
          <w:bCs w:val="0"/>
          <w:szCs w:val="22"/>
        </w:rPr>
        <w:t xml:space="preserve"> and</w:t>
      </w:r>
      <w:r w:rsidR="003D6BC0" w:rsidRPr="004B6688">
        <w:rPr>
          <w:b w:val="0"/>
          <w:bCs w:val="0"/>
          <w:szCs w:val="22"/>
        </w:rPr>
        <w:t xml:space="preserve"> require separate reporting guidance </w:t>
      </w:r>
      <w:r w:rsidR="003D10BB">
        <w:rPr>
          <w:b w:val="0"/>
          <w:bCs w:val="0"/>
          <w:szCs w:val="22"/>
        </w:rPr>
        <w:t>for</w:t>
      </w:r>
      <w:r w:rsidR="003D6BC0" w:rsidRPr="004B6688">
        <w:rPr>
          <w:b w:val="0"/>
          <w:bCs w:val="0"/>
          <w:szCs w:val="22"/>
        </w:rPr>
        <w:t xml:space="preserve"> those </w:t>
      </w:r>
      <w:r w:rsidR="004B6688" w:rsidRPr="004B6688">
        <w:rPr>
          <w:b w:val="0"/>
          <w:bCs w:val="0"/>
          <w:szCs w:val="22"/>
        </w:rPr>
        <w:t xml:space="preserve">changes. The key provisions </w:t>
      </w:r>
      <w:r w:rsidR="009541CD">
        <w:rPr>
          <w:b w:val="0"/>
          <w:bCs w:val="0"/>
          <w:szCs w:val="22"/>
        </w:rPr>
        <w:t xml:space="preserve">would </w:t>
      </w:r>
      <w:r w:rsidR="004B6688" w:rsidRPr="004B6688">
        <w:rPr>
          <w:b w:val="0"/>
          <w:bCs w:val="0"/>
          <w:szCs w:val="22"/>
        </w:rPr>
        <w:t>include:</w:t>
      </w:r>
    </w:p>
    <w:bookmarkEnd w:id="7"/>
    <w:p w14:paraId="00428D3A" w14:textId="77777777" w:rsidR="00CD3CCA" w:rsidRPr="004B6688" w:rsidRDefault="00CD3CCA" w:rsidP="00CD3CCA">
      <w:pPr>
        <w:pStyle w:val="BodyText2"/>
        <w:ind w:left="720"/>
        <w:rPr>
          <w:b w:val="0"/>
          <w:bCs w:val="0"/>
          <w:szCs w:val="22"/>
        </w:rPr>
      </w:pPr>
    </w:p>
    <w:p w14:paraId="37A349D1" w14:textId="5515694D" w:rsidR="004B6688" w:rsidRPr="00806852" w:rsidRDefault="00806852" w:rsidP="00806852">
      <w:pPr>
        <w:pStyle w:val="BodyText2"/>
        <w:numPr>
          <w:ilvl w:val="1"/>
          <w:numId w:val="23"/>
        </w:numPr>
        <w:rPr>
          <w:b w:val="0"/>
          <w:bCs w:val="0"/>
          <w:szCs w:val="22"/>
        </w:rPr>
      </w:pPr>
      <w:r>
        <w:rPr>
          <w:b w:val="0"/>
          <w:bCs w:val="0"/>
          <w:szCs w:val="22"/>
        </w:rPr>
        <w:t xml:space="preserve">Establishing guidance that permits derivatives to qualify as effective hedges. As the hedged item is a portfolio of contracts resulting with an ongoing reserve liability, the guidance would likely need to consider concepts that permit structures that would not qualify as effective under existing SSAP No. 86 provisions. </w:t>
      </w:r>
      <w:r w:rsidR="00A2114C" w:rsidRPr="00806852">
        <w:rPr>
          <w:b w:val="0"/>
          <w:bCs w:val="0"/>
          <w:i/>
          <w:iCs/>
          <w:szCs w:val="22"/>
        </w:rPr>
        <w:t>(This provision is consistent between the two options.)</w:t>
      </w:r>
      <w:r w:rsidR="00A2114C" w:rsidRPr="00806852">
        <w:rPr>
          <w:b w:val="0"/>
          <w:bCs w:val="0"/>
          <w:szCs w:val="22"/>
        </w:rPr>
        <w:t xml:space="preserve"> </w:t>
      </w:r>
    </w:p>
    <w:p w14:paraId="0E539801" w14:textId="77777777" w:rsidR="004B6688" w:rsidRDefault="004B6688" w:rsidP="004B6688">
      <w:pPr>
        <w:pStyle w:val="BodyText2"/>
        <w:ind w:left="1440"/>
        <w:rPr>
          <w:b w:val="0"/>
          <w:bCs w:val="0"/>
          <w:szCs w:val="22"/>
        </w:rPr>
      </w:pPr>
    </w:p>
    <w:p w14:paraId="7CB9566A" w14:textId="5BF0C732" w:rsidR="001A2F54" w:rsidRDefault="004B6688" w:rsidP="004B6688">
      <w:pPr>
        <w:pStyle w:val="BodyText2"/>
        <w:numPr>
          <w:ilvl w:val="1"/>
          <w:numId w:val="23"/>
        </w:numPr>
        <w:rPr>
          <w:b w:val="0"/>
          <w:bCs w:val="0"/>
          <w:szCs w:val="22"/>
        </w:rPr>
      </w:pPr>
      <w:r>
        <w:rPr>
          <w:b w:val="0"/>
          <w:bCs w:val="0"/>
          <w:szCs w:val="22"/>
        </w:rPr>
        <w:t xml:space="preserve">Incorporation of guidance that directs the reporting </w:t>
      </w:r>
      <w:r w:rsidR="00CD3CCA">
        <w:rPr>
          <w:b w:val="0"/>
          <w:bCs w:val="0"/>
          <w:szCs w:val="22"/>
        </w:rPr>
        <w:t xml:space="preserve">of </w:t>
      </w:r>
      <w:r w:rsidR="002471B5">
        <w:rPr>
          <w:b w:val="0"/>
          <w:bCs w:val="0"/>
          <w:szCs w:val="22"/>
        </w:rPr>
        <w:t xml:space="preserve">fair value changes </w:t>
      </w:r>
      <w:r w:rsidR="00550729">
        <w:rPr>
          <w:b w:val="0"/>
          <w:bCs w:val="0"/>
          <w:szCs w:val="22"/>
        </w:rPr>
        <w:t>based on whether they offset the reserve crediting rate</w:t>
      </w:r>
      <w:r w:rsidR="002471B5">
        <w:rPr>
          <w:b w:val="0"/>
          <w:bCs w:val="0"/>
          <w:szCs w:val="22"/>
        </w:rPr>
        <w:t xml:space="preserve">. </w:t>
      </w:r>
      <w:r w:rsidR="0002612F">
        <w:rPr>
          <w:b w:val="0"/>
          <w:bCs w:val="0"/>
          <w:szCs w:val="22"/>
        </w:rPr>
        <w:t>If mirroring the concepts of SSAP No. 108</w:t>
      </w:r>
      <w:r w:rsidR="001A2F54">
        <w:rPr>
          <w:b w:val="0"/>
          <w:bCs w:val="0"/>
          <w:szCs w:val="22"/>
        </w:rPr>
        <w:t xml:space="preserve">: </w:t>
      </w:r>
    </w:p>
    <w:p w14:paraId="6D352E0C" w14:textId="77777777" w:rsidR="001A2F54" w:rsidRDefault="001A2F54" w:rsidP="001A2F54">
      <w:pPr>
        <w:pStyle w:val="ListParagraph"/>
        <w:rPr>
          <w:b/>
          <w:bCs/>
          <w:szCs w:val="22"/>
        </w:rPr>
      </w:pPr>
    </w:p>
    <w:p w14:paraId="09B184B6" w14:textId="082A7B59" w:rsidR="00F27975" w:rsidRDefault="00232018" w:rsidP="00806852">
      <w:pPr>
        <w:pStyle w:val="BodyText2"/>
        <w:numPr>
          <w:ilvl w:val="2"/>
          <w:numId w:val="23"/>
        </w:numPr>
        <w:ind w:left="2340" w:hanging="360"/>
        <w:rPr>
          <w:b w:val="0"/>
          <w:bCs w:val="0"/>
          <w:szCs w:val="22"/>
        </w:rPr>
      </w:pPr>
      <w:r>
        <w:rPr>
          <w:b w:val="0"/>
          <w:bCs w:val="0"/>
          <w:szCs w:val="22"/>
        </w:rPr>
        <w:t>Create a timing match to o</w:t>
      </w:r>
      <w:r w:rsidR="001A2F54">
        <w:rPr>
          <w:b w:val="0"/>
          <w:bCs w:val="0"/>
          <w:szCs w:val="22"/>
        </w:rPr>
        <w:t>ffset the reserve change</w:t>
      </w:r>
      <w:r w:rsidR="00B85987">
        <w:rPr>
          <w:b w:val="0"/>
          <w:bCs w:val="0"/>
          <w:szCs w:val="22"/>
        </w:rPr>
        <w:t xml:space="preserve"> </w:t>
      </w:r>
      <w:r w:rsidR="00D76AD8">
        <w:rPr>
          <w:b w:val="0"/>
          <w:bCs w:val="0"/>
          <w:szCs w:val="22"/>
        </w:rPr>
        <w:t xml:space="preserve">in the income statement </w:t>
      </w:r>
      <w:r w:rsidR="001A2F54">
        <w:rPr>
          <w:b w:val="0"/>
          <w:bCs w:val="0"/>
          <w:szCs w:val="22"/>
        </w:rPr>
        <w:t xml:space="preserve">with the </w:t>
      </w:r>
      <w:r w:rsidR="00F27975">
        <w:rPr>
          <w:b w:val="0"/>
          <w:bCs w:val="0"/>
          <w:szCs w:val="22"/>
        </w:rPr>
        <w:t xml:space="preserve">derivative </w:t>
      </w:r>
      <w:r w:rsidR="009541CD">
        <w:rPr>
          <w:b w:val="0"/>
          <w:bCs w:val="0"/>
          <w:szCs w:val="22"/>
        </w:rPr>
        <w:t>change in fair value</w:t>
      </w:r>
      <w:r w:rsidR="00F27975">
        <w:rPr>
          <w:b w:val="0"/>
          <w:bCs w:val="0"/>
          <w:szCs w:val="22"/>
        </w:rPr>
        <w:t xml:space="preserve">. </w:t>
      </w:r>
      <w:r>
        <w:rPr>
          <w:b w:val="0"/>
          <w:bCs w:val="0"/>
          <w:szCs w:val="22"/>
        </w:rPr>
        <w:t xml:space="preserve">This option would likely utilize the “deferred asset” concept </w:t>
      </w:r>
      <w:r w:rsidR="00AB3254">
        <w:rPr>
          <w:b w:val="0"/>
          <w:bCs w:val="0"/>
          <w:szCs w:val="22"/>
        </w:rPr>
        <w:t xml:space="preserve">for fair value fluctuations that occur in interim periods before settlement. For example, if the </w:t>
      </w:r>
      <w:r w:rsidR="004B7E69">
        <w:rPr>
          <w:b w:val="0"/>
          <w:bCs w:val="0"/>
          <w:szCs w:val="22"/>
        </w:rPr>
        <w:t>product</w:t>
      </w:r>
      <w:r w:rsidR="00AB3254">
        <w:rPr>
          <w:b w:val="0"/>
          <w:bCs w:val="0"/>
          <w:szCs w:val="22"/>
        </w:rPr>
        <w:t xml:space="preserve"> credits interest from the index change on an annual basis, and there </w:t>
      </w:r>
      <w:r w:rsidR="00CE751B">
        <w:rPr>
          <w:b w:val="0"/>
          <w:bCs w:val="0"/>
          <w:szCs w:val="22"/>
        </w:rPr>
        <w:t xml:space="preserve">are </w:t>
      </w:r>
      <w:r w:rsidR="00AB3254">
        <w:rPr>
          <w:b w:val="0"/>
          <w:bCs w:val="0"/>
          <w:szCs w:val="22"/>
        </w:rPr>
        <w:t>effective hedge</w:t>
      </w:r>
      <w:r w:rsidR="00CE751B">
        <w:rPr>
          <w:b w:val="0"/>
          <w:bCs w:val="0"/>
          <w:szCs w:val="22"/>
        </w:rPr>
        <w:t>s</w:t>
      </w:r>
      <w:r w:rsidR="00AB3254">
        <w:rPr>
          <w:b w:val="0"/>
          <w:bCs w:val="0"/>
          <w:szCs w:val="22"/>
        </w:rPr>
        <w:t xml:space="preserve"> that mirrors this timeframe, the fair value change in the </w:t>
      </w:r>
      <w:r w:rsidR="00B31F1F">
        <w:rPr>
          <w:b w:val="0"/>
          <w:bCs w:val="0"/>
          <w:szCs w:val="22"/>
        </w:rPr>
        <w:t>interim periods would be recognized as deferred assets/liabilities</w:t>
      </w:r>
      <w:r w:rsidR="00826C65">
        <w:rPr>
          <w:b w:val="0"/>
          <w:bCs w:val="0"/>
          <w:szCs w:val="22"/>
        </w:rPr>
        <w:t xml:space="preserve">, rather than as unrealized gains and losses. </w:t>
      </w:r>
      <w:r w:rsidR="00E16305">
        <w:rPr>
          <w:b w:val="0"/>
          <w:bCs w:val="0"/>
          <w:szCs w:val="22"/>
        </w:rPr>
        <w:t xml:space="preserve">With the recognition of the reserve change, the deferred item would be reversed for a coinciding change to </w:t>
      </w:r>
      <w:r w:rsidR="006B2B51">
        <w:rPr>
          <w:b w:val="0"/>
          <w:bCs w:val="0"/>
          <w:szCs w:val="22"/>
        </w:rPr>
        <w:t>net investment income (or realized gains and losses)</w:t>
      </w:r>
      <w:r w:rsidR="00E16305">
        <w:rPr>
          <w:b w:val="0"/>
          <w:bCs w:val="0"/>
          <w:szCs w:val="22"/>
        </w:rPr>
        <w:t xml:space="preserve">. </w:t>
      </w:r>
      <w:r w:rsidR="00534466">
        <w:rPr>
          <w:b w:val="0"/>
          <w:bCs w:val="0"/>
          <w:szCs w:val="22"/>
        </w:rPr>
        <w:t xml:space="preserve">Although similar to SSAP No. 108, </w:t>
      </w:r>
      <w:r w:rsidR="00AF4776">
        <w:rPr>
          <w:b w:val="0"/>
          <w:bCs w:val="0"/>
          <w:szCs w:val="22"/>
        </w:rPr>
        <w:t xml:space="preserve">it is anticipated that </w:t>
      </w:r>
      <w:r w:rsidR="00C46ABB">
        <w:rPr>
          <w:b w:val="0"/>
          <w:bCs w:val="0"/>
          <w:szCs w:val="22"/>
        </w:rPr>
        <w:t>deferred items would be eliminated over a shorter timeframe, with reversal immediately with the policy reserve change</w:t>
      </w:r>
      <w:r w:rsidR="006F4E1A">
        <w:rPr>
          <w:b w:val="0"/>
          <w:bCs w:val="0"/>
          <w:szCs w:val="22"/>
        </w:rPr>
        <w:t>, and not amortized over time.</w:t>
      </w:r>
      <w:r w:rsidR="00FA044B">
        <w:rPr>
          <w:b w:val="0"/>
          <w:bCs w:val="0"/>
          <w:szCs w:val="22"/>
        </w:rPr>
        <w:t xml:space="preserve"> It is expected that most </w:t>
      </w:r>
      <w:r w:rsidR="004B7E69">
        <w:rPr>
          <w:b w:val="0"/>
          <w:bCs w:val="0"/>
          <w:szCs w:val="22"/>
        </w:rPr>
        <w:t>product</w:t>
      </w:r>
      <w:r w:rsidR="00FA044B">
        <w:rPr>
          <w:b w:val="0"/>
          <w:bCs w:val="0"/>
          <w:szCs w:val="22"/>
        </w:rPr>
        <w:t xml:space="preserve"> </w:t>
      </w:r>
      <w:r w:rsidR="001B7D39">
        <w:rPr>
          <w:b w:val="0"/>
          <w:bCs w:val="0"/>
          <w:szCs w:val="22"/>
        </w:rPr>
        <w:t>rate changes occur annually, but variations with 2-year, 5-year and perhaps longer stated periods</w:t>
      </w:r>
      <w:r w:rsidR="00D21F23">
        <w:rPr>
          <w:b w:val="0"/>
          <w:bCs w:val="0"/>
          <w:szCs w:val="22"/>
        </w:rPr>
        <w:t xml:space="preserve"> may exist.</w:t>
      </w:r>
      <w:r w:rsidR="006F4E1A">
        <w:rPr>
          <w:b w:val="0"/>
          <w:bCs w:val="0"/>
          <w:szCs w:val="22"/>
        </w:rPr>
        <w:t xml:space="preserve"> </w:t>
      </w:r>
    </w:p>
    <w:p w14:paraId="7C75E741" w14:textId="77777777" w:rsidR="00D271ED" w:rsidRDefault="00D271ED" w:rsidP="00D271ED">
      <w:pPr>
        <w:pStyle w:val="BodyText2"/>
        <w:ind w:left="2340"/>
        <w:rPr>
          <w:b w:val="0"/>
          <w:bCs w:val="0"/>
          <w:szCs w:val="22"/>
        </w:rPr>
      </w:pPr>
    </w:p>
    <w:p w14:paraId="5D32B955" w14:textId="72D1FA22" w:rsidR="00644B20" w:rsidRDefault="00DE007D" w:rsidP="00D271ED">
      <w:pPr>
        <w:pStyle w:val="BodyText2"/>
        <w:numPr>
          <w:ilvl w:val="2"/>
          <w:numId w:val="23"/>
        </w:numPr>
        <w:ind w:left="2340" w:hanging="360"/>
        <w:rPr>
          <w:b w:val="0"/>
          <w:bCs w:val="0"/>
          <w:szCs w:val="22"/>
        </w:rPr>
      </w:pPr>
      <w:r>
        <w:rPr>
          <w:b w:val="0"/>
          <w:bCs w:val="0"/>
          <w:szCs w:val="22"/>
        </w:rPr>
        <w:t xml:space="preserve">Review and establish guidance (as appropriate) for the recognition of derivative fair value changes, for derivatives </w:t>
      </w:r>
      <w:r w:rsidR="00503D82">
        <w:rPr>
          <w:b w:val="0"/>
          <w:bCs w:val="0"/>
          <w:szCs w:val="22"/>
        </w:rPr>
        <w:t xml:space="preserve">identified to as </w:t>
      </w:r>
      <w:r>
        <w:rPr>
          <w:b w:val="0"/>
          <w:bCs w:val="0"/>
          <w:szCs w:val="22"/>
        </w:rPr>
        <w:t xml:space="preserve">in effective hedges, that do not offset the </w:t>
      </w:r>
      <w:r>
        <w:rPr>
          <w:b w:val="0"/>
          <w:bCs w:val="0"/>
          <w:szCs w:val="22"/>
        </w:rPr>
        <w:lastRenderedPageBreak/>
        <w:t xml:space="preserve">reserve change </w:t>
      </w:r>
      <w:r w:rsidR="00BC2101">
        <w:rPr>
          <w:b w:val="0"/>
          <w:bCs w:val="0"/>
          <w:szCs w:val="22"/>
        </w:rPr>
        <w:t xml:space="preserve">from </w:t>
      </w:r>
      <w:r w:rsidR="0091546F">
        <w:rPr>
          <w:b w:val="0"/>
          <w:bCs w:val="0"/>
          <w:szCs w:val="22"/>
        </w:rPr>
        <w:t>interest credited</w:t>
      </w:r>
      <w:r>
        <w:rPr>
          <w:b w:val="0"/>
          <w:bCs w:val="0"/>
          <w:szCs w:val="22"/>
        </w:rPr>
        <w:t>. (For example, is following concepts from SSAP No. 108</w:t>
      </w:r>
      <w:r w:rsidR="00BC2101">
        <w:rPr>
          <w:b w:val="0"/>
          <w:bCs w:val="0"/>
          <w:szCs w:val="22"/>
        </w:rPr>
        <w:t xml:space="preserve">, those changes would </w:t>
      </w:r>
      <w:r w:rsidR="00503D82">
        <w:rPr>
          <w:b w:val="0"/>
          <w:bCs w:val="0"/>
          <w:szCs w:val="22"/>
        </w:rPr>
        <w:t xml:space="preserve">continue to </w:t>
      </w:r>
      <w:r w:rsidR="00BC2101">
        <w:rPr>
          <w:b w:val="0"/>
          <w:bCs w:val="0"/>
          <w:szCs w:val="22"/>
        </w:rPr>
        <w:t>be</w:t>
      </w:r>
      <w:r w:rsidR="00D447BA">
        <w:rPr>
          <w:b w:val="0"/>
          <w:bCs w:val="0"/>
          <w:szCs w:val="22"/>
        </w:rPr>
        <w:t xml:space="preserve"> </w:t>
      </w:r>
      <w:r w:rsidR="00BC2101">
        <w:rPr>
          <w:b w:val="0"/>
          <w:bCs w:val="0"/>
          <w:szCs w:val="22"/>
        </w:rPr>
        <w:t xml:space="preserve">reflected as </w:t>
      </w:r>
      <w:r w:rsidR="0091546F">
        <w:rPr>
          <w:b w:val="0"/>
          <w:bCs w:val="0"/>
          <w:szCs w:val="22"/>
        </w:rPr>
        <w:t>unrealized</w:t>
      </w:r>
      <w:r w:rsidR="00BC2101">
        <w:rPr>
          <w:b w:val="0"/>
          <w:bCs w:val="0"/>
          <w:szCs w:val="22"/>
        </w:rPr>
        <w:t xml:space="preserve"> gains or losses</w:t>
      </w:r>
      <w:r>
        <w:rPr>
          <w:b w:val="0"/>
          <w:bCs w:val="0"/>
          <w:szCs w:val="22"/>
        </w:rPr>
        <w:t xml:space="preserve"> </w:t>
      </w:r>
      <w:r w:rsidR="00503D82">
        <w:rPr>
          <w:b w:val="0"/>
          <w:bCs w:val="0"/>
          <w:szCs w:val="22"/>
        </w:rPr>
        <w:t>until the derivative closed</w:t>
      </w:r>
      <w:r>
        <w:rPr>
          <w:b w:val="0"/>
          <w:bCs w:val="0"/>
          <w:szCs w:val="22"/>
        </w:rPr>
        <w:t xml:space="preserve">.) </w:t>
      </w:r>
      <w:r w:rsidR="00503D82">
        <w:rPr>
          <w:b w:val="0"/>
          <w:bCs w:val="0"/>
          <w:szCs w:val="22"/>
        </w:rPr>
        <w:t xml:space="preserve">Discussion is expected to identify the presence of such situations and differing dynamics for derivatives hedging </w:t>
      </w:r>
      <w:r w:rsidR="004B7E69">
        <w:rPr>
          <w:b w:val="0"/>
          <w:bCs w:val="0"/>
          <w:szCs w:val="22"/>
        </w:rPr>
        <w:t>indexed</w:t>
      </w:r>
      <w:r w:rsidR="00503D82">
        <w:rPr>
          <w:b w:val="0"/>
          <w:bCs w:val="0"/>
          <w:szCs w:val="22"/>
        </w:rPr>
        <w:t xml:space="preserve"> products in comparison to variable annuity products.</w:t>
      </w:r>
      <w:r w:rsidR="00BC2101">
        <w:rPr>
          <w:b w:val="0"/>
          <w:bCs w:val="0"/>
          <w:szCs w:val="22"/>
        </w:rPr>
        <w:t xml:space="preserve"> </w:t>
      </w:r>
    </w:p>
    <w:bookmarkEnd w:id="5"/>
    <w:p w14:paraId="4CCF405D" w14:textId="77777777" w:rsidR="00D21F23" w:rsidRDefault="00D21F23" w:rsidP="00D21F23">
      <w:pPr>
        <w:pStyle w:val="ListParagraph"/>
        <w:rPr>
          <w:b/>
          <w:bCs/>
          <w:szCs w:val="22"/>
        </w:rPr>
      </w:pPr>
    </w:p>
    <w:bookmarkEnd w:id="1"/>
    <w:bookmarkEnd w:id="2"/>
    <w:bookmarkEnd w:id="3"/>
    <w:bookmarkEnd w:id="4"/>
    <w:p w14:paraId="6C6B67AF" w14:textId="77777777" w:rsidR="002A1316" w:rsidRPr="00A81F38" w:rsidRDefault="002A1316" w:rsidP="00B30CA0">
      <w:pPr>
        <w:pStyle w:val="BodyText2"/>
        <w:rPr>
          <w:bCs w:val="0"/>
          <w:szCs w:val="22"/>
        </w:rPr>
      </w:pPr>
      <w:r w:rsidRPr="00A81F38">
        <w:rPr>
          <w:bCs w:val="0"/>
          <w:szCs w:val="22"/>
        </w:rPr>
        <w:t>Existing Authoritative Literature:</w:t>
      </w:r>
    </w:p>
    <w:p w14:paraId="2EBA4896" w14:textId="77777777" w:rsidR="00D40626" w:rsidRPr="00A81F38" w:rsidRDefault="00D40626" w:rsidP="00B30CA0">
      <w:pPr>
        <w:pStyle w:val="BodyText2"/>
        <w:rPr>
          <w:i/>
          <w:iCs/>
          <w:szCs w:val="22"/>
        </w:rPr>
      </w:pPr>
    </w:p>
    <w:p w14:paraId="3AD404F4" w14:textId="5418FA87" w:rsidR="008B1EC0" w:rsidRPr="00211E60" w:rsidRDefault="003A69FE" w:rsidP="009205A5">
      <w:pPr>
        <w:pStyle w:val="BodyText2"/>
        <w:numPr>
          <w:ilvl w:val="0"/>
          <w:numId w:val="24"/>
        </w:numPr>
        <w:rPr>
          <w:i/>
          <w:iCs/>
          <w:szCs w:val="22"/>
        </w:rPr>
      </w:pPr>
      <w:r>
        <w:rPr>
          <w:i/>
          <w:iCs/>
          <w:szCs w:val="22"/>
        </w:rPr>
        <w:t>SSAP No. 86—Derivatives</w:t>
      </w:r>
      <w:r w:rsidR="009205A5">
        <w:rPr>
          <w:i/>
          <w:iCs/>
          <w:szCs w:val="22"/>
        </w:rPr>
        <w:t xml:space="preserve">: </w:t>
      </w:r>
      <w:r w:rsidR="009205A5" w:rsidRPr="009205A5">
        <w:rPr>
          <w:b w:val="0"/>
          <w:bCs w:val="0"/>
          <w:szCs w:val="22"/>
        </w:rPr>
        <w:t>This SSAP</w:t>
      </w:r>
      <w:r w:rsidR="000F08C6" w:rsidRPr="009205A5">
        <w:rPr>
          <w:b w:val="0"/>
          <w:bCs w:val="0"/>
          <w:szCs w:val="22"/>
        </w:rPr>
        <w:t xml:space="preserve"> establishes statutory accounting principles for derivative instruments and hed</w:t>
      </w:r>
      <w:r w:rsidR="009205A5" w:rsidRPr="009205A5">
        <w:rPr>
          <w:b w:val="0"/>
          <w:bCs w:val="0"/>
          <w:szCs w:val="22"/>
        </w:rPr>
        <w:t xml:space="preserve">ging, income generation and replication (synthetic asset) transactions using selected concepts outlined in FASB Statement No. 133, Accounting for Derivative Instruments and Hedging Activities. </w:t>
      </w:r>
    </w:p>
    <w:p w14:paraId="5D4FF9EA" w14:textId="60335CEC" w:rsidR="00211E60" w:rsidRDefault="00211E60" w:rsidP="00211E60">
      <w:pPr>
        <w:pStyle w:val="BodyText2"/>
        <w:rPr>
          <w:i/>
          <w:iCs/>
          <w:szCs w:val="22"/>
        </w:rPr>
      </w:pPr>
    </w:p>
    <w:p w14:paraId="3F1AE184" w14:textId="77777777" w:rsidR="00211E60" w:rsidRDefault="00211E60" w:rsidP="00211E60">
      <w:pPr>
        <w:ind w:left="360"/>
        <w:rPr>
          <w:sz w:val="22"/>
          <w:szCs w:val="22"/>
          <w:u w:val="single"/>
        </w:rPr>
      </w:pPr>
      <w:r>
        <w:rPr>
          <w:sz w:val="22"/>
          <w:szCs w:val="22"/>
          <w:u w:val="single"/>
        </w:rPr>
        <w:t>Overview of SAP Accounting – SSAP No. 86</w:t>
      </w:r>
    </w:p>
    <w:p w14:paraId="054A6AEF" w14:textId="77777777" w:rsidR="00211E60" w:rsidRDefault="00211E60" w:rsidP="00211E60">
      <w:pPr>
        <w:rPr>
          <w:sz w:val="22"/>
          <w:szCs w:val="22"/>
          <w:u w:val="single"/>
        </w:rPr>
      </w:pPr>
    </w:p>
    <w:p w14:paraId="12F50E78" w14:textId="1E8CFE8D" w:rsidR="00211E60" w:rsidRDefault="00211E60" w:rsidP="00211E60">
      <w:pPr>
        <w:pStyle w:val="ListParagraph"/>
        <w:numPr>
          <w:ilvl w:val="0"/>
          <w:numId w:val="25"/>
        </w:numPr>
        <w:jc w:val="both"/>
        <w:rPr>
          <w:sz w:val="22"/>
          <w:szCs w:val="22"/>
        </w:rPr>
      </w:pPr>
      <w:r>
        <w:rPr>
          <w:sz w:val="22"/>
          <w:szCs w:val="22"/>
        </w:rPr>
        <w:t xml:space="preserve">Derivative instruments used in hedging transactions that meet the criteria of a highly-effective hedge are considered “effective” and are permitted to be valued and reported in a manner consistent with the hedged asset or liability (referred to as hedge accounting). (P. </w:t>
      </w:r>
      <w:r w:rsidR="00D54EC7">
        <w:rPr>
          <w:sz w:val="22"/>
          <w:szCs w:val="22"/>
        </w:rPr>
        <w:t>20</w:t>
      </w:r>
      <w:r>
        <w:rPr>
          <w:sz w:val="22"/>
          <w:szCs w:val="22"/>
        </w:rPr>
        <w:t xml:space="preserve">) </w:t>
      </w:r>
    </w:p>
    <w:p w14:paraId="5E38DB8C" w14:textId="77777777" w:rsidR="00211E60" w:rsidRDefault="00211E60" w:rsidP="00211E60">
      <w:pPr>
        <w:pStyle w:val="ListParagraph"/>
        <w:ind w:left="775"/>
        <w:jc w:val="both"/>
        <w:rPr>
          <w:sz w:val="22"/>
          <w:szCs w:val="22"/>
        </w:rPr>
      </w:pPr>
    </w:p>
    <w:p w14:paraId="464B6E6A" w14:textId="72E758A6" w:rsidR="00211E60" w:rsidRDefault="00211E60" w:rsidP="00211E60">
      <w:pPr>
        <w:pStyle w:val="ListParagraph"/>
        <w:numPr>
          <w:ilvl w:val="0"/>
          <w:numId w:val="25"/>
        </w:numPr>
        <w:jc w:val="both"/>
        <w:rPr>
          <w:sz w:val="22"/>
          <w:szCs w:val="22"/>
        </w:rPr>
      </w:pPr>
      <w:r>
        <w:rPr>
          <w:sz w:val="22"/>
          <w:szCs w:val="22"/>
        </w:rPr>
        <w:t xml:space="preserve">Derivative instruments used in hedging transactions that do not meet, or no longer meet the criteria of a highly-effective hedge, or that meets the required criteria by the entity has chosen not to apply hedge accounting, shall be accounted for at fair value, with changes in fair value recorded as unrealized gains or unrealized losses (referred to as fair value accounting). (P. </w:t>
      </w:r>
      <w:r w:rsidR="00F45616">
        <w:rPr>
          <w:sz w:val="22"/>
          <w:szCs w:val="22"/>
        </w:rPr>
        <w:t>20</w:t>
      </w:r>
      <w:r>
        <w:rPr>
          <w:sz w:val="22"/>
          <w:szCs w:val="22"/>
        </w:rPr>
        <w:t>)</w:t>
      </w:r>
    </w:p>
    <w:p w14:paraId="56D7A934" w14:textId="77777777" w:rsidR="00211E60" w:rsidRPr="00F11C41" w:rsidRDefault="00211E60" w:rsidP="00211E60">
      <w:pPr>
        <w:pStyle w:val="ListParagraph"/>
        <w:ind w:left="775"/>
        <w:jc w:val="both"/>
        <w:rPr>
          <w:sz w:val="22"/>
          <w:szCs w:val="22"/>
        </w:rPr>
      </w:pPr>
    </w:p>
    <w:p w14:paraId="24B6069A" w14:textId="4212D46F" w:rsidR="00211E60" w:rsidRDefault="00211E60" w:rsidP="00211E60">
      <w:pPr>
        <w:pStyle w:val="ListParagraph"/>
        <w:numPr>
          <w:ilvl w:val="0"/>
          <w:numId w:val="25"/>
        </w:numPr>
        <w:jc w:val="both"/>
        <w:rPr>
          <w:sz w:val="22"/>
          <w:szCs w:val="22"/>
        </w:rPr>
      </w:pPr>
      <w:r>
        <w:rPr>
          <w:sz w:val="22"/>
          <w:szCs w:val="22"/>
        </w:rPr>
        <w:t xml:space="preserve">Entities are permitted to designate instruments to hedge changes in fair value, variations in cash flows or foreign currency exposure. </w:t>
      </w:r>
      <w:r w:rsidRPr="004D45C8">
        <w:rPr>
          <w:sz w:val="22"/>
          <w:szCs w:val="22"/>
        </w:rPr>
        <w:t>Although these hedging categories are consistent with U.S. GAAP, U.S. GAAP has more restrictions than SAP for when designations may occur</w:t>
      </w:r>
      <w:r>
        <w:rPr>
          <w:sz w:val="22"/>
          <w:szCs w:val="22"/>
        </w:rPr>
        <w:t xml:space="preserve">, and U.S. GAAP identifies specific instruments ineligible for designation as hedging instruments. (P. </w:t>
      </w:r>
      <w:r w:rsidR="006B0E6F">
        <w:rPr>
          <w:sz w:val="22"/>
          <w:szCs w:val="22"/>
        </w:rPr>
        <w:t>23</w:t>
      </w:r>
      <w:r>
        <w:rPr>
          <w:sz w:val="22"/>
          <w:szCs w:val="22"/>
        </w:rPr>
        <w:t>)</w:t>
      </w:r>
    </w:p>
    <w:p w14:paraId="676C7AEB" w14:textId="77777777" w:rsidR="00B515B6" w:rsidRDefault="00B515B6" w:rsidP="00B515B6">
      <w:pPr>
        <w:pStyle w:val="ListParagraph"/>
        <w:ind w:left="775"/>
        <w:jc w:val="both"/>
        <w:rPr>
          <w:sz w:val="22"/>
          <w:szCs w:val="22"/>
        </w:rPr>
      </w:pPr>
    </w:p>
    <w:p w14:paraId="6509BFE0" w14:textId="6D813847" w:rsidR="00B515B6" w:rsidRDefault="00B515B6" w:rsidP="00211E60">
      <w:pPr>
        <w:pStyle w:val="ListParagraph"/>
        <w:numPr>
          <w:ilvl w:val="0"/>
          <w:numId w:val="25"/>
        </w:numPr>
        <w:jc w:val="both"/>
        <w:rPr>
          <w:sz w:val="22"/>
          <w:szCs w:val="22"/>
        </w:rPr>
      </w:pPr>
      <w:r>
        <w:rPr>
          <w:sz w:val="22"/>
          <w:szCs w:val="22"/>
        </w:rPr>
        <w:t xml:space="preserve">Measurement of hedge effectiveness </w:t>
      </w:r>
      <w:r w:rsidR="001B7C92">
        <w:rPr>
          <w:sz w:val="22"/>
          <w:szCs w:val="22"/>
        </w:rPr>
        <w:t>for a particular hedging relationship shall be consistent with the entity’s risk management strategy and the me</w:t>
      </w:r>
      <w:r w:rsidR="00856007">
        <w:rPr>
          <w:sz w:val="22"/>
          <w:szCs w:val="22"/>
        </w:rPr>
        <w:t xml:space="preserve">thod of assessing hedging effectiveness that was documented at the inception of the </w:t>
      </w:r>
      <w:r w:rsidR="00D72E84">
        <w:rPr>
          <w:sz w:val="22"/>
          <w:szCs w:val="22"/>
        </w:rPr>
        <w:t>hedging</w:t>
      </w:r>
      <w:r w:rsidR="00856007">
        <w:rPr>
          <w:sz w:val="22"/>
          <w:szCs w:val="22"/>
        </w:rPr>
        <w:t xml:space="preserve"> relationship (P. 37) </w:t>
      </w:r>
    </w:p>
    <w:p w14:paraId="76281556" w14:textId="77777777" w:rsidR="00211E60" w:rsidRPr="004C44CB" w:rsidRDefault="00211E60" w:rsidP="00211E60">
      <w:pPr>
        <w:pStyle w:val="ListParagraph"/>
        <w:ind w:left="775"/>
        <w:jc w:val="both"/>
        <w:rPr>
          <w:sz w:val="22"/>
          <w:szCs w:val="22"/>
        </w:rPr>
      </w:pPr>
    </w:p>
    <w:p w14:paraId="31B2DD2A" w14:textId="424D6CC8" w:rsidR="00211E60" w:rsidRDefault="00211E60" w:rsidP="00211E60">
      <w:pPr>
        <w:pStyle w:val="ListParagraph"/>
        <w:numPr>
          <w:ilvl w:val="0"/>
          <w:numId w:val="25"/>
        </w:numPr>
        <w:jc w:val="both"/>
        <w:rPr>
          <w:sz w:val="22"/>
          <w:szCs w:val="22"/>
        </w:rPr>
      </w:pPr>
      <w:r>
        <w:rPr>
          <w:sz w:val="22"/>
          <w:szCs w:val="22"/>
        </w:rPr>
        <w:t xml:space="preserve">For contracts that qualify for hedge accounting, the change in the carrying value or cash flow of the derivative is to be recorded consistently with how changes in the carrying value or cash flow of the hedged item is recorded. Upon termination of a derivative that qualifies for hedge accounting, the gain or loss shall adjust the basis of the hedged item and be recognized in income in a manner that is consistent with the hedged item. </w:t>
      </w:r>
      <w:r w:rsidR="002652A2">
        <w:rPr>
          <w:sz w:val="22"/>
          <w:szCs w:val="22"/>
        </w:rPr>
        <w:t xml:space="preserve">Alternatively, </w:t>
      </w:r>
      <w:r w:rsidR="00CE47BA">
        <w:rPr>
          <w:sz w:val="22"/>
          <w:szCs w:val="22"/>
        </w:rPr>
        <w:t xml:space="preserve">if the item is being hedged is subject to IMR, the gain or loss on the hedging derivative may be realized and shell be subject to IMR after termination.) Entities </w:t>
      </w:r>
      <w:r w:rsidR="00C93747">
        <w:rPr>
          <w:sz w:val="22"/>
          <w:szCs w:val="22"/>
        </w:rPr>
        <w:t xml:space="preserve">who choose the alternative method shall apply it consistently thereafter. (P. 22) </w:t>
      </w:r>
      <w:r>
        <w:rPr>
          <w:i/>
          <w:sz w:val="22"/>
          <w:szCs w:val="22"/>
        </w:rPr>
        <w:t xml:space="preserve"> </w:t>
      </w:r>
    </w:p>
    <w:p w14:paraId="35DB62EF" w14:textId="77777777" w:rsidR="00211E60" w:rsidRDefault="00211E60" w:rsidP="00211E60">
      <w:pPr>
        <w:rPr>
          <w:sz w:val="22"/>
          <w:szCs w:val="22"/>
          <w:u w:val="single"/>
        </w:rPr>
      </w:pPr>
    </w:p>
    <w:p w14:paraId="48441E94" w14:textId="427C5A01" w:rsidR="00F6744C" w:rsidRPr="00211E60" w:rsidRDefault="00F6744C" w:rsidP="00F6744C">
      <w:pPr>
        <w:pStyle w:val="BodyText2"/>
        <w:numPr>
          <w:ilvl w:val="0"/>
          <w:numId w:val="24"/>
        </w:numPr>
        <w:rPr>
          <w:i/>
          <w:iCs/>
          <w:szCs w:val="22"/>
        </w:rPr>
      </w:pPr>
      <w:r>
        <w:rPr>
          <w:i/>
          <w:iCs/>
          <w:szCs w:val="22"/>
        </w:rPr>
        <w:t>SSAP No. 108—Derivatives</w:t>
      </w:r>
      <w:r w:rsidR="00125E53">
        <w:rPr>
          <w:i/>
          <w:iCs/>
          <w:szCs w:val="22"/>
        </w:rPr>
        <w:t xml:space="preserve"> Hedging Variable Annuity Guarantees</w:t>
      </w:r>
      <w:r>
        <w:rPr>
          <w:i/>
          <w:iCs/>
          <w:szCs w:val="22"/>
        </w:rPr>
        <w:t xml:space="preserve">: </w:t>
      </w:r>
      <w:r w:rsidRPr="009205A5">
        <w:rPr>
          <w:b w:val="0"/>
          <w:bCs w:val="0"/>
          <w:szCs w:val="22"/>
        </w:rPr>
        <w:t xml:space="preserve">This SSAP establishes statutory accounting principles </w:t>
      </w:r>
      <w:r w:rsidR="00423D8B">
        <w:rPr>
          <w:b w:val="0"/>
          <w:bCs w:val="0"/>
          <w:szCs w:val="22"/>
        </w:rPr>
        <w:t xml:space="preserve">for limited derivatives hedging variable annuity guarantee benefits subject to fluctuations as a result of interest rate sensitivity. </w:t>
      </w:r>
      <w:r w:rsidR="002C4A62">
        <w:rPr>
          <w:b w:val="0"/>
          <w:bCs w:val="0"/>
          <w:szCs w:val="22"/>
        </w:rPr>
        <w:t>The provisions within this statement are separate and distinct from the guidance in SSAP No. 86, as the items subject to the scope of this guidance, and the provisions within, would not qualify for hedge effectiveness under SSAP No. 86</w:t>
      </w:r>
      <w:r w:rsidR="00F951D0">
        <w:rPr>
          <w:b w:val="0"/>
          <w:bCs w:val="0"/>
          <w:szCs w:val="22"/>
        </w:rPr>
        <w:t xml:space="preserve">. The provisions within this statement are only permitted if all of the components of the statement are met and shall not be inferred as </w:t>
      </w:r>
      <w:r w:rsidR="00A103CC">
        <w:rPr>
          <w:b w:val="0"/>
          <w:bCs w:val="0"/>
          <w:szCs w:val="22"/>
        </w:rPr>
        <w:t xml:space="preserve">an </w:t>
      </w:r>
      <w:r w:rsidR="00F951D0">
        <w:rPr>
          <w:b w:val="0"/>
          <w:bCs w:val="0"/>
          <w:szCs w:val="22"/>
        </w:rPr>
        <w:t xml:space="preserve">acceptable statutory </w:t>
      </w:r>
      <w:r w:rsidR="00A103CC">
        <w:rPr>
          <w:b w:val="0"/>
          <w:bCs w:val="0"/>
          <w:szCs w:val="22"/>
        </w:rPr>
        <w:t>accounting approach for derivative transactions that do not meet the state qualifications or that are not specially addressed within the</w:t>
      </w:r>
      <w:r w:rsidR="003E756D">
        <w:rPr>
          <w:b w:val="0"/>
          <w:bCs w:val="0"/>
          <w:szCs w:val="22"/>
        </w:rPr>
        <w:t xml:space="preserve"> guidance. </w:t>
      </w:r>
    </w:p>
    <w:p w14:paraId="7855E3A3" w14:textId="77777777" w:rsidR="00F6744C" w:rsidRDefault="00F6744C" w:rsidP="00F6744C">
      <w:pPr>
        <w:pStyle w:val="BodyText2"/>
        <w:rPr>
          <w:i/>
          <w:iCs/>
          <w:szCs w:val="22"/>
        </w:rPr>
      </w:pPr>
    </w:p>
    <w:p w14:paraId="6CB76B72" w14:textId="15223AD7" w:rsidR="000C1720" w:rsidRDefault="000C1720" w:rsidP="00841445">
      <w:pPr>
        <w:ind w:left="360"/>
        <w:rPr>
          <w:sz w:val="22"/>
          <w:szCs w:val="22"/>
          <w:u w:val="single"/>
        </w:rPr>
      </w:pPr>
    </w:p>
    <w:p w14:paraId="73D38658" w14:textId="77777777" w:rsidR="00162656" w:rsidRDefault="00162656" w:rsidP="00841445">
      <w:pPr>
        <w:ind w:left="360"/>
        <w:rPr>
          <w:sz w:val="22"/>
          <w:szCs w:val="22"/>
          <w:u w:val="single"/>
        </w:rPr>
      </w:pPr>
    </w:p>
    <w:p w14:paraId="6843B790" w14:textId="77777777" w:rsidR="00162656" w:rsidRDefault="00162656" w:rsidP="00841445">
      <w:pPr>
        <w:ind w:left="360"/>
        <w:rPr>
          <w:sz w:val="22"/>
          <w:szCs w:val="22"/>
          <w:u w:val="single"/>
        </w:rPr>
      </w:pPr>
    </w:p>
    <w:p w14:paraId="78A6DDE5" w14:textId="77777777" w:rsidR="00162656" w:rsidRDefault="00162656" w:rsidP="00841445">
      <w:pPr>
        <w:ind w:left="360"/>
        <w:rPr>
          <w:sz w:val="22"/>
          <w:szCs w:val="22"/>
          <w:u w:val="single"/>
        </w:rPr>
      </w:pPr>
    </w:p>
    <w:p w14:paraId="50034BEC" w14:textId="77777777" w:rsidR="00162656" w:rsidRDefault="00162656" w:rsidP="00841445">
      <w:pPr>
        <w:ind w:left="360"/>
        <w:rPr>
          <w:sz w:val="22"/>
          <w:szCs w:val="22"/>
          <w:u w:val="single"/>
        </w:rPr>
      </w:pPr>
    </w:p>
    <w:p w14:paraId="54EC4F93" w14:textId="349B972C" w:rsidR="00841445" w:rsidRDefault="00841445" w:rsidP="00841445">
      <w:pPr>
        <w:ind w:left="360"/>
        <w:rPr>
          <w:sz w:val="22"/>
          <w:szCs w:val="22"/>
          <w:u w:val="single"/>
        </w:rPr>
      </w:pPr>
      <w:r>
        <w:rPr>
          <w:sz w:val="22"/>
          <w:szCs w:val="22"/>
          <w:u w:val="single"/>
        </w:rPr>
        <w:t>Overview of SAP Accounting – SSAP No. 108</w:t>
      </w:r>
    </w:p>
    <w:p w14:paraId="08B58E40" w14:textId="77777777" w:rsidR="00841445" w:rsidRDefault="00841445" w:rsidP="00841445">
      <w:pPr>
        <w:rPr>
          <w:sz w:val="22"/>
          <w:szCs w:val="22"/>
          <w:u w:val="single"/>
        </w:rPr>
      </w:pPr>
    </w:p>
    <w:p w14:paraId="381EEA8B" w14:textId="03870024" w:rsidR="00841445" w:rsidRDefault="00A27C22" w:rsidP="00841445">
      <w:pPr>
        <w:pStyle w:val="ListParagraph"/>
        <w:numPr>
          <w:ilvl w:val="0"/>
          <w:numId w:val="27"/>
        </w:numPr>
        <w:jc w:val="both"/>
        <w:rPr>
          <w:sz w:val="22"/>
          <w:szCs w:val="22"/>
        </w:rPr>
      </w:pPr>
      <w:r>
        <w:rPr>
          <w:sz w:val="22"/>
          <w:szCs w:val="22"/>
        </w:rPr>
        <w:t>All d</w:t>
      </w:r>
      <w:r w:rsidR="00841445">
        <w:rPr>
          <w:sz w:val="22"/>
          <w:szCs w:val="22"/>
        </w:rPr>
        <w:t xml:space="preserve">erivative instruments </w:t>
      </w:r>
      <w:r>
        <w:rPr>
          <w:sz w:val="22"/>
          <w:szCs w:val="22"/>
        </w:rPr>
        <w:t>are recognized at fair value</w:t>
      </w:r>
      <w:r w:rsidR="00841445">
        <w:rPr>
          <w:sz w:val="22"/>
          <w:szCs w:val="22"/>
        </w:rPr>
        <w:t>. (P. 1</w:t>
      </w:r>
      <w:r w:rsidR="003C3191">
        <w:rPr>
          <w:sz w:val="22"/>
          <w:szCs w:val="22"/>
        </w:rPr>
        <w:t>2</w:t>
      </w:r>
      <w:r w:rsidR="00841445">
        <w:rPr>
          <w:sz w:val="22"/>
          <w:szCs w:val="22"/>
        </w:rPr>
        <w:t xml:space="preserve">) </w:t>
      </w:r>
    </w:p>
    <w:p w14:paraId="1518A04E" w14:textId="77777777" w:rsidR="00841445" w:rsidRDefault="00841445" w:rsidP="00841445">
      <w:pPr>
        <w:pStyle w:val="ListParagraph"/>
        <w:ind w:left="775"/>
        <w:jc w:val="both"/>
        <w:rPr>
          <w:sz w:val="22"/>
          <w:szCs w:val="22"/>
        </w:rPr>
      </w:pPr>
    </w:p>
    <w:p w14:paraId="6CCA8096" w14:textId="016175E3" w:rsidR="00841445" w:rsidRPr="001D37EA" w:rsidRDefault="003C3191" w:rsidP="001D37EA">
      <w:pPr>
        <w:pStyle w:val="ListParagraph"/>
        <w:numPr>
          <w:ilvl w:val="0"/>
          <w:numId w:val="27"/>
        </w:numPr>
        <w:jc w:val="both"/>
        <w:rPr>
          <w:sz w:val="22"/>
          <w:szCs w:val="22"/>
        </w:rPr>
      </w:pPr>
      <w:r>
        <w:rPr>
          <w:sz w:val="22"/>
          <w:szCs w:val="22"/>
        </w:rPr>
        <w:t xml:space="preserve">Changes in fair value </w:t>
      </w:r>
      <w:r w:rsidR="00443F74">
        <w:rPr>
          <w:sz w:val="22"/>
          <w:szCs w:val="22"/>
        </w:rPr>
        <w:t xml:space="preserve">attributed to the hedged risk are recognized as </w:t>
      </w:r>
      <w:r w:rsidR="0009149C">
        <w:rPr>
          <w:sz w:val="22"/>
          <w:szCs w:val="22"/>
        </w:rPr>
        <w:t xml:space="preserve">either </w:t>
      </w:r>
      <w:r w:rsidR="00443F74">
        <w:rPr>
          <w:sz w:val="22"/>
          <w:szCs w:val="22"/>
        </w:rPr>
        <w:t>immediate offsets to the change in reserve liability as realized gains</w:t>
      </w:r>
      <w:r w:rsidR="00DD4484">
        <w:rPr>
          <w:sz w:val="22"/>
          <w:szCs w:val="22"/>
        </w:rPr>
        <w:t>/losses</w:t>
      </w:r>
      <w:r w:rsidR="00443F74">
        <w:rPr>
          <w:sz w:val="22"/>
          <w:szCs w:val="22"/>
        </w:rPr>
        <w:t xml:space="preserve"> or </w:t>
      </w:r>
      <w:r w:rsidR="00440E15">
        <w:rPr>
          <w:sz w:val="22"/>
          <w:szCs w:val="22"/>
        </w:rPr>
        <w:t xml:space="preserve">recognized as deferred assets and liabilities and amortized </w:t>
      </w:r>
      <w:r w:rsidR="00DB0350">
        <w:rPr>
          <w:sz w:val="22"/>
          <w:szCs w:val="22"/>
        </w:rPr>
        <w:t>into realized gain or losses</w:t>
      </w:r>
      <w:r w:rsidR="00B21BE0">
        <w:rPr>
          <w:sz w:val="22"/>
          <w:szCs w:val="22"/>
        </w:rPr>
        <w:t xml:space="preserve"> based on the duration of benefit cash flows, not to exceed 10 years</w:t>
      </w:r>
      <w:r w:rsidR="001D37EA">
        <w:rPr>
          <w:sz w:val="22"/>
          <w:szCs w:val="22"/>
        </w:rPr>
        <w:t>. Changes in derivatives that are not attributable to the hedged risk shall be recognized as unrealized gains or losses.</w:t>
      </w:r>
      <w:r w:rsidR="0025341F">
        <w:rPr>
          <w:sz w:val="22"/>
          <w:szCs w:val="22"/>
        </w:rPr>
        <w:t xml:space="preserve"> (Special surplus is allocated for the net deferred asset or liability.)</w:t>
      </w:r>
      <w:r w:rsidR="001D37EA">
        <w:rPr>
          <w:sz w:val="22"/>
          <w:szCs w:val="22"/>
        </w:rPr>
        <w:t xml:space="preserve">    </w:t>
      </w:r>
      <w:r w:rsidR="00841445" w:rsidRPr="001D37EA">
        <w:rPr>
          <w:sz w:val="22"/>
          <w:szCs w:val="22"/>
        </w:rPr>
        <w:t>(P. 1</w:t>
      </w:r>
      <w:r w:rsidR="001A108A" w:rsidRPr="001D37EA">
        <w:rPr>
          <w:sz w:val="22"/>
          <w:szCs w:val="22"/>
        </w:rPr>
        <w:t>3-14</w:t>
      </w:r>
      <w:r w:rsidR="00841445" w:rsidRPr="001D37EA">
        <w:rPr>
          <w:sz w:val="22"/>
          <w:szCs w:val="22"/>
        </w:rPr>
        <w:t>)</w:t>
      </w:r>
    </w:p>
    <w:p w14:paraId="2FB3F9CC" w14:textId="77777777" w:rsidR="00841445" w:rsidRPr="00F11C41" w:rsidRDefault="00841445" w:rsidP="00841445">
      <w:pPr>
        <w:pStyle w:val="ListParagraph"/>
        <w:ind w:left="775"/>
        <w:jc w:val="both"/>
        <w:rPr>
          <w:sz w:val="22"/>
          <w:szCs w:val="22"/>
        </w:rPr>
      </w:pPr>
    </w:p>
    <w:p w14:paraId="2682D1F7" w14:textId="4FD6DA7C" w:rsidR="00841445" w:rsidRDefault="00687114" w:rsidP="00841445">
      <w:pPr>
        <w:pStyle w:val="ListParagraph"/>
        <w:numPr>
          <w:ilvl w:val="0"/>
          <w:numId w:val="27"/>
        </w:numPr>
        <w:jc w:val="both"/>
        <w:rPr>
          <w:sz w:val="22"/>
          <w:szCs w:val="22"/>
        </w:rPr>
      </w:pPr>
      <w:r>
        <w:rPr>
          <w:sz w:val="22"/>
          <w:szCs w:val="22"/>
        </w:rPr>
        <w:t>Guidance allows entities to utilize a specified derivative, or a portfolio of specified derivative as the hedging instrument</w:t>
      </w:r>
      <w:r w:rsidR="00CE179F">
        <w:rPr>
          <w:sz w:val="22"/>
          <w:szCs w:val="22"/>
        </w:rPr>
        <w:t>. The hedging instrument can also reflect a dynamic hedging strategy in which a portfolio of derivatives can be rebalanced in accordance with changes to the hedged item</w:t>
      </w:r>
      <w:r w:rsidR="00A64C70">
        <w:rPr>
          <w:sz w:val="22"/>
          <w:szCs w:val="22"/>
        </w:rPr>
        <w:t xml:space="preserve"> in order to adhere to a the specified, documented hedging strategy. (Meaning, the derivatives can be rebalanced to reflect the </w:t>
      </w:r>
      <w:r w:rsidR="00C72648">
        <w:rPr>
          <w:sz w:val="22"/>
          <w:szCs w:val="22"/>
        </w:rPr>
        <w:t xml:space="preserve">annuity </w:t>
      </w:r>
      <w:r w:rsidR="00A64C70">
        <w:rPr>
          <w:sz w:val="22"/>
          <w:szCs w:val="22"/>
        </w:rPr>
        <w:t xml:space="preserve">reserve – taking into consideration the termination / addition of annuity contracts.) </w:t>
      </w:r>
      <w:r w:rsidR="00841445">
        <w:rPr>
          <w:sz w:val="22"/>
          <w:szCs w:val="22"/>
        </w:rPr>
        <w:t xml:space="preserve">(P. </w:t>
      </w:r>
      <w:r w:rsidR="00C72648">
        <w:rPr>
          <w:sz w:val="22"/>
          <w:szCs w:val="22"/>
        </w:rPr>
        <w:t>5</w:t>
      </w:r>
      <w:r w:rsidR="00841445">
        <w:rPr>
          <w:sz w:val="22"/>
          <w:szCs w:val="22"/>
        </w:rPr>
        <w:t>)</w:t>
      </w:r>
    </w:p>
    <w:p w14:paraId="03BDB5D2" w14:textId="77777777" w:rsidR="00841445" w:rsidRPr="004C44CB" w:rsidRDefault="00841445" w:rsidP="00841445">
      <w:pPr>
        <w:pStyle w:val="ListParagraph"/>
        <w:ind w:left="775"/>
        <w:jc w:val="both"/>
        <w:rPr>
          <w:sz w:val="22"/>
          <w:szCs w:val="22"/>
        </w:rPr>
      </w:pPr>
    </w:p>
    <w:p w14:paraId="1FF4D889" w14:textId="74E7FDEA" w:rsidR="00841445" w:rsidRDefault="003F0BB8" w:rsidP="00841445">
      <w:pPr>
        <w:pStyle w:val="ListParagraph"/>
        <w:numPr>
          <w:ilvl w:val="0"/>
          <w:numId w:val="27"/>
        </w:numPr>
        <w:jc w:val="both"/>
        <w:rPr>
          <w:sz w:val="22"/>
          <w:szCs w:val="22"/>
        </w:rPr>
      </w:pPr>
      <w:r>
        <w:rPr>
          <w:sz w:val="22"/>
          <w:szCs w:val="22"/>
        </w:rPr>
        <w:t xml:space="preserve">Guidance </w:t>
      </w:r>
      <w:r w:rsidR="00196462">
        <w:rPr>
          <w:sz w:val="22"/>
          <w:szCs w:val="22"/>
        </w:rPr>
        <w:t>requires</w:t>
      </w:r>
      <w:r>
        <w:rPr>
          <w:sz w:val="22"/>
          <w:szCs w:val="22"/>
        </w:rPr>
        <w:t xml:space="preserve"> specific hedge effectiveness criteria, with the hedging relationship being highly effective in achieving offsetting changes in fair value attributed to the hedge risk during the period that the hedge is designated.</w:t>
      </w:r>
      <w:r w:rsidR="007E01D6">
        <w:rPr>
          <w:sz w:val="22"/>
          <w:szCs w:val="22"/>
        </w:rPr>
        <w:t xml:space="preserve"> This requires reporting entities to calculate the fair value of the hedged item at </w:t>
      </w:r>
      <w:r w:rsidR="00196462">
        <w:rPr>
          <w:sz w:val="22"/>
          <w:szCs w:val="22"/>
        </w:rPr>
        <w:t>inception</w:t>
      </w:r>
      <w:r w:rsidR="007E01D6">
        <w:rPr>
          <w:sz w:val="22"/>
          <w:szCs w:val="22"/>
        </w:rPr>
        <w:t xml:space="preserve"> and on an ongoing basis and </w:t>
      </w:r>
      <w:r w:rsidR="00196462">
        <w:rPr>
          <w:sz w:val="22"/>
          <w:szCs w:val="22"/>
        </w:rPr>
        <w:t>comparing</w:t>
      </w:r>
      <w:r w:rsidR="007E01D6">
        <w:rPr>
          <w:sz w:val="22"/>
          <w:szCs w:val="22"/>
        </w:rPr>
        <w:t xml:space="preserve"> the fair value change of the hedged item to the fair value change of the hedging instruments </w:t>
      </w:r>
      <w:r w:rsidR="00196462">
        <w:rPr>
          <w:sz w:val="22"/>
          <w:szCs w:val="22"/>
        </w:rPr>
        <w:t xml:space="preserve">to determine whether the relationship is highly effective on a cumulative basis. </w:t>
      </w:r>
      <w:r w:rsidR="00841445">
        <w:rPr>
          <w:sz w:val="22"/>
          <w:szCs w:val="22"/>
        </w:rPr>
        <w:t>(P. 1</w:t>
      </w:r>
      <w:r w:rsidR="00196462">
        <w:rPr>
          <w:sz w:val="22"/>
          <w:szCs w:val="22"/>
        </w:rPr>
        <w:t>0</w:t>
      </w:r>
      <w:r w:rsidR="00841445">
        <w:rPr>
          <w:sz w:val="22"/>
          <w:szCs w:val="22"/>
        </w:rPr>
        <w:t>)</w:t>
      </w:r>
    </w:p>
    <w:p w14:paraId="0F23CFCC" w14:textId="77777777" w:rsidR="00841445" w:rsidRPr="004C44CB" w:rsidRDefault="00841445" w:rsidP="00841445">
      <w:pPr>
        <w:pStyle w:val="ListParagraph"/>
        <w:ind w:left="775"/>
        <w:jc w:val="both"/>
        <w:rPr>
          <w:sz w:val="22"/>
          <w:szCs w:val="22"/>
        </w:rPr>
      </w:pPr>
    </w:p>
    <w:p w14:paraId="6BE77848" w14:textId="5C464608" w:rsidR="00841445" w:rsidRDefault="00CA32D9" w:rsidP="00841445">
      <w:pPr>
        <w:pStyle w:val="ListParagraph"/>
        <w:numPr>
          <w:ilvl w:val="0"/>
          <w:numId w:val="27"/>
        </w:numPr>
        <w:jc w:val="both"/>
        <w:rPr>
          <w:sz w:val="22"/>
          <w:szCs w:val="22"/>
        </w:rPr>
      </w:pPr>
      <w:r>
        <w:rPr>
          <w:sz w:val="22"/>
          <w:szCs w:val="22"/>
        </w:rPr>
        <w:t>Application of SSAP No. 108 requires explicit approval from the domiciliary commission</w:t>
      </w:r>
      <w:r w:rsidR="00285C74">
        <w:rPr>
          <w:sz w:val="22"/>
          <w:szCs w:val="22"/>
        </w:rPr>
        <w:t xml:space="preserve">er as well as actuarial certifications. </w:t>
      </w:r>
      <w:r w:rsidR="002027A3">
        <w:rPr>
          <w:sz w:val="22"/>
          <w:szCs w:val="22"/>
        </w:rPr>
        <w:t xml:space="preserve">Specific disclosures, as well as a separately Schedule DB-E reporting schedule tracks specific information for the derivatives and the recognition of deferred assets/liabilities. </w:t>
      </w:r>
      <w:r w:rsidR="005370FF">
        <w:rPr>
          <w:sz w:val="22"/>
          <w:szCs w:val="22"/>
        </w:rPr>
        <w:t>(P. 6 &amp; 23.)</w:t>
      </w:r>
    </w:p>
    <w:p w14:paraId="1872EEAF" w14:textId="77777777" w:rsidR="00AF4776" w:rsidRPr="00AF4776" w:rsidRDefault="00AF4776" w:rsidP="00AF4776">
      <w:pPr>
        <w:pStyle w:val="ListParagraph"/>
        <w:rPr>
          <w:sz w:val="22"/>
          <w:szCs w:val="22"/>
        </w:rPr>
      </w:pPr>
    </w:p>
    <w:p w14:paraId="3C6F3A06" w14:textId="02EC2F57" w:rsidR="00211E60" w:rsidRPr="00162D4E" w:rsidRDefault="00211E60" w:rsidP="00211E60">
      <w:pPr>
        <w:rPr>
          <w:sz w:val="22"/>
          <w:szCs w:val="22"/>
          <w:u w:val="single"/>
        </w:rPr>
      </w:pPr>
      <w:r w:rsidRPr="00162D4E">
        <w:rPr>
          <w:sz w:val="22"/>
          <w:szCs w:val="22"/>
          <w:u w:val="single"/>
        </w:rPr>
        <w:t xml:space="preserve">Overview of U.S. GAAP Accounting </w:t>
      </w:r>
      <w:r w:rsidRPr="00162D4E">
        <w:rPr>
          <w:sz w:val="22"/>
          <w:szCs w:val="22"/>
        </w:rPr>
        <w:t>– U.S. GAAP guidance is based on four cornerstones (815-10-10-1):</w:t>
      </w:r>
    </w:p>
    <w:p w14:paraId="1211D1CC" w14:textId="77777777" w:rsidR="00211E60" w:rsidRDefault="00211E60" w:rsidP="00211E60">
      <w:pPr>
        <w:rPr>
          <w:sz w:val="22"/>
          <w:szCs w:val="22"/>
          <w:u w:val="single"/>
        </w:rPr>
      </w:pPr>
    </w:p>
    <w:p w14:paraId="50AA3BE0" w14:textId="77777777" w:rsidR="00211E60" w:rsidRDefault="00211E60" w:rsidP="00211E60">
      <w:pPr>
        <w:pStyle w:val="ListParagraph"/>
        <w:numPr>
          <w:ilvl w:val="0"/>
          <w:numId w:val="26"/>
        </w:numPr>
        <w:jc w:val="both"/>
        <w:rPr>
          <w:sz w:val="22"/>
          <w:szCs w:val="22"/>
        </w:rPr>
      </w:pPr>
      <w:r w:rsidRPr="007F0FC8">
        <w:rPr>
          <w:sz w:val="22"/>
          <w:szCs w:val="22"/>
        </w:rPr>
        <w:t xml:space="preserve">Derivative instruments represent rights or obligations that meet the definitions of assets or liabilities and should be reported on the financial statements. </w:t>
      </w:r>
    </w:p>
    <w:p w14:paraId="2DC7E621" w14:textId="77777777" w:rsidR="00211E60" w:rsidRDefault="00211E60" w:rsidP="00211E60">
      <w:pPr>
        <w:jc w:val="both"/>
        <w:rPr>
          <w:sz w:val="22"/>
          <w:szCs w:val="22"/>
        </w:rPr>
      </w:pPr>
    </w:p>
    <w:p w14:paraId="68D44D16" w14:textId="77777777" w:rsidR="00211E60" w:rsidRDefault="00211E60" w:rsidP="00211E60">
      <w:pPr>
        <w:ind w:left="1080"/>
        <w:jc w:val="both"/>
        <w:rPr>
          <w:sz w:val="22"/>
          <w:szCs w:val="22"/>
        </w:rPr>
      </w:pPr>
      <w:r>
        <w:rPr>
          <w:sz w:val="22"/>
          <w:szCs w:val="22"/>
        </w:rPr>
        <w:t xml:space="preserve">In making this decision, the FASB noted that derivatives are assets or liabilities because they represent rights or obligations and that recognizing those assets and liabilities will make financial statements more complete and more informative. The FASB noted that prior to FAS 133, many derivatives were off-balance-sheet, because, unlike conventional financial instruments (such as stocks, bonds and loans), derivatives often reflect at their inception only a mutual exchange of promises with little or no transfer of tangible consideration. </w:t>
      </w:r>
      <w:r w:rsidRPr="003E49FC">
        <w:rPr>
          <w:i/>
          <w:sz w:val="22"/>
          <w:szCs w:val="22"/>
        </w:rPr>
        <w:t>FAS 133, BOC – 219.</w:t>
      </w:r>
    </w:p>
    <w:p w14:paraId="339E41AD" w14:textId="77777777" w:rsidR="00211E60" w:rsidRDefault="00211E60" w:rsidP="00211E60">
      <w:pPr>
        <w:jc w:val="both"/>
        <w:rPr>
          <w:sz w:val="22"/>
          <w:szCs w:val="22"/>
        </w:rPr>
      </w:pPr>
    </w:p>
    <w:p w14:paraId="594A46EA" w14:textId="77777777" w:rsidR="00211E60" w:rsidRDefault="00211E60" w:rsidP="00211E60">
      <w:pPr>
        <w:pStyle w:val="ListParagraph"/>
        <w:numPr>
          <w:ilvl w:val="0"/>
          <w:numId w:val="26"/>
        </w:numPr>
        <w:jc w:val="both"/>
        <w:rPr>
          <w:sz w:val="22"/>
          <w:szCs w:val="22"/>
        </w:rPr>
      </w:pPr>
      <w:r>
        <w:rPr>
          <w:sz w:val="22"/>
          <w:szCs w:val="22"/>
        </w:rPr>
        <w:t xml:space="preserve">Derivative instruments should be measured at fair value, and adjustments to the carrying amount of hedged items should reflect changes in their fair value (that is gains or losses) that are attributable to the risk being hedged and that arise while the hedge is in effect. </w:t>
      </w:r>
    </w:p>
    <w:p w14:paraId="118F5A46" w14:textId="77777777" w:rsidR="00211E60" w:rsidRDefault="00211E60" w:rsidP="00211E60">
      <w:pPr>
        <w:jc w:val="both"/>
        <w:rPr>
          <w:sz w:val="22"/>
          <w:szCs w:val="22"/>
        </w:rPr>
      </w:pPr>
    </w:p>
    <w:p w14:paraId="4386EC0C" w14:textId="41217A2E" w:rsidR="00211E60" w:rsidRDefault="00211E60" w:rsidP="00211E60">
      <w:pPr>
        <w:ind w:left="1080"/>
        <w:jc w:val="both"/>
        <w:rPr>
          <w:i/>
          <w:sz w:val="22"/>
          <w:szCs w:val="22"/>
        </w:rPr>
      </w:pPr>
      <w:r>
        <w:rPr>
          <w:sz w:val="22"/>
          <w:szCs w:val="22"/>
        </w:rPr>
        <w:t xml:space="preserve">In making this decision, the FASB identified that fair value is the only relevant measurement attribute for derivatives. They noted that amortized cost is not a relevant measure for derivatives because the historical cost of a derivative often is zero, yet a derivative can be settled or sold at any time for an amount equivalent to its fair value. The reasoning for “held to maturity” instruments being held at amortized cost, was noted as not suitable for derivatives. </w:t>
      </w:r>
      <w:r w:rsidRPr="001047E6">
        <w:rPr>
          <w:i/>
          <w:sz w:val="22"/>
          <w:szCs w:val="22"/>
        </w:rPr>
        <w:t>FAS 133, BOC - Paragraph 223.</w:t>
      </w:r>
    </w:p>
    <w:p w14:paraId="3C5901CA" w14:textId="2891E5F3" w:rsidR="000141FF" w:rsidRDefault="000141FF" w:rsidP="00211E60">
      <w:pPr>
        <w:ind w:left="1080"/>
        <w:jc w:val="both"/>
        <w:rPr>
          <w:i/>
          <w:sz w:val="22"/>
          <w:szCs w:val="22"/>
        </w:rPr>
      </w:pPr>
    </w:p>
    <w:p w14:paraId="50E873B1" w14:textId="77777777" w:rsidR="00211E60" w:rsidRDefault="00211E60" w:rsidP="00211E60">
      <w:pPr>
        <w:pStyle w:val="ListParagraph"/>
        <w:numPr>
          <w:ilvl w:val="0"/>
          <w:numId w:val="26"/>
        </w:numPr>
        <w:jc w:val="both"/>
        <w:rPr>
          <w:sz w:val="22"/>
          <w:szCs w:val="22"/>
        </w:rPr>
      </w:pPr>
      <w:r>
        <w:rPr>
          <w:sz w:val="22"/>
          <w:szCs w:val="22"/>
        </w:rPr>
        <w:t xml:space="preserve">Only items that are assets or liabilities should be reported in the financial statements. </w:t>
      </w:r>
    </w:p>
    <w:p w14:paraId="00AB22E0" w14:textId="77777777" w:rsidR="00211E60" w:rsidRDefault="00211E60" w:rsidP="00211E60">
      <w:pPr>
        <w:jc w:val="both"/>
        <w:rPr>
          <w:sz w:val="22"/>
          <w:szCs w:val="22"/>
        </w:rPr>
      </w:pPr>
    </w:p>
    <w:p w14:paraId="4065891F" w14:textId="16C3648F" w:rsidR="00211E60" w:rsidRPr="00FE7486" w:rsidRDefault="00211E60" w:rsidP="00211E60">
      <w:pPr>
        <w:ind w:left="1080"/>
        <w:jc w:val="both"/>
        <w:rPr>
          <w:sz w:val="22"/>
          <w:szCs w:val="22"/>
        </w:rPr>
      </w:pPr>
      <w:r>
        <w:rPr>
          <w:sz w:val="22"/>
          <w:szCs w:val="22"/>
        </w:rPr>
        <w:lastRenderedPageBreak/>
        <w:t xml:space="preserve">In making this decision, the FASB identified that derivatives are assets and liabilities, but the gains and losses that result in changes in the fair value of derivatives are not separate assets or liabilities because they have none of the essential characteristics of assets or liabilities. The FASB identified that the act of designating a derivative as a hedging instrument does not convert a subsequent loss or gain into an asset or a liability. A loss is not an asset because no future economic benefit is associated with it. The loss cannot be exchanged for cash, a financial asset, or a nonfinancial asset used to produce something of </w:t>
      </w:r>
      <w:r w:rsidR="00D21F23">
        <w:rPr>
          <w:sz w:val="22"/>
          <w:szCs w:val="22"/>
        </w:rPr>
        <w:t>value or</w:t>
      </w:r>
      <w:r>
        <w:rPr>
          <w:sz w:val="22"/>
          <w:szCs w:val="22"/>
        </w:rPr>
        <w:t xml:space="preserve"> used to settle liabilities. Similarly, a gain is not a liability because no obligation exists to sacrifice assets in the future. </w:t>
      </w:r>
      <w:r w:rsidRPr="00FE7486">
        <w:rPr>
          <w:i/>
          <w:sz w:val="22"/>
          <w:szCs w:val="22"/>
        </w:rPr>
        <w:t>FAS 133, BOC – 229</w:t>
      </w:r>
      <w:r>
        <w:rPr>
          <w:i/>
          <w:sz w:val="22"/>
          <w:szCs w:val="22"/>
        </w:rPr>
        <w:t>.</w:t>
      </w:r>
      <w:r>
        <w:rPr>
          <w:sz w:val="22"/>
          <w:szCs w:val="22"/>
        </w:rPr>
        <w:t xml:space="preserve"> </w:t>
      </w:r>
    </w:p>
    <w:p w14:paraId="124A4860" w14:textId="77777777" w:rsidR="00211E60" w:rsidRPr="007F0FC8" w:rsidRDefault="00211E60" w:rsidP="00211E60">
      <w:pPr>
        <w:pStyle w:val="ListParagraph"/>
        <w:jc w:val="both"/>
        <w:rPr>
          <w:sz w:val="22"/>
          <w:szCs w:val="22"/>
        </w:rPr>
      </w:pPr>
    </w:p>
    <w:p w14:paraId="46C74F36" w14:textId="77777777" w:rsidR="00211E60" w:rsidRDefault="00211E60" w:rsidP="00211E60">
      <w:pPr>
        <w:pStyle w:val="ListParagraph"/>
        <w:numPr>
          <w:ilvl w:val="0"/>
          <w:numId w:val="26"/>
        </w:numPr>
        <w:jc w:val="both"/>
        <w:rPr>
          <w:sz w:val="22"/>
          <w:szCs w:val="22"/>
        </w:rPr>
      </w:pPr>
      <w:r>
        <w:rPr>
          <w:sz w:val="22"/>
          <w:szCs w:val="22"/>
        </w:rPr>
        <w:t xml:space="preserve">Special accounting for items designated as being hedged should be provided only for qualifying items. One aspect of qualification should be an assessment of the expectation of effective offsetting changes in fair value or cash flows during the term of the hedge for the risk being hedged. </w:t>
      </w:r>
    </w:p>
    <w:p w14:paraId="67369744" w14:textId="77777777" w:rsidR="00211E60" w:rsidRDefault="00211E60" w:rsidP="00211E60">
      <w:pPr>
        <w:pStyle w:val="ListParagraph"/>
        <w:jc w:val="both"/>
        <w:rPr>
          <w:sz w:val="22"/>
          <w:szCs w:val="22"/>
        </w:rPr>
      </w:pPr>
    </w:p>
    <w:p w14:paraId="345604F0" w14:textId="77777777" w:rsidR="00211E60" w:rsidRPr="001047E6" w:rsidRDefault="00211E60" w:rsidP="00211E60">
      <w:pPr>
        <w:ind w:left="1080"/>
        <w:jc w:val="both"/>
        <w:rPr>
          <w:sz w:val="22"/>
          <w:szCs w:val="22"/>
        </w:rPr>
      </w:pPr>
      <w:r>
        <w:rPr>
          <w:sz w:val="22"/>
          <w:szCs w:val="22"/>
        </w:rPr>
        <w:t xml:space="preserve">In making this decision, the FASB noted that a primary purpose of hedge accounting is to link items or transactions whose changes in fair values or cash flows are expected to offset each other. The FASB decided that one of the criteria for qualification for hedge accounting should focus on the extent to which offsetting changes in fair values or cash flows on the derivative and the hedged item or transaction during the term of the hedge are expected and ultimately achieved. </w:t>
      </w:r>
      <w:r w:rsidRPr="00FE7486">
        <w:rPr>
          <w:i/>
          <w:sz w:val="22"/>
          <w:szCs w:val="22"/>
        </w:rPr>
        <w:t>FAS 133, BOC – 230.</w:t>
      </w:r>
    </w:p>
    <w:p w14:paraId="2D80BE8D" w14:textId="77777777" w:rsidR="00211E60" w:rsidRPr="008B1EC0" w:rsidRDefault="00211E60" w:rsidP="00211E60">
      <w:pPr>
        <w:pStyle w:val="BodyText2"/>
        <w:rPr>
          <w:i/>
          <w:iCs/>
          <w:szCs w:val="22"/>
        </w:rPr>
      </w:pPr>
    </w:p>
    <w:p w14:paraId="0BAFAF3F" w14:textId="1EB9F686" w:rsidR="007B28B0" w:rsidRDefault="002A1316" w:rsidP="00E44EF1">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E44EF1">
        <w:rPr>
          <w:b w:val="0"/>
          <w:szCs w:val="22"/>
        </w:rPr>
        <w:t xml:space="preserve">The following items are noted as recent actions: </w:t>
      </w:r>
    </w:p>
    <w:p w14:paraId="4F833FB1" w14:textId="792F5711" w:rsidR="00E44EF1" w:rsidRDefault="00E44EF1" w:rsidP="00E44EF1">
      <w:pPr>
        <w:pStyle w:val="BodyText2"/>
        <w:rPr>
          <w:b w:val="0"/>
          <w:szCs w:val="22"/>
        </w:rPr>
      </w:pPr>
    </w:p>
    <w:p w14:paraId="282C2B5A" w14:textId="4A3AE19F" w:rsidR="00E44EF1" w:rsidRDefault="00FD721C" w:rsidP="00E44EF1">
      <w:pPr>
        <w:pStyle w:val="BodyText2"/>
        <w:numPr>
          <w:ilvl w:val="0"/>
          <w:numId w:val="13"/>
        </w:numPr>
        <w:rPr>
          <w:b w:val="0"/>
          <w:bCs w:val="0"/>
          <w:szCs w:val="22"/>
        </w:rPr>
      </w:pPr>
      <w:r>
        <w:rPr>
          <w:b w:val="0"/>
          <w:bCs w:val="0"/>
          <w:szCs w:val="22"/>
        </w:rPr>
        <w:t>SSAP No. 108 was adopted in 2018, with a Jan. 1</w:t>
      </w:r>
      <w:r w:rsidR="00F77617">
        <w:rPr>
          <w:b w:val="0"/>
          <w:bCs w:val="0"/>
          <w:szCs w:val="22"/>
        </w:rPr>
        <w:t>,</w:t>
      </w:r>
      <w:r>
        <w:rPr>
          <w:b w:val="0"/>
          <w:bCs w:val="0"/>
          <w:szCs w:val="22"/>
        </w:rPr>
        <w:t xml:space="preserve"> 2020 </w:t>
      </w:r>
      <w:r w:rsidR="00F77617">
        <w:rPr>
          <w:b w:val="0"/>
          <w:bCs w:val="0"/>
          <w:szCs w:val="22"/>
        </w:rPr>
        <w:t>effective</w:t>
      </w:r>
      <w:r>
        <w:rPr>
          <w:b w:val="0"/>
          <w:bCs w:val="0"/>
          <w:szCs w:val="22"/>
        </w:rPr>
        <w:t xml:space="preserve"> date, </w:t>
      </w:r>
      <w:r w:rsidR="005F572D">
        <w:rPr>
          <w:b w:val="0"/>
          <w:bCs w:val="0"/>
          <w:szCs w:val="22"/>
        </w:rPr>
        <w:t xml:space="preserve">to establish specific guidance for derivatives hedging variable annuity guarantees. </w:t>
      </w:r>
    </w:p>
    <w:p w14:paraId="53282E87" w14:textId="77777777" w:rsidR="007F269F" w:rsidRDefault="007F269F" w:rsidP="007F269F">
      <w:pPr>
        <w:pStyle w:val="BodyText2"/>
        <w:ind w:left="720"/>
        <w:rPr>
          <w:b w:val="0"/>
          <w:bCs w:val="0"/>
          <w:szCs w:val="22"/>
        </w:rPr>
      </w:pPr>
    </w:p>
    <w:p w14:paraId="3FE0E098" w14:textId="068A8F48" w:rsidR="00111377" w:rsidRPr="00111377" w:rsidRDefault="002F10DA" w:rsidP="00111377">
      <w:pPr>
        <w:pStyle w:val="ListParagraph"/>
        <w:numPr>
          <w:ilvl w:val="0"/>
          <w:numId w:val="13"/>
        </w:numPr>
        <w:jc w:val="both"/>
        <w:rPr>
          <w:sz w:val="22"/>
          <w:szCs w:val="22"/>
        </w:rPr>
      </w:pPr>
      <w:r w:rsidRPr="00111377">
        <w:rPr>
          <w:sz w:val="22"/>
          <w:szCs w:val="22"/>
        </w:rPr>
        <w:t>I</w:t>
      </w:r>
      <w:r w:rsidR="002D1716" w:rsidRPr="00111377">
        <w:rPr>
          <w:sz w:val="22"/>
          <w:szCs w:val="22"/>
        </w:rPr>
        <w:t>n</w:t>
      </w:r>
      <w:r w:rsidRPr="00111377">
        <w:rPr>
          <w:sz w:val="22"/>
          <w:szCs w:val="22"/>
        </w:rPr>
        <w:t xml:space="preserve"> August 2017, the FASB issued </w:t>
      </w:r>
      <w:r w:rsidR="00F94F52" w:rsidRPr="00111377">
        <w:rPr>
          <w:i/>
          <w:iCs/>
          <w:sz w:val="22"/>
          <w:szCs w:val="22"/>
        </w:rPr>
        <w:t>ASU 2017-</w:t>
      </w:r>
      <w:r w:rsidR="006D3F3A" w:rsidRPr="00111377">
        <w:rPr>
          <w:i/>
          <w:iCs/>
          <w:sz w:val="22"/>
          <w:szCs w:val="22"/>
        </w:rPr>
        <w:t>12, Derivatives and Hedging (Topic 815): Targeted Improvements to Accounting for Hedging Activities</w:t>
      </w:r>
      <w:r w:rsidR="006D3F3A" w:rsidRPr="00111377">
        <w:rPr>
          <w:sz w:val="22"/>
          <w:szCs w:val="22"/>
        </w:rPr>
        <w:t xml:space="preserve"> to improve the financial reporting of hedging relationships to better portray the economic results of an entity’s risk management activities in its financial statements. </w:t>
      </w:r>
      <w:r w:rsidR="002D1716" w:rsidRPr="00111377">
        <w:rPr>
          <w:sz w:val="22"/>
          <w:szCs w:val="22"/>
        </w:rPr>
        <w:t>In addition, the amendments make certain targeted improvements to simplify the application of the hedge accounting guidance in current U.S. GAAP based on feedback received from preparers, auditors, users and other stakeholders. The ASU did not make any modifications to the four U.S. GAAP cornerstones on the accounting for derivatives in ASC 815-10-10-1.</w:t>
      </w:r>
      <w:r w:rsidR="00111377" w:rsidRPr="00111377">
        <w:rPr>
          <w:sz w:val="22"/>
          <w:szCs w:val="22"/>
        </w:rPr>
        <w:t xml:space="preserve"> </w:t>
      </w:r>
      <w:r w:rsidR="004E4587">
        <w:rPr>
          <w:sz w:val="22"/>
          <w:szCs w:val="22"/>
        </w:rPr>
        <w:t xml:space="preserve">Although a separate agenda item </w:t>
      </w:r>
      <w:r w:rsidR="008027FB">
        <w:rPr>
          <w:sz w:val="22"/>
          <w:szCs w:val="22"/>
        </w:rPr>
        <w:t>incorporated</w:t>
      </w:r>
      <w:r w:rsidR="00FC2C54">
        <w:rPr>
          <w:sz w:val="22"/>
          <w:szCs w:val="22"/>
        </w:rPr>
        <w:t xml:space="preserve"> </w:t>
      </w:r>
      <w:r w:rsidR="008027FB">
        <w:rPr>
          <w:sz w:val="22"/>
          <w:szCs w:val="22"/>
        </w:rPr>
        <w:t>limited provisions from this ASU into SSAP No. 86 related to hedge effectiveness</w:t>
      </w:r>
      <w:r w:rsidR="003610DC">
        <w:rPr>
          <w:sz w:val="22"/>
          <w:szCs w:val="22"/>
        </w:rPr>
        <w:t xml:space="preserve"> (Ref #2018-30)</w:t>
      </w:r>
      <w:r w:rsidR="008027FB">
        <w:rPr>
          <w:sz w:val="22"/>
          <w:szCs w:val="22"/>
        </w:rPr>
        <w:t>, the review of this complete ASU</w:t>
      </w:r>
      <w:r w:rsidR="00C746F4">
        <w:rPr>
          <w:sz w:val="22"/>
          <w:szCs w:val="22"/>
        </w:rPr>
        <w:t xml:space="preserve"> (and overall derivatives for SAP) is a pending item for the Working Group. </w:t>
      </w:r>
      <w:r w:rsidR="00111377" w:rsidRPr="00111377">
        <w:rPr>
          <w:sz w:val="22"/>
          <w:szCs w:val="22"/>
        </w:rPr>
        <w:t xml:space="preserve">Although the ASU is over 400 pages, the revisions can be briefly categorized as follows:  </w:t>
      </w:r>
    </w:p>
    <w:p w14:paraId="311501CF" w14:textId="77777777" w:rsidR="00111377" w:rsidRPr="00111377" w:rsidRDefault="00111377" w:rsidP="00111377">
      <w:pPr>
        <w:jc w:val="both"/>
        <w:rPr>
          <w:sz w:val="22"/>
          <w:szCs w:val="22"/>
        </w:rPr>
      </w:pPr>
    </w:p>
    <w:p w14:paraId="0DF32CD5" w14:textId="77777777" w:rsidR="00111377" w:rsidRPr="00111377" w:rsidRDefault="00111377" w:rsidP="006B5B32">
      <w:pPr>
        <w:pStyle w:val="ListParagraph"/>
        <w:numPr>
          <w:ilvl w:val="0"/>
          <w:numId w:val="28"/>
        </w:numPr>
        <w:ind w:left="1440"/>
        <w:contextualSpacing w:val="0"/>
        <w:jc w:val="both"/>
        <w:rPr>
          <w:sz w:val="22"/>
          <w:szCs w:val="22"/>
        </w:rPr>
      </w:pPr>
      <w:r w:rsidRPr="00111377">
        <w:rPr>
          <w:sz w:val="22"/>
          <w:szCs w:val="22"/>
        </w:rPr>
        <w:t xml:space="preserve">Amendments permit hedge accounting for risk components in hedging relationships involving nonfinancial risk and interest rate risk in specific scenarios. </w:t>
      </w:r>
    </w:p>
    <w:p w14:paraId="450B978F" w14:textId="77777777" w:rsidR="00111377" w:rsidRPr="00111377" w:rsidRDefault="00111377" w:rsidP="006B5B32">
      <w:pPr>
        <w:pStyle w:val="ListParagraph"/>
        <w:ind w:left="1440"/>
        <w:jc w:val="both"/>
        <w:rPr>
          <w:sz w:val="22"/>
          <w:szCs w:val="22"/>
        </w:rPr>
      </w:pPr>
    </w:p>
    <w:p w14:paraId="68C21AEB" w14:textId="77777777" w:rsidR="00111377" w:rsidRPr="00111377" w:rsidRDefault="00111377" w:rsidP="006B5B32">
      <w:pPr>
        <w:pStyle w:val="ListParagraph"/>
        <w:numPr>
          <w:ilvl w:val="0"/>
          <w:numId w:val="28"/>
        </w:numPr>
        <w:ind w:left="1440"/>
        <w:contextualSpacing w:val="0"/>
        <w:jc w:val="both"/>
        <w:rPr>
          <w:sz w:val="22"/>
          <w:szCs w:val="22"/>
        </w:rPr>
      </w:pPr>
      <w:r w:rsidRPr="00111377">
        <w:rPr>
          <w:sz w:val="22"/>
          <w:szCs w:val="22"/>
        </w:rPr>
        <w:t xml:space="preserve">Amendments change the guidance for designating fair value hedges of interest rate risk and for measuring the change in fair value of the hedged item in fair value hedges of interest rate risk. </w:t>
      </w:r>
    </w:p>
    <w:p w14:paraId="798F9EA1" w14:textId="77777777" w:rsidR="00111377" w:rsidRPr="00111377" w:rsidRDefault="00111377" w:rsidP="006B5B32">
      <w:pPr>
        <w:pStyle w:val="ListParagraph"/>
        <w:ind w:left="1440"/>
        <w:jc w:val="both"/>
        <w:rPr>
          <w:sz w:val="22"/>
          <w:szCs w:val="22"/>
        </w:rPr>
      </w:pPr>
    </w:p>
    <w:p w14:paraId="15C590F5" w14:textId="77777777" w:rsidR="00111377" w:rsidRPr="00111377" w:rsidRDefault="00111377" w:rsidP="006B5B32">
      <w:pPr>
        <w:pStyle w:val="ListParagraph"/>
        <w:numPr>
          <w:ilvl w:val="0"/>
          <w:numId w:val="28"/>
        </w:numPr>
        <w:ind w:left="1440"/>
        <w:contextualSpacing w:val="0"/>
        <w:jc w:val="both"/>
        <w:rPr>
          <w:sz w:val="22"/>
          <w:szCs w:val="22"/>
        </w:rPr>
      </w:pPr>
      <w:r w:rsidRPr="00111377">
        <w:rPr>
          <w:sz w:val="22"/>
          <w:szCs w:val="22"/>
        </w:rPr>
        <w:t xml:space="preserve">Amendments align the recognition and presentation of the effects of the hedging instrument and the hedged item in the financial statements to increase the understandability of the entity’s intended hedging strategies. The revisions require an entity to present the earnings effect of the hedging instrument in the same income statement line item in which the earnings effect of the hedged item is reported. Furthermore, these amendments eliminate the separate measurements and reporting of hedge ineffectiveness. </w:t>
      </w:r>
    </w:p>
    <w:p w14:paraId="5756D441" w14:textId="77777777" w:rsidR="00111377" w:rsidRPr="00111377" w:rsidRDefault="00111377" w:rsidP="006B5B32">
      <w:pPr>
        <w:pStyle w:val="ListParagraph"/>
        <w:ind w:left="1440"/>
        <w:jc w:val="both"/>
        <w:rPr>
          <w:sz w:val="22"/>
          <w:szCs w:val="22"/>
        </w:rPr>
      </w:pPr>
    </w:p>
    <w:p w14:paraId="3919A5DE" w14:textId="77777777" w:rsidR="00111377" w:rsidRPr="00111377" w:rsidRDefault="00111377" w:rsidP="006B5B32">
      <w:pPr>
        <w:pStyle w:val="ListParagraph"/>
        <w:numPr>
          <w:ilvl w:val="0"/>
          <w:numId w:val="28"/>
        </w:numPr>
        <w:ind w:left="1440"/>
        <w:contextualSpacing w:val="0"/>
        <w:jc w:val="both"/>
        <w:rPr>
          <w:sz w:val="22"/>
          <w:szCs w:val="22"/>
        </w:rPr>
      </w:pPr>
      <w:r w:rsidRPr="00111377">
        <w:rPr>
          <w:sz w:val="22"/>
          <w:szCs w:val="22"/>
        </w:rPr>
        <w:t xml:space="preserve">Amendments expand the components in a hedging instrument allowed to be excluded in the assessment of hedge effectiveness and provide elective accounting guidance for the excluded components. </w:t>
      </w:r>
    </w:p>
    <w:p w14:paraId="27FD10D7" w14:textId="77777777" w:rsidR="00111377" w:rsidRPr="00111377" w:rsidRDefault="00111377" w:rsidP="006B5B32">
      <w:pPr>
        <w:pStyle w:val="ListParagraph"/>
        <w:ind w:left="1440"/>
        <w:jc w:val="both"/>
        <w:rPr>
          <w:sz w:val="22"/>
          <w:szCs w:val="22"/>
        </w:rPr>
      </w:pPr>
    </w:p>
    <w:p w14:paraId="327BBDC1" w14:textId="77777777" w:rsidR="00111377" w:rsidRPr="00111377" w:rsidRDefault="00111377" w:rsidP="006B5B32">
      <w:pPr>
        <w:pStyle w:val="ListParagraph"/>
        <w:numPr>
          <w:ilvl w:val="0"/>
          <w:numId w:val="28"/>
        </w:numPr>
        <w:ind w:left="1440"/>
        <w:contextualSpacing w:val="0"/>
        <w:jc w:val="both"/>
        <w:rPr>
          <w:sz w:val="22"/>
          <w:szCs w:val="22"/>
        </w:rPr>
      </w:pPr>
      <w:r w:rsidRPr="00111377">
        <w:rPr>
          <w:sz w:val="22"/>
          <w:szCs w:val="22"/>
        </w:rPr>
        <w:t xml:space="preserve">Amendments include targeted improvements to ease the application of assessing hedge effectiveness. </w:t>
      </w:r>
    </w:p>
    <w:p w14:paraId="502B710D" w14:textId="77777777" w:rsidR="00111377" w:rsidRPr="00111377" w:rsidRDefault="00111377" w:rsidP="006B5B32">
      <w:pPr>
        <w:pStyle w:val="ListParagraph"/>
        <w:ind w:left="1440"/>
        <w:jc w:val="both"/>
        <w:rPr>
          <w:sz w:val="22"/>
          <w:szCs w:val="22"/>
        </w:rPr>
      </w:pPr>
    </w:p>
    <w:p w14:paraId="2D9CD4B1" w14:textId="77777777" w:rsidR="00111377" w:rsidRPr="00111377" w:rsidRDefault="00111377" w:rsidP="006B5B32">
      <w:pPr>
        <w:pStyle w:val="ListParagraph"/>
        <w:numPr>
          <w:ilvl w:val="0"/>
          <w:numId w:val="28"/>
        </w:numPr>
        <w:ind w:left="1440"/>
        <w:contextualSpacing w:val="0"/>
        <w:jc w:val="both"/>
        <w:rPr>
          <w:sz w:val="22"/>
          <w:szCs w:val="22"/>
        </w:rPr>
      </w:pPr>
      <w:r w:rsidRPr="00111377">
        <w:rPr>
          <w:sz w:val="22"/>
          <w:szCs w:val="22"/>
        </w:rPr>
        <w:t xml:space="preserve">Amendments modify existing disclosures and incorporate a tabular disclosure related to the effect on the income statement of fair value cash flow hedges. </w:t>
      </w:r>
    </w:p>
    <w:p w14:paraId="1A3B43D0" w14:textId="556CABFF" w:rsidR="007F269F" w:rsidRDefault="007F269F" w:rsidP="006B5B32">
      <w:pPr>
        <w:pStyle w:val="BodyText2"/>
        <w:rPr>
          <w:b w:val="0"/>
          <w:bCs w:val="0"/>
          <w:szCs w:val="22"/>
        </w:rPr>
      </w:pPr>
    </w:p>
    <w:p w14:paraId="450F26EF" w14:textId="52393499" w:rsidR="006B5B32" w:rsidRPr="003970FB" w:rsidRDefault="006B5B32" w:rsidP="003610DC">
      <w:pPr>
        <w:pStyle w:val="BodyText2"/>
        <w:numPr>
          <w:ilvl w:val="0"/>
          <w:numId w:val="13"/>
        </w:numPr>
        <w:rPr>
          <w:b w:val="0"/>
          <w:bCs w:val="0"/>
          <w:szCs w:val="22"/>
        </w:rPr>
      </w:pPr>
      <w:r>
        <w:rPr>
          <w:b w:val="0"/>
          <w:bCs w:val="0"/>
          <w:szCs w:val="22"/>
        </w:rPr>
        <w:t xml:space="preserve">In November 2018, the Working Group adopted revisions to SSAP No. 86 to incorporate revisions </w:t>
      </w:r>
      <w:r w:rsidR="008F0655" w:rsidRPr="003610DC">
        <w:rPr>
          <w:b w:val="0"/>
          <w:bCs w:val="0"/>
          <w:szCs w:val="22"/>
        </w:rPr>
        <w:t xml:space="preserve">to reflect hedge documentation and assessment efficiencies from </w:t>
      </w:r>
      <w:r w:rsidR="008F0655" w:rsidRPr="003610DC">
        <w:rPr>
          <w:b w:val="0"/>
          <w:bCs w:val="0"/>
          <w:i/>
          <w:iCs/>
          <w:szCs w:val="22"/>
        </w:rPr>
        <w:t>ASU 2017-12, Derivatives and Hedging – Targeted Improvements to Accounting for Hedging Activities.</w:t>
      </w:r>
    </w:p>
    <w:p w14:paraId="77A3B755" w14:textId="1A34A55D" w:rsidR="003970FB" w:rsidRPr="00936B02" w:rsidRDefault="003970FB" w:rsidP="003970FB">
      <w:pPr>
        <w:pStyle w:val="BodyText2"/>
        <w:ind w:left="720"/>
        <w:rPr>
          <w:b w:val="0"/>
          <w:bCs w:val="0"/>
          <w:szCs w:val="22"/>
        </w:rPr>
      </w:pPr>
    </w:p>
    <w:p w14:paraId="79B755EA" w14:textId="01449670" w:rsidR="005F254E" w:rsidRPr="005F254E" w:rsidRDefault="00936B02" w:rsidP="005F254E">
      <w:pPr>
        <w:pStyle w:val="BodyText2"/>
        <w:numPr>
          <w:ilvl w:val="0"/>
          <w:numId w:val="13"/>
        </w:numPr>
        <w:rPr>
          <w:b w:val="0"/>
          <w:bCs w:val="0"/>
          <w:szCs w:val="22"/>
        </w:rPr>
      </w:pPr>
      <w:r>
        <w:rPr>
          <w:b w:val="0"/>
          <w:bCs w:val="0"/>
          <w:szCs w:val="22"/>
        </w:rPr>
        <w:t>The I</w:t>
      </w:r>
      <w:r w:rsidR="003970FB">
        <w:rPr>
          <w:b w:val="0"/>
          <w:bCs w:val="0"/>
          <w:szCs w:val="22"/>
        </w:rPr>
        <w:t>owa</w:t>
      </w:r>
      <w:r>
        <w:rPr>
          <w:b w:val="0"/>
          <w:bCs w:val="0"/>
          <w:szCs w:val="22"/>
        </w:rPr>
        <w:t xml:space="preserve"> </w:t>
      </w:r>
      <w:r w:rsidR="003970FB">
        <w:rPr>
          <w:b w:val="0"/>
          <w:bCs w:val="0"/>
          <w:szCs w:val="22"/>
        </w:rPr>
        <w:t xml:space="preserve">Insurance Division has </w:t>
      </w:r>
      <w:r w:rsidR="00A67237">
        <w:rPr>
          <w:b w:val="0"/>
          <w:bCs w:val="0"/>
          <w:szCs w:val="22"/>
        </w:rPr>
        <w:t xml:space="preserve">shared </w:t>
      </w:r>
      <w:r w:rsidR="003970FB">
        <w:rPr>
          <w:b w:val="0"/>
          <w:bCs w:val="0"/>
          <w:szCs w:val="22"/>
        </w:rPr>
        <w:t xml:space="preserve">the following </w:t>
      </w:r>
      <w:r w:rsidR="00130775">
        <w:rPr>
          <w:b w:val="0"/>
          <w:bCs w:val="0"/>
          <w:szCs w:val="22"/>
        </w:rPr>
        <w:t>guidance</w:t>
      </w:r>
      <w:r w:rsidR="00C22EA0">
        <w:rPr>
          <w:b w:val="0"/>
          <w:bCs w:val="0"/>
          <w:szCs w:val="22"/>
        </w:rPr>
        <w:t xml:space="preserve"> that is permitted in their state</w:t>
      </w:r>
      <w:r w:rsidR="00130775">
        <w:rPr>
          <w:b w:val="0"/>
          <w:bCs w:val="0"/>
          <w:szCs w:val="22"/>
        </w:rPr>
        <w:t xml:space="preserve">: </w:t>
      </w:r>
    </w:p>
    <w:p w14:paraId="0967DDC2" w14:textId="7E5A2DFC" w:rsidR="005F254E" w:rsidRPr="005F254E" w:rsidRDefault="005F254E" w:rsidP="005F254E">
      <w:pPr>
        <w:pStyle w:val="BodyText2"/>
        <w:ind w:left="720"/>
        <w:rPr>
          <w:b w:val="0"/>
          <w:bCs w:val="0"/>
          <w:i/>
          <w:iCs/>
          <w:szCs w:val="22"/>
        </w:rPr>
      </w:pPr>
      <w:r w:rsidRPr="001C07B6">
        <w:rPr>
          <w:b w:val="0"/>
          <w:bCs w:val="0"/>
          <w:i/>
          <w:iCs/>
          <w:szCs w:val="22"/>
        </w:rPr>
        <w:t>(Per IA, although both are permitted, a majority of their domestic companies elect to follow the legislation.)</w:t>
      </w:r>
      <w:r w:rsidRPr="005F254E">
        <w:rPr>
          <w:b w:val="0"/>
          <w:bCs w:val="0"/>
          <w:i/>
          <w:iCs/>
          <w:szCs w:val="22"/>
        </w:rPr>
        <w:t xml:space="preserve"> </w:t>
      </w:r>
    </w:p>
    <w:p w14:paraId="1D025E38" w14:textId="77777777" w:rsidR="005F254E" w:rsidRPr="00016321" w:rsidRDefault="005F254E" w:rsidP="005F254E">
      <w:pPr>
        <w:pStyle w:val="BodyText2"/>
        <w:ind w:left="720"/>
        <w:rPr>
          <w:rFonts w:eastAsia="MS Mincho"/>
          <w:b w:val="0"/>
          <w:szCs w:val="22"/>
          <w:lang w:eastAsia="ja-JP"/>
        </w:rPr>
      </w:pPr>
    </w:p>
    <w:p w14:paraId="04A2B316" w14:textId="655D398C" w:rsidR="00130775" w:rsidRDefault="00B0056E" w:rsidP="00130775">
      <w:pPr>
        <w:pStyle w:val="BodyText2"/>
        <w:numPr>
          <w:ilvl w:val="1"/>
          <w:numId w:val="13"/>
        </w:numPr>
        <w:rPr>
          <w:b w:val="0"/>
          <w:bCs w:val="0"/>
          <w:szCs w:val="22"/>
        </w:rPr>
      </w:pPr>
      <w:r>
        <w:rPr>
          <w:b w:val="0"/>
          <w:bCs w:val="0"/>
          <w:szCs w:val="22"/>
        </w:rPr>
        <w:t xml:space="preserve">Legislation </w:t>
      </w:r>
      <w:r w:rsidR="001F10F1">
        <w:rPr>
          <w:b w:val="0"/>
          <w:bCs w:val="0"/>
          <w:szCs w:val="22"/>
        </w:rPr>
        <w:t xml:space="preserve">/ </w:t>
      </w:r>
      <w:r w:rsidR="001F10F1" w:rsidRPr="00C81B94">
        <w:rPr>
          <w:b w:val="0"/>
          <w:bCs w:val="0"/>
          <w:i/>
          <w:iCs/>
          <w:szCs w:val="22"/>
        </w:rPr>
        <w:t xml:space="preserve">Chapter 97: Accounting for Certain Derivative Instruments </w:t>
      </w:r>
      <w:r w:rsidR="00C81B94" w:rsidRPr="00C81B94">
        <w:rPr>
          <w:b w:val="0"/>
          <w:bCs w:val="0"/>
          <w:i/>
          <w:iCs/>
          <w:szCs w:val="22"/>
        </w:rPr>
        <w:t>U</w:t>
      </w:r>
      <w:r w:rsidR="001F10F1" w:rsidRPr="00C81B94">
        <w:rPr>
          <w:b w:val="0"/>
          <w:bCs w:val="0"/>
          <w:i/>
          <w:iCs/>
          <w:szCs w:val="22"/>
        </w:rPr>
        <w:t>sed to Hedge the Growth in Interest Credited for Indexed Insurance Products and Accounting for the Indexed Insurance Products Reserve</w:t>
      </w:r>
      <w:r w:rsidR="001F10F1">
        <w:rPr>
          <w:b w:val="0"/>
          <w:bCs w:val="0"/>
          <w:szCs w:val="22"/>
        </w:rPr>
        <w:t xml:space="preserve">. </w:t>
      </w:r>
      <w:r w:rsidR="00002819">
        <w:rPr>
          <w:b w:val="0"/>
          <w:bCs w:val="0"/>
          <w:szCs w:val="22"/>
        </w:rPr>
        <w:t xml:space="preserve">This guidance permits, at the election of the entity, </w:t>
      </w:r>
      <w:r w:rsidR="004E24A7">
        <w:rPr>
          <w:b w:val="0"/>
          <w:bCs w:val="0"/>
          <w:szCs w:val="22"/>
        </w:rPr>
        <w:t xml:space="preserve">amortized cost for eligible derivative assets. </w:t>
      </w:r>
      <w:r w:rsidR="00D952DF">
        <w:rPr>
          <w:b w:val="0"/>
          <w:bCs w:val="0"/>
          <w:szCs w:val="22"/>
        </w:rPr>
        <w:t xml:space="preserve">(It specifically excludes </w:t>
      </w:r>
      <w:r w:rsidR="00E4649D">
        <w:rPr>
          <w:b w:val="0"/>
          <w:bCs w:val="0"/>
          <w:szCs w:val="22"/>
        </w:rPr>
        <w:t xml:space="preserve">derivatives that do not have an amortized cost, including </w:t>
      </w:r>
      <w:r w:rsidR="00D952DF">
        <w:rPr>
          <w:b w:val="0"/>
          <w:bCs w:val="0"/>
          <w:szCs w:val="22"/>
        </w:rPr>
        <w:t>futures, swaps and swa</w:t>
      </w:r>
      <w:r w:rsidR="00E4649D">
        <w:rPr>
          <w:b w:val="0"/>
          <w:bCs w:val="0"/>
          <w:szCs w:val="22"/>
        </w:rPr>
        <w:t xml:space="preserve">ptions.) </w:t>
      </w:r>
      <w:r w:rsidR="004E24A7">
        <w:rPr>
          <w:b w:val="0"/>
          <w:bCs w:val="0"/>
          <w:szCs w:val="22"/>
        </w:rPr>
        <w:t xml:space="preserve">Additionally, it utilizes a reserve calculation methodology </w:t>
      </w:r>
      <w:r w:rsidR="002B7ED8">
        <w:rPr>
          <w:b w:val="0"/>
          <w:bCs w:val="0"/>
          <w:szCs w:val="22"/>
        </w:rPr>
        <w:t xml:space="preserve">in which interest credits based upon one or more indices are included in the reserve only after those interest credits have been credited to the contract holder under the terms of the annuity contract. </w:t>
      </w:r>
    </w:p>
    <w:p w14:paraId="28A4A727" w14:textId="60ADA7EA" w:rsidR="00A67237" w:rsidRDefault="00A427DE" w:rsidP="00A67237">
      <w:pPr>
        <w:pStyle w:val="BodyText2"/>
        <w:ind w:left="1440"/>
        <w:rPr>
          <w:b w:val="0"/>
          <w:bCs w:val="0"/>
        </w:rPr>
      </w:pPr>
      <w:hyperlink r:id="rId8" w:history="1">
        <w:r w:rsidR="00586146" w:rsidRPr="00586146">
          <w:rPr>
            <w:rStyle w:val="Hyperlink"/>
            <w:b w:val="0"/>
            <w:bCs w:val="0"/>
          </w:rPr>
          <w:t>https://www.legis.iowa.gov/docs/iac/chapter/09-26-2018.191.97.pdf</w:t>
        </w:r>
      </w:hyperlink>
    </w:p>
    <w:p w14:paraId="010F99F9" w14:textId="4E929064" w:rsidR="0038435C" w:rsidRDefault="0038435C" w:rsidP="00A67237">
      <w:pPr>
        <w:pStyle w:val="BodyText2"/>
        <w:ind w:left="1440"/>
        <w:rPr>
          <w:b w:val="0"/>
          <w:bCs w:val="0"/>
        </w:rPr>
      </w:pPr>
    </w:p>
    <w:p w14:paraId="67BA293D" w14:textId="4900CE39" w:rsidR="0038435C" w:rsidRDefault="0038435C" w:rsidP="0038435C">
      <w:pPr>
        <w:pStyle w:val="BodyText2"/>
        <w:numPr>
          <w:ilvl w:val="1"/>
          <w:numId w:val="13"/>
        </w:numPr>
        <w:rPr>
          <w:b w:val="0"/>
          <w:bCs w:val="0"/>
          <w:szCs w:val="22"/>
        </w:rPr>
      </w:pPr>
      <w:r w:rsidRPr="00C22EA0">
        <w:rPr>
          <w:b w:val="0"/>
          <w:bCs w:val="0"/>
          <w:i/>
          <w:iCs/>
          <w:szCs w:val="22"/>
        </w:rPr>
        <w:t>Bulletin 06-01</w:t>
      </w:r>
      <w:r w:rsidR="00C81B94" w:rsidRPr="00C22EA0">
        <w:rPr>
          <w:b w:val="0"/>
          <w:bCs w:val="0"/>
          <w:i/>
          <w:iCs/>
          <w:szCs w:val="22"/>
        </w:rPr>
        <w:t>: Accounting for Derivative Instruments Used to Hedge the Growth in Interest Credited for Index Products</w:t>
      </w:r>
      <w:r w:rsidR="00C81B94">
        <w:rPr>
          <w:b w:val="0"/>
          <w:bCs w:val="0"/>
          <w:szCs w:val="22"/>
        </w:rPr>
        <w:t xml:space="preserve">. </w:t>
      </w:r>
      <w:r w:rsidR="00E87BA8">
        <w:rPr>
          <w:b w:val="0"/>
          <w:bCs w:val="0"/>
          <w:szCs w:val="22"/>
        </w:rPr>
        <w:t xml:space="preserve">This bulletin </w:t>
      </w:r>
      <w:r w:rsidR="00C87424">
        <w:rPr>
          <w:b w:val="0"/>
          <w:bCs w:val="0"/>
          <w:szCs w:val="22"/>
        </w:rPr>
        <w:t xml:space="preserve">permits insurance entities to recognize changes in the fair value of derivatives </w:t>
      </w:r>
      <w:r w:rsidR="00D8733D">
        <w:rPr>
          <w:b w:val="0"/>
          <w:bCs w:val="0"/>
          <w:szCs w:val="22"/>
        </w:rPr>
        <w:t xml:space="preserve">in the summary of operations consistently with how changes in indexed product reserves are recorded. (Under this bulletin, derivatives continue to be reported at fair value.) </w:t>
      </w:r>
    </w:p>
    <w:p w14:paraId="3EF445C9" w14:textId="2F5808DE" w:rsidR="00CE3801" w:rsidRDefault="00A427DE" w:rsidP="00CE3801">
      <w:pPr>
        <w:pStyle w:val="BodyText2"/>
        <w:ind w:left="1440"/>
        <w:rPr>
          <w:b w:val="0"/>
          <w:bCs w:val="0"/>
          <w:szCs w:val="22"/>
        </w:rPr>
      </w:pPr>
      <w:hyperlink r:id="rId9" w:history="1">
        <w:r w:rsidR="00CE3801" w:rsidRPr="00233072">
          <w:rPr>
            <w:rStyle w:val="Hyperlink"/>
            <w:b w:val="0"/>
            <w:bCs w:val="0"/>
            <w:szCs w:val="22"/>
          </w:rPr>
          <w:t>https://iid.iowa.gov/documents/commissioners-bulletin/accounting-for-derivative-instruments-used-to-hedge-the-growth-in</w:t>
        </w:r>
      </w:hyperlink>
    </w:p>
    <w:p w14:paraId="6304A058" w14:textId="53749CB5" w:rsidR="00CE3801" w:rsidRDefault="00CE3801" w:rsidP="00CE3801">
      <w:pPr>
        <w:pStyle w:val="BodyText2"/>
        <w:ind w:left="1440"/>
        <w:rPr>
          <w:b w:val="0"/>
          <w:bCs w:val="0"/>
          <w:szCs w:val="22"/>
        </w:rPr>
      </w:pPr>
    </w:p>
    <w:p w14:paraId="092D5F55" w14:textId="710012D6" w:rsidR="00023A66" w:rsidRPr="001C07B6" w:rsidRDefault="00023A66" w:rsidP="001C07B6">
      <w:pPr>
        <w:pStyle w:val="BodyText2"/>
        <w:numPr>
          <w:ilvl w:val="0"/>
          <w:numId w:val="13"/>
        </w:numPr>
        <w:rPr>
          <w:b w:val="0"/>
          <w:bCs w:val="0"/>
          <w:szCs w:val="22"/>
        </w:rPr>
      </w:pPr>
      <w:r>
        <w:rPr>
          <w:b w:val="0"/>
          <w:bCs w:val="0"/>
          <w:szCs w:val="22"/>
        </w:rPr>
        <w:t>It is anticipated that other states may also have issued legislation or bulletins</w:t>
      </w:r>
      <w:r w:rsidR="00503D82">
        <w:rPr>
          <w:b w:val="0"/>
          <w:bCs w:val="0"/>
          <w:szCs w:val="22"/>
        </w:rPr>
        <w:t xml:space="preserve"> addressing derivatives </w:t>
      </w:r>
      <w:r w:rsidR="00F35D44">
        <w:rPr>
          <w:b w:val="0"/>
          <w:bCs w:val="0"/>
          <w:szCs w:val="22"/>
        </w:rPr>
        <w:t>hedging FIA</w:t>
      </w:r>
      <w:r w:rsidR="004B7E69">
        <w:rPr>
          <w:b w:val="0"/>
          <w:bCs w:val="0"/>
          <w:szCs w:val="22"/>
        </w:rPr>
        <w:t>/IUL</w:t>
      </w:r>
      <w:r w:rsidR="00F35D44">
        <w:rPr>
          <w:b w:val="0"/>
          <w:bCs w:val="0"/>
          <w:szCs w:val="22"/>
        </w:rPr>
        <w:t xml:space="preserve"> products</w:t>
      </w:r>
      <w:r>
        <w:rPr>
          <w:b w:val="0"/>
          <w:bCs w:val="0"/>
          <w:szCs w:val="22"/>
        </w:rPr>
        <w:t xml:space="preserve">, and NAIC staff will review those provisions throughout the </w:t>
      </w:r>
      <w:r w:rsidR="00F35D44">
        <w:rPr>
          <w:b w:val="0"/>
          <w:bCs w:val="0"/>
          <w:szCs w:val="22"/>
        </w:rPr>
        <w:t>discussion</w:t>
      </w:r>
      <w:r>
        <w:rPr>
          <w:b w:val="0"/>
          <w:bCs w:val="0"/>
          <w:szCs w:val="22"/>
        </w:rPr>
        <w:t xml:space="preserve"> process. </w:t>
      </w:r>
    </w:p>
    <w:p w14:paraId="3BACBA33" w14:textId="77777777" w:rsidR="00023A66" w:rsidRDefault="00023A66" w:rsidP="00CE3801">
      <w:pPr>
        <w:pStyle w:val="BodyText2"/>
        <w:ind w:left="1440"/>
        <w:rPr>
          <w:b w:val="0"/>
          <w:bCs w:val="0"/>
          <w:szCs w:val="22"/>
        </w:rPr>
      </w:pPr>
    </w:p>
    <w:p w14:paraId="1A7C9804" w14:textId="2831ECBB" w:rsidR="002A1316" w:rsidRPr="00016321" w:rsidRDefault="002A1316" w:rsidP="00773DFF">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6AF842BB" w:rsidR="002A1316" w:rsidRDefault="00FE7FAA" w:rsidP="00773DFF">
      <w:pPr>
        <w:pStyle w:val="BodyText"/>
        <w:rPr>
          <w:bCs/>
          <w:sz w:val="22"/>
          <w:szCs w:val="22"/>
        </w:rPr>
      </w:pPr>
      <w:r w:rsidRPr="00016321">
        <w:rPr>
          <w:bCs/>
          <w:sz w:val="22"/>
          <w:szCs w:val="22"/>
        </w:rPr>
        <w:t>None</w:t>
      </w:r>
    </w:p>
    <w:p w14:paraId="731C14DA" w14:textId="77777777" w:rsidR="009F55BC" w:rsidRPr="00016321" w:rsidRDefault="009F55BC" w:rsidP="00773DFF">
      <w:pPr>
        <w:pStyle w:val="BodyText"/>
        <w:rPr>
          <w:bCs/>
          <w:sz w:val="22"/>
          <w:szCs w:val="22"/>
        </w:rPr>
      </w:pPr>
    </w:p>
    <w:p w14:paraId="70213B4E" w14:textId="7343EB51" w:rsidR="00490996" w:rsidRDefault="00490996" w:rsidP="00773DFF">
      <w:pPr>
        <w:pStyle w:val="Default"/>
        <w:jc w:val="both"/>
        <w:rPr>
          <w:sz w:val="22"/>
          <w:szCs w:val="22"/>
        </w:rPr>
      </w:pPr>
      <w:r w:rsidRPr="00016321">
        <w:rPr>
          <w:b/>
          <w:sz w:val="22"/>
          <w:szCs w:val="22"/>
        </w:rPr>
        <w:t>Convergence with International Financial Reporting Standards (IFRS):</w:t>
      </w:r>
      <w:r w:rsidR="00155F0F">
        <w:rPr>
          <w:b/>
          <w:sz w:val="22"/>
          <w:szCs w:val="22"/>
        </w:rPr>
        <w:t xml:space="preserve"> </w:t>
      </w:r>
      <w:r w:rsidR="007D7584">
        <w:rPr>
          <w:sz w:val="22"/>
          <w:szCs w:val="22"/>
        </w:rPr>
        <w:t xml:space="preserve">Pursuant to ASU 2017-12, although the language used to describe hedge accounting guidance in the ASU and </w:t>
      </w:r>
      <w:r w:rsidR="007D7584" w:rsidRPr="007D7584">
        <w:rPr>
          <w:i/>
          <w:iCs/>
          <w:sz w:val="22"/>
          <w:szCs w:val="22"/>
        </w:rPr>
        <w:t>IFRS 9, Financial Instruments</w:t>
      </w:r>
      <w:r w:rsidR="007D7584">
        <w:rPr>
          <w:sz w:val="22"/>
          <w:szCs w:val="22"/>
        </w:rPr>
        <w:t xml:space="preserve">, differs, there are several areas of alignment between the two standards, and it is expected that many common hedge accounting strategies will have similar outcomes related to hedging components of financial instruments and nonfinancial terms and in the measurement of hedged items in fair value hedges of interest rate risk. However, differences </w:t>
      </w:r>
      <w:r w:rsidR="00D56500">
        <w:rPr>
          <w:sz w:val="22"/>
          <w:szCs w:val="22"/>
        </w:rPr>
        <w:t>remain</w:t>
      </w:r>
      <w:r w:rsidR="007D7584">
        <w:rPr>
          <w:sz w:val="22"/>
          <w:szCs w:val="22"/>
        </w:rPr>
        <w:t xml:space="preserve"> between the two standards in the criteria for qualifying for hedge accounting. Additionally, IFRS 9 retained the separate measurement and reporting of hedge ineffectiveness and does not have broad guidance on presentation.</w:t>
      </w:r>
    </w:p>
    <w:p w14:paraId="66966FAA" w14:textId="3446C312" w:rsidR="00832F46" w:rsidRDefault="00832F46" w:rsidP="00773DFF">
      <w:pPr>
        <w:pStyle w:val="Default"/>
        <w:jc w:val="both"/>
        <w:rPr>
          <w:sz w:val="22"/>
          <w:szCs w:val="22"/>
        </w:rPr>
      </w:pPr>
    </w:p>
    <w:p w14:paraId="34CBA3B6" w14:textId="77777777" w:rsidR="002A1316" w:rsidRPr="00016321" w:rsidRDefault="002A1316" w:rsidP="00773DFF">
      <w:pPr>
        <w:pStyle w:val="BodyText2"/>
        <w:rPr>
          <w:szCs w:val="22"/>
        </w:rPr>
      </w:pPr>
      <w:r w:rsidRPr="00016321">
        <w:rPr>
          <w:szCs w:val="22"/>
        </w:rPr>
        <w:t>Staff Recommendation:</w:t>
      </w:r>
    </w:p>
    <w:p w14:paraId="2C1F4411" w14:textId="0A59AD8A" w:rsidR="00702816" w:rsidRDefault="00FF1783" w:rsidP="00702816">
      <w:pPr>
        <w:pStyle w:val="BodyText2"/>
        <w:autoSpaceDE w:val="0"/>
        <w:autoSpaceDN w:val="0"/>
        <w:adjustRightInd w:val="0"/>
        <w:rPr>
          <w:szCs w:val="22"/>
        </w:rPr>
      </w:pPr>
      <w:bookmarkStart w:id="8" w:name="_Hlk53653167"/>
      <w:r>
        <w:rPr>
          <w:szCs w:val="22"/>
        </w:rPr>
        <w:t xml:space="preserve">NAIC </w:t>
      </w:r>
      <w:r w:rsidRPr="007B3D62">
        <w:rPr>
          <w:szCs w:val="22"/>
        </w:rPr>
        <w:t xml:space="preserve">Staff recommends that the </w:t>
      </w:r>
      <w:r w:rsidRPr="00D8575D">
        <w:rPr>
          <w:szCs w:val="22"/>
        </w:rPr>
        <w:t xml:space="preserve">Working Group move this item to the active listing, </w:t>
      </w:r>
      <w:r>
        <w:rPr>
          <w:szCs w:val="22"/>
        </w:rPr>
        <w:t xml:space="preserve">initially </w:t>
      </w:r>
      <w:r w:rsidRPr="00D8575D">
        <w:rPr>
          <w:szCs w:val="22"/>
        </w:rPr>
        <w:t xml:space="preserve">categorized as substantive and </w:t>
      </w:r>
      <w:r>
        <w:rPr>
          <w:szCs w:val="22"/>
        </w:rPr>
        <w:t xml:space="preserve">expose the agenda item to solicit comment </w:t>
      </w:r>
      <w:r w:rsidR="00BC3DAD">
        <w:rPr>
          <w:szCs w:val="22"/>
        </w:rPr>
        <w:t xml:space="preserve">from state insurance regulators and industry on </w:t>
      </w:r>
      <w:r w:rsidR="001A4EEE">
        <w:rPr>
          <w:szCs w:val="22"/>
        </w:rPr>
        <w:t>establishing accounting and reporting guidance for derivatives hedging</w:t>
      </w:r>
      <w:r w:rsidR="004F2FCA">
        <w:rPr>
          <w:szCs w:val="22"/>
        </w:rPr>
        <w:t xml:space="preserve"> the growth in interest for fixed indexed products. </w:t>
      </w:r>
      <w:r w:rsidR="001A4EEE">
        <w:rPr>
          <w:szCs w:val="22"/>
        </w:rPr>
        <w:t xml:space="preserve"> </w:t>
      </w:r>
      <w:r w:rsidR="00D447BA">
        <w:rPr>
          <w:szCs w:val="22"/>
        </w:rPr>
        <w:t>In addition to the two general option</w:t>
      </w:r>
      <w:r w:rsidR="002630E9">
        <w:rPr>
          <w:szCs w:val="22"/>
        </w:rPr>
        <w:t>s</w:t>
      </w:r>
      <w:r w:rsidR="00D447BA">
        <w:rPr>
          <w:szCs w:val="22"/>
        </w:rPr>
        <w:t xml:space="preserve"> presented in the agenda item, NAIC staff is open for additional commentary and suggestions, </w:t>
      </w:r>
      <w:r w:rsidR="002630E9">
        <w:rPr>
          <w:szCs w:val="22"/>
        </w:rPr>
        <w:t xml:space="preserve">and requests to work with industry throughout the process similar to the collaborative efforts that occurred when developing the guidance in SSAP No. 108. </w:t>
      </w:r>
      <w:r w:rsidR="00702816">
        <w:rPr>
          <w:szCs w:val="22"/>
        </w:rPr>
        <w:t>With this exposure, NAIC staff recommends notification to the Life Actuarial (E) Task Force.</w:t>
      </w:r>
    </w:p>
    <w:p w14:paraId="400B3422" w14:textId="4682FB12" w:rsidR="00445F88" w:rsidRDefault="00445F88" w:rsidP="007A1CC8">
      <w:pPr>
        <w:pStyle w:val="BodyText2"/>
        <w:autoSpaceDE w:val="0"/>
        <w:autoSpaceDN w:val="0"/>
        <w:adjustRightInd w:val="0"/>
        <w:rPr>
          <w:szCs w:val="22"/>
        </w:rPr>
      </w:pPr>
    </w:p>
    <w:p w14:paraId="21457F9A" w14:textId="6E33F02B" w:rsidR="0056731A" w:rsidRPr="00190E3A" w:rsidRDefault="0056731A" w:rsidP="007A1CC8">
      <w:pPr>
        <w:pStyle w:val="BodyText2"/>
        <w:autoSpaceDE w:val="0"/>
        <w:autoSpaceDN w:val="0"/>
        <w:adjustRightInd w:val="0"/>
        <w:rPr>
          <w:b w:val="0"/>
          <w:bCs w:val="0"/>
          <w:szCs w:val="22"/>
        </w:rPr>
      </w:pPr>
      <w:r w:rsidRPr="00190E3A">
        <w:rPr>
          <w:b w:val="0"/>
          <w:bCs w:val="0"/>
          <w:szCs w:val="22"/>
        </w:rPr>
        <w:t xml:space="preserve">Pursuant to </w:t>
      </w:r>
      <w:r w:rsidR="00F50DDE" w:rsidRPr="00190E3A">
        <w:rPr>
          <w:b w:val="0"/>
          <w:bCs w:val="0"/>
          <w:szCs w:val="22"/>
        </w:rPr>
        <w:t>preliminary</w:t>
      </w:r>
      <w:r w:rsidRPr="00190E3A">
        <w:rPr>
          <w:b w:val="0"/>
          <w:bCs w:val="0"/>
          <w:szCs w:val="22"/>
        </w:rPr>
        <w:t xml:space="preserve"> information received, </w:t>
      </w:r>
      <w:r w:rsidR="00D14BAB" w:rsidRPr="00190E3A">
        <w:rPr>
          <w:b w:val="0"/>
          <w:bCs w:val="0"/>
          <w:szCs w:val="22"/>
        </w:rPr>
        <w:t>NAIC staff has an initial impression that pursuing an approach similar to SSAP No. 108 (use of fair value</w:t>
      </w:r>
      <w:r w:rsidR="001F60C8" w:rsidRPr="00190E3A">
        <w:rPr>
          <w:b w:val="0"/>
          <w:bCs w:val="0"/>
          <w:szCs w:val="22"/>
        </w:rPr>
        <w:t xml:space="preserve"> with deferred assets/liabilities as a mechanism to </w:t>
      </w:r>
      <w:r w:rsidR="00C67927" w:rsidRPr="00190E3A">
        <w:rPr>
          <w:b w:val="0"/>
          <w:bCs w:val="0"/>
          <w:szCs w:val="22"/>
        </w:rPr>
        <w:t>tim</w:t>
      </w:r>
      <w:r w:rsidR="006071AC">
        <w:rPr>
          <w:b w:val="0"/>
          <w:bCs w:val="0"/>
          <w:szCs w:val="22"/>
        </w:rPr>
        <w:t>ely</w:t>
      </w:r>
      <w:r w:rsidR="00C67927" w:rsidRPr="00190E3A">
        <w:rPr>
          <w:b w:val="0"/>
          <w:bCs w:val="0"/>
          <w:szCs w:val="22"/>
        </w:rPr>
        <w:t xml:space="preserve"> match </w:t>
      </w:r>
      <w:r w:rsidR="00F50DDE" w:rsidRPr="00190E3A">
        <w:rPr>
          <w:b w:val="0"/>
          <w:bCs w:val="0"/>
          <w:szCs w:val="22"/>
        </w:rPr>
        <w:t>effective hedge changes through the summary of operations</w:t>
      </w:r>
      <w:r w:rsidR="00C67927" w:rsidRPr="00190E3A">
        <w:rPr>
          <w:b w:val="0"/>
          <w:bCs w:val="0"/>
          <w:szCs w:val="22"/>
        </w:rPr>
        <w:t xml:space="preserve">) </w:t>
      </w:r>
      <w:r w:rsidR="00B662D3" w:rsidRPr="00190E3A">
        <w:rPr>
          <w:b w:val="0"/>
          <w:bCs w:val="0"/>
          <w:szCs w:val="22"/>
        </w:rPr>
        <w:t xml:space="preserve">may be more beneficial to both industry </w:t>
      </w:r>
      <w:r w:rsidR="00190E3A">
        <w:rPr>
          <w:b w:val="0"/>
          <w:bCs w:val="0"/>
          <w:szCs w:val="22"/>
        </w:rPr>
        <w:t xml:space="preserve">and regulators </w:t>
      </w:r>
      <w:r w:rsidR="00D02484" w:rsidRPr="00190E3A">
        <w:rPr>
          <w:b w:val="0"/>
          <w:bCs w:val="0"/>
          <w:szCs w:val="22"/>
        </w:rPr>
        <w:t xml:space="preserve">with </w:t>
      </w:r>
      <w:r w:rsidR="00B61A04" w:rsidRPr="00190E3A">
        <w:rPr>
          <w:b w:val="0"/>
          <w:bCs w:val="0"/>
          <w:szCs w:val="22"/>
        </w:rPr>
        <w:t xml:space="preserve">improved reporting in the financial statements. </w:t>
      </w:r>
      <w:r w:rsidR="00292DAF">
        <w:rPr>
          <w:b w:val="0"/>
          <w:bCs w:val="0"/>
          <w:szCs w:val="22"/>
        </w:rPr>
        <w:t xml:space="preserve">This is because the focus of the SAP changes will be on derivative </w:t>
      </w:r>
      <w:r w:rsidR="002B7A39">
        <w:rPr>
          <w:b w:val="0"/>
          <w:bCs w:val="0"/>
          <w:szCs w:val="22"/>
        </w:rPr>
        <w:t>measurement and recognition and will not encompass changing reserve calculations (or the timing of reserve impacts)</w:t>
      </w:r>
      <w:r w:rsidR="00776B1B">
        <w:rPr>
          <w:b w:val="0"/>
          <w:bCs w:val="0"/>
          <w:szCs w:val="22"/>
        </w:rPr>
        <w:t xml:space="preserve">. </w:t>
      </w:r>
      <w:r w:rsidR="00814738">
        <w:rPr>
          <w:b w:val="0"/>
          <w:bCs w:val="0"/>
          <w:szCs w:val="22"/>
        </w:rPr>
        <w:t xml:space="preserve">NAIC staff plans to proceed with starting an issue paper during the exposure period (as time allows). As such, </w:t>
      </w:r>
      <w:r w:rsidR="008E562C">
        <w:rPr>
          <w:b w:val="0"/>
          <w:bCs w:val="0"/>
          <w:szCs w:val="22"/>
        </w:rPr>
        <w:t xml:space="preserve">initial </w:t>
      </w:r>
      <w:r w:rsidR="009E3617">
        <w:rPr>
          <w:b w:val="0"/>
          <w:bCs w:val="0"/>
          <w:szCs w:val="22"/>
        </w:rPr>
        <w:t xml:space="preserve">informal comments and aspects to consider are requested </w:t>
      </w:r>
      <w:r w:rsidR="00BD0215">
        <w:rPr>
          <w:b w:val="0"/>
          <w:bCs w:val="0"/>
          <w:szCs w:val="22"/>
        </w:rPr>
        <w:t xml:space="preserve">throughout the exposure period. </w:t>
      </w:r>
    </w:p>
    <w:bookmarkEnd w:id="8"/>
    <w:p w14:paraId="21B7D043" w14:textId="77777777" w:rsidR="007A1CC8" w:rsidRDefault="007A1CC8" w:rsidP="007A1CC8">
      <w:pPr>
        <w:pStyle w:val="BodyText2"/>
        <w:autoSpaceDE w:val="0"/>
        <w:autoSpaceDN w:val="0"/>
        <w:adjustRightInd w:val="0"/>
        <w:rPr>
          <w:szCs w:val="22"/>
        </w:rPr>
      </w:pPr>
    </w:p>
    <w:p w14:paraId="3C0BC26C" w14:textId="6605CD90" w:rsidR="002A1316" w:rsidRPr="00016321" w:rsidRDefault="002A1316" w:rsidP="00773DFF">
      <w:pPr>
        <w:pStyle w:val="BodyText2"/>
        <w:rPr>
          <w:szCs w:val="22"/>
        </w:rPr>
      </w:pPr>
      <w:r w:rsidRPr="00016321">
        <w:rPr>
          <w:szCs w:val="22"/>
        </w:rPr>
        <w:t>Staff Review Completed by:</w:t>
      </w:r>
    </w:p>
    <w:p w14:paraId="53229BB2" w14:textId="279738AB" w:rsidR="002A1316" w:rsidRPr="00956144" w:rsidRDefault="00445F88" w:rsidP="00773DFF">
      <w:pPr>
        <w:jc w:val="both"/>
        <w:rPr>
          <w:sz w:val="22"/>
          <w:szCs w:val="22"/>
        </w:rPr>
      </w:pPr>
      <w:r>
        <w:rPr>
          <w:sz w:val="22"/>
          <w:szCs w:val="22"/>
        </w:rPr>
        <w:t>Julie Gann</w:t>
      </w:r>
      <w:r w:rsidR="005B54C5">
        <w:rPr>
          <w:sz w:val="22"/>
          <w:szCs w:val="22"/>
        </w:rPr>
        <w:t xml:space="preserve"> </w:t>
      </w:r>
      <w:r w:rsidR="00956144">
        <w:rPr>
          <w:sz w:val="22"/>
          <w:szCs w:val="22"/>
        </w:rPr>
        <w:t xml:space="preserve">- </w:t>
      </w:r>
      <w:r w:rsidR="00FE7FAA" w:rsidRPr="00956144">
        <w:rPr>
          <w:bCs/>
          <w:sz w:val="22"/>
          <w:szCs w:val="22"/>
        </w:rPr>
        <w:t xml:space="preserve">NAIC </w:t>
      </w:r>
      <w:r w:rsidR="006B37DD" w:rsidRPr="00956144">
        <w:rPr>
          <w:bCs/>
          <w:sz w:val="22"/>
          <w:szCs w:val="22"/>
        </w:rPr>
        <w:t>S</w:t>
      </w:r>
      <w:r w:rsidR="00FE7FAA" w:rsidRPr="00956144">
        <w:rPr>
          <w:bCs/>
          <w:sz w:val="22"/>
          <w:szCs w:val="22"/>
        </w:rPr>
        <w:t>taff</w:t>
      </w:r>
    </w:p>
    <w:p w14:paraId="71BBEFE0" w14:textId="08E5EF94" w:rsidR="002A1316" w:rsidRDefault="007A1CC8" w:rsidP="00773DFF">
      <w:pPr>
        <w:jc w:val="both"/>
        <w:rPr>
          <w:sz w:val="22"/>
        </w:rPr>
      </w:pPr>
      <w:r>
        <w:rPr>
          <w:sz w:val="22"/>
        </w:rPr>
        <w:t>October 2020</w:t>
      </w:r>
    </w:p>
    <w:p w14:paraId="47424006" w14:textId="12289AA9" w:rsidR="00956144" w:rsidRDefault="00956144" w:rsidP="00773DFF">
      <w:pPr>
        <w:jc w:val="both"/>
        <w:rPr>
          <w:sz w:val="22"/>
        </w:rPr>
      </w:pPr>
    </w:p>
    <w:p w14:paraId="3AC1FB58" w14:textId="77777777" w:rsidR="00210599" w:rsidRDefault="00210599" w:rsidP="00773DFF">
      <w:pPr>
        <w:jc w:val="both"/>
        <w:rPr>
          <w:sz w:val="22"/>
        </w:rPr>
      </w:pPr>
    </w:p>
    <w:p w14:paraId="7267A5FE" w14:textId="4F2379F9" w:rsidR="0075319C" w:rsidRDefault="00210599" w:rsidP="00773DFF">
      <w:pPr>
        <w:jc w:val="both"/>
        <w:rPr>
          <w:b/>
          <w:bCs/>
          <w:sz w:val="22"/>
          <w:szCs w:val="22"/>
        </w:rPr>
      </w:pPr>
      <w:r>
        <w:rPr>
          <w:b/>
          <w:bCs/>
          <w:sz w:val="22"/>
          <w:szCs w:val="22"/>
        </w:rPr>
        <w:t>Status:</w:t>
      </w:r>
    </w:p>
    <w:p w14:paraId="4EDDB776" w14:textId="2F8C3E00" w:rsidR="00210599" w:rsidRPr="00210599" w:rsidRDefault="00210599" w:rsidP="00773DFF">
      <w:pPr>
        <w:jc w:val="both"/>
        <w:rPr>
          <w:sz w:val="22"/>
          <w:szCs w:val="22"/>
        </w:rPr>
      </w:pPr>
      <w:r>
        <w:rPr>
          <w:sz w:val="22"/>
        </w:rPr>
        <w:t xml:space="preserve">On </w:t>
      </w:r>
      <w:r w:rsidRPr="00125B8C">
        <w:rPr>
          <w:sz w:val="22"/>
          <w:szCs w:val="22"/>
        </w:rPr>
        <w:t xml:space="preserve">November 12, 2020, the Statutory Accounting Principles (E) Working Group moved this item to the active listing, categorized as substantive, and </w:t>
      </w:r>
      <w:r w:rsidR="00856031" w:rsidRPr="00125B8C">
        <w:rPr>
          <w:sz w:val="22"/>
          <w:szCs w:val="22"/>
        </w:rPr>
        <w:t xml:space="preserve">exposed </w:t>
      </w:r>
      <w:r w:rsidR="00F6207C" w:rsidRPr="00125B8C">
        <w:rPr>
          <w:sz w:val="22"/>
          <w:szCs w:val="22"/>
        </w:rPr>
        <w:t>the agenda item to solicit comment from state insurance regulators and industry on establishing accounting and reporting guidance for derivatives hedging the growth in interest for fixed indexed</w:t>
      </w:r>
      <w:r w:rsidR="00D271ED">
        <w:rPr>
          <w:sz w:val="22"/>
          <w:szCs w:val="22"/>
        </w:rPr>
        <w:t xml:space="preserve"> </w:t>
      </w:r>
      <w:r w:rsidR="00F6207C" w:rsidRPr="00125B8C">
        <w:rPr>
          <w:sz w:val="22"/>
          <w:szCs w:val="22"/>
        </w:rPr>
        <w:t xml:space="preserve">products.  In addition to the two general options presented in the agenda item, </w:t>
      </w:r>
      <w:r w:rsidR="005D56F1">
        <w:rPr>
          <w:sz w:val="22"/>
          <w:szCs w:val="22"/>
        </w:rPr>
        <w:t xml:space="preserve">the Working Group </w:t>
      </w:r>
      <w:r w:rsidR="00F6207C" w:rsidRPr="00125B8C">
        <w:rPr>
          <w:sz w:val="22"/>
          <w:szCs w:val="22"/>
        </w:rPr>
        <w:t xml:space="preserve"> is open for additional commentary and suggestions, and </w:t>
      </w:r>
      <w:r w:rsidR="005D56F1">
        <w:rPr>
          <w:sz w:val="22"/>
          <w:szCs w:val="22"/>
        </w:rPr>
        <w:t>directs NAIC staff to</w:t>
      </w:r>
      <w:r w:rsidR="00F6207C" w:rsidRPr="00125B8C">
        <w:rPr>
          <w:sz w:val="22"/>
          <w:szCs w:val="22"/>
        </w:rPr>
        <w:t xml:space="preserve"> work with industry throughout the process similar to the collaborative efforts that occurred when developing the guidance in </w:t>
      </w:r>
      <w:r w:rsidR="00F6207C" w:rsidRPr="00125B8C">
        <w:rPr>
          <w:i/>
          <w:iCs/>
          <w:sz w:val="22"/>
          <w:szCs w:val="22"/>
        </w:rPr>
        <w:t>SSAP No. 108</w:t>
      </w:r>
      <w:r w:rsidR="00856031" w:rsidRPr="00125B8C">
        <w:rPr>
          <w:i/>
          <w:iCs/>
          <w:sz w:val="22"/>
          <w:szCs w:val="22"/>
        </w:rPr>
        <w:t>—Derivatives Hedging Variable Annuity Guarantees</w:t>
      </w:r>
      <w:r w:rsidR="00F6207C" w:rsidRPr="00125B8C">
        <w:rPr>
          <w:sz w:val="22"/>
          <w:szCs w:val="22"/>
        </w:rPr>
        <w:t>. With this exposure, notification to the Life Actuarial (E) Task Force</w:t>
      </w:r>
      <w:r w:rsidR="00162656">
        <w:rPr>
          <w:sz w:val="22"/>
          <w:szCs w:val="22"/>
        </w:rPr>
        <w:t xml:space="preserve"> will occur</w:t>
      </w:r>
      <w:r w:rsidR="00F6207C" w:rsidRPr="00125B8C">
        <w:rPr>
          <w:sz w:val="22"/>
          <w:szCs w:val="22"/>
        </w:rPr>
        <w:t>.</w:t>
      </w:r>
    </w:p>
    <w:p w14:paraId="56FEEDFE" w14:textId="4F0D5411" w:rsidR="00F65D0B" w:rsidRDefault="00F65D0B" w:rsidP="00773DFF">
      <w:pPr>
        <w:jc w:val="both"/>
        <w:rPr>
          <w:sz w:val="16"/>
          <w:szCs w:val="16"/>
        </w:rPr>
      </w:pPr>
    </w:p>
    <w:p w14:paraId="4D5EE9B7" w14:textId="77777777" w:rsidR="00125B8C" w:rsidRDefault="00125B8C" w:rsidP="00773DFF">
      <w:pPr>
        <w:jc w:val="both"/>
        <w:rPr>
          <w:sz w:val="16"/>
          <w:szCs w:val="16"/>
        </w:rPr>
      </w:pPr>
    </w:p>
    <w:p w14:paraId="0FE979AF" w14:textId="63FF96BA" w:rsidR="00AA1DC0" w:rsidRPr="00DF407B" w:rsidRDefault="002A1316" w:rsidP="00773DFF">
      <w:pPr>
        <w:jc w:val="both"/>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D271ED">
        <w:rPr>
          <w:noProof/>
          <w:sz w:val="16"/>
          <w:szCs w:val="16"/>
        </w:rPr>
        <w:t>G:\FRS\DATA\Stat Acctg\3. National Meetings\A. National Meeting Materials\2020\11-12-20 (Fall)\Exposures\20-36 - Derivative - Indexed Form A.docx</w:t>
      </w:r>
      <w:r w:rsidRPr="000579B6">
        <w:rPr>
          <w:sz w:val="16"/>
          <w:szCs w:val="16"/>
        </w:rPr>
        <w:fldChar w:fldCharType="end"/>
      </w:r>
    </w:p>
    <w:sectPr w:rsidR="00AA1DC0" w:rsidRPr="00DF407B" w:rsidSect="00DF407B">
      <w:headerReference w:type="default"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CDA2E" w14:textId="77777777" w:rsidR="00E11C19" w:rsidRDefault="00E11C19">
      <w:r>
        <w:separator/>
      </w:r>
    </w:p>
  </w:endnote>
  <w:endnote w:type="continuationSeparator" w:id="0">
    <w:p w14:paraId="0844BB45" w14:textId="77777777" w:rsidR="00E11C19" w:rsidRDefault="00E1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2B22178B" w:rsidR="0075319C" w:rsidRDefault="0075319C"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75319C" w:rsidRDefault="0075319C"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1323C" w14:textId="77777777" w:rsidR="00E11C19" w:rsidRDefault="00E11C19">
      <w:r>
        <w:separator/>
      </w:r>
    </w:p>
  </w:footnote>
  <w:footnote w:type="continuationSeparator" w:id="0">
    <w:p w14:paraId="5914B2B4" w14:textId="77777777" w:rsidR="00E11C19" w:rsidRDefault="00E1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1FCF94A0" w:rsidR="0075319C" w:rsidRPr="00F04F9A" w:rsidRDefault="0075319C">
    <w:pPr>
      <w:pStyle w:val="Header"/>
      <w:jc w:val="right"/>
      <w:rPr>
        <w:bCs/>
        <w:sz w:val="20"/>
      </w:rPr>
    </w:pPr>
    <w:r w:rsidRPr="00F04F9A">
      <w:rPr>
        <w:bCs/>
        <w:sz w:val="20"/>
      </w:rPr>
      <w:t>Ref #20</w:t>
    </w:r>
    <w:r>
      <w:rPr>
        <w:bCs/>
        <w:sz w:val="20"/>
      </w:rPr>
      <w:t>20</w:t>
    </w:r>
    <w:r w:rsidRPr="00F04F9A">
      <w:rPr>
        <w:bCs/>
        <w:sz w:val="20"/>
      </w:rPr>
      <w:t>-</w:t>
    </w:r>
    <w:r w:rsidR="0003559A">
      <w:rPr>
        <w:bCs/>
        <w:sz w:val="20"/>
      </w:rPr>
      <w:t>36</w:t>
    </w:r>
  </w:p>
  <w:p w14:paraId="12DAC63B" w14:textId="77777777" w:rsidR="0075319C" w:rsidRDefault="0075319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75319C" w:rsidRPr="00F04F9A" w:rsidRDefault="0075319C" w:rsidP="00AE74CF">
    <w:pPr>
      <w:pStyle w:val="Header"/>
      <w:jc w:val="right"/>
      <w:rPr>
        <w:b/>
        <w:sz w:val="20"/>
      </w:rPr>
    </w:pPr>
    <w:r w:rsidRPr="00F04F9A">
      <w:rPr>
        <w:b/>
        <w:sz w:val="20"/>
      </w:rPr>
      <w:t>Attachment __</w:t>
    </w:r>
  </w:p>
  <w:p w14:paraId="6B24D022" w14:textId="403538C5" w:rsidR="0075319C" w:rsidRPr="00F04F9A" w:rsidRDefault="0075319C"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75319C" w:rsidRDefault="0075319C"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4F55631"/>
    <w:multiLevelType w:val="hybridMultilevel"/>
    <w:tmpl w:val="C14CFA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323D6"/>
    <w:multiLevelType w:val="hybridMultilevel"/>
    <w:tmpl w:val="EBFE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37D78"/>
    <w:multiLevelType w:val="hybridMultilevel"/>
    <w:tmpl w:val="707E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F4F93"/>
    <w:multiLevelType w:val="hybridMultilevel"/>
    <w:tmpl w:val="13F87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D1F7E"/>
    <w:multiLevelType w:val="hybridMultilevel"/>
    <w:tmpl w:val="DB8C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C7B03"/>
    <w:multiLevelType w:val="hybridMultilevel"/>
    <w:tmpl w:val="F8E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D2553"/>
    <w:multiLevelType w:val="hybridMultilevel"/>
    <w:tmpl w:val="291EB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B480B"/>
    <w:multiLevelType w:val="hybridMultilevel"/>
    <w:tmpl w:val="0BDA12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043F8E"/>
    <w:multiLevelType w:val="hybridMultilevel"/>
    <w:tmpl w:val="E1760A78"/>
    <w:lvl w:ilvl="0" w:tplc="0409000F">
      <w:start w:val="1"/>
      <w:numFmt w:val="decimal"/>
      <w:lvlText w:val="%1."/>
      <w:lvlJc w:val="left"/>
      <w:pPr>
        <w:ind w:left="775" w:hanging="360"/>
      </w:pPr>
      <w:rPr>
        <w:rFont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30271644"/>
    <w:multiLevelType w:val="hybridMultilevel"/>
    <w:tmpl w:val="E1760A78"/>
    <w:lvl w:ilvl="0" w:tplc="0409000F">
      <w:start w:val="1"/>
      <w:numFmt w:val="decimal"/>
      <w:lvlText w:val="%1."/>
      <w:lvlJc w:val="left"/>
      <w:pPr>
        <w:ind w:left="775" w:hanging="360"/>
      </w:pPr>
      <w:rPr>
        <w:rFont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32B0370D"/>
    <w:multiLevelType w:val="hybridMultilevel"/>
    <w:tmpl w:val="3F98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A7329"/>
    <w:multiLevelType w:val="hybridMultilevel"/>
    <w:tmpl w:val="677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55007"/>
    <w:multiLevelType w:val="hybridMultilevel"/>
    <w:tmpl w:val="D356259E"/>
    <w:lvl w:ilvl="0" w:tplc="23DC0EB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F0F19"/>
    <w:multiLevelType w:val="hybridMultilevel"/>
    <w:tmpl w:val="CFD82AF8"/>
    <w:lvl w:ilvl="0" w:tplc="1642636A">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71484"/>
    <w:multiLevelType w:val="hybridMultilevel"/>
    <w:tmpl w:val="868A0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A36C4"/>
    <w:multiLevelType w:val="hybridMultilevel"/>
    <w:tmpl w:val="6ADCFC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5515118"/>
    <w:multiLevelType w:val="hybridMultilevel"/>
    <w:tmpl w:val="A24C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00970"/>
    <w:multiLevelType w:val="hybridMultilevel"/>
    <w:tmpl w:val="772677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C3230A"/>
    <w:multiLevelType w:val="multilevel"/>
    <w:tmpl w:val="C958D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56CE8"/>
    <w:multiLevelType w:val="hybridMultilevel"/>
    <w:tmpl w:val="F0CA3546"/>
    <w:lvl w:ilvl="0" w:tplc="8F6ED140">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CC313D"/>
    <w:multiLevelType w:val="hybridMultilevel"/>
    <w:tmpl w:val="66C03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547777"/>
    <w:multiLevelType w:val="hybridMultilevel"/>
    <w:tmpl w:val="DC42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16E1B"/>
    <w:multiLevelType w:val="hybridMultilevel"/>
    <w:tmpl w:val="F1FE52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F244EB"/>
    <w:multiLevelType w:val="hybridMultilevel"/>
    <w:tmpl w:val="52BC595A"/>
    <w:lvl w:ilvl="0" w:tplc="B32ABEE4">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85C99"/>
    <w:multiLevelType w:val="hybridMultilevel"/>
    <w:tmpl w:val="552A97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07045"/>
    <w:multiLevelType w:val="hybridMultilevel"/>
    <w:tmpl w:val="8A126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DA6D39"/>
    <w:multiLevelType w:val="hybridMultilevel"/>
    <w:tmpl w:val="C17AD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1"/>
  </w:num>
  <w:num w:numId="5">
    <w:abstractNumId w:val="14"/>
  </w:num>
  <w:num w:numId="6">
    <w:abstractNumId w:val="9"/>
  </w:num>
  <w:num w:numId="7">
    <w:abstractNumId w:val="6"/>
  </w:num>
  <w:num w:numId="8">
    <w:abstractNumId w:val="22"/>
  </w:num>
  <w:num w:numId="9">
    <w:abstractNumId w:val="15"/>
  </w:num>
  <w:num w:numId="10">
    <w:abstractNumId w:val="10"/>
  </w:num>
  <w:num w:numId="11">
    <w:abstractNumId w:val="27"/>
  </w:num>
  <w:num w:numId="12">
    <w:abstractNumId w:val="16"/>
  </w:num>
  <w:num w:numId="13">
    <w:abstractNumId w:val="17"/>
  </w:num>
  <w:num w:numId="14">
    <w:abstractNumId w:val="30"/>
  </w:num>
  <w:num w:numId="15">
    <w:abstractNumId w:val="5"/>
  </w:num>
  <w:num w:numId="16">
    <w:abstractNumId w:val="19"/>
  </w:num>
  <w:num w:numId="17">
    <w:abstractNumId w:val="4"/>
  </w:num>
  <w:num w:numId="18">
    <w:abstractNumId w:val="18"/>
  </w:num>
  <w:num w:numId="19">
    <w:abstractNumId w:val="21"/>
  </w:num>
  <w:num w:numId="20">
    <w:abstractNumId w:val="7"/>
  </w:num>
  <w:num w:numId="21">
    <w:abstractNumId w:val="26"/>
  </w:num>
  <w:num w:numId="22">
    <w:abstractNumId w:val="20"/>
  </w:num>
  <w:num w:numId="23">
    <w:abstractNumId w:val="3"/>
  </w:num>
  <w:num w:numId="24">
    <w:abstractNumId w:val="29"/>
  </w:num>
  <w:num w:numId="25">
    <w:abstractNumId w:val="11"/>
  </w:num>
  <w:num w:numId="26">
    <w:abstractNumId w:val="28"/>
  </w:num>
  <w:num w:numId="27">
    <w:abstractNumId w:val="12"/>
  </w:num>
  <w:num w:numId="28">
    <w:abstractNumId w:val="8"/>
  </w:num>
  <w:num w:numId="29">
    <w:abstractNumId w:val="25"/>
  </w:num>
  <w:num w:numId="30">
    <w:abstractNumId w:val="24"/>
  </w:num>
  <w:num w:numId="3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2819"/>
    <w:rsid w:val="00003042"/>
    <w:rsid w:val="00004652"/>
    <w:rsid w:val="00006F5A"/>
    <w:rsid w:val="00007A85"/>
    <w:rsid w:val="00007F19"/>
    <w:rsid w:val="000133D4"/>
    <w:rsid w:val="000141FF"/>
    <w:rsid w:val="00014346"/>
    <w:rsid w:val="00014FCC"/>
    <w:rsid w:val="000156CE"/>
    <w:rsid w:val="00016321"/>
    <w:rsid w:val="000223BF"/>
    <w:rsid w:val="00023A66"/>
    <w:rsid w:val="00025773"/>
    <w:rsid w:val="00025FA5"/>
    <w:rsid w:val="0002612F"/>
    <w:rsid w:val="00027F3C"/>
    <w:rsid w:val="00031E14"/>
    <w:rsid w:val="00034B2F"/>
    <w:rsid w:val="00034B77"/>
    <w:rsid w:val="0003559A"/>
    <w:rsid w:val="00043046"/>
    <w:rsid w:val="000513F8"/>
    <w:rsid w:val="000558CB"/>
    <w:rsid w:val="00056827"/>
    <w:rsid w:val="000579B6"/>
    <w:rsid w:val="00061B00"/>
    <w:rsid w:val="0006223F"/>
    <w:rsid w:val="000622EB"/>
    <w:rsid w:val="00062300"/>
    <w:rsid w:val="00076D91"/>
    <w:rsid w:val="00077FE2"/>
    <w:rsid w:val="0008682C"/>
    <w:rsid w:val="00091380"/>
    <w:rsid w:val="0009149C"/>
    <w:rsid w:val="000916B4"/>
    <w:rsid w:val="00095623"/>
    <w:rsid w:val="000957F2"/>
    <w:rsid w:val="000967FA"/>
    <w:rsid w:val="000A6B33"/>
    <w:rsid w:val="000A7B78"/>
    <w:rsid w:val="000B1EC6"/>
    <w:rsid w:val="000B433A"/>
    <w:rsid w:val="000B7313"/>
    <w:rsid w:val="000C1720"/>
    <w:rsid w:val="000C7887"/>
    <w:rsid w:val="000D2B0F"/>
    <w:rsid w:val="000D6293"/>
    <w:rsid w:val="000D6AE8"/>
    <w:rsid w:val="000E0596"/>
    <w:rsid w:val="000E1131"/>
    <w:rsid w:val="000E16CA"/>
    <w:rsid w:val="000E2191"/>
    <w:rsid w:val="000E2259"/>
    <w:rsid w:val="000F08C6"/>
    <w:rsid w:val="000F1DC9"/>
    <w:rsid w:val="000F2F98"/>
    <w:rsid w:val="000F32A8"/>
    <w:rsid w:val="000F4025"/>
    <w:rsid w:val="000F727B"/>
    <w:rsid w:val="00104B00"/>
    <w:rsid w:val="001062A4"/>
    <w:rsid w:val="00111377"/>
    <w:rsid w:val="00114415"/>
    <w:rsid w:val="00114ABD"/>
    <w:rsid w:val="001168C6"/>
    <w:rsid w:val="0012320C"/>
    <w:rsid w:val="00125B8C"/>
    <w:rsid w:val="00125C33"/>
    <w:rsid w:val="00125E53"/>
    <w:rsid w:val="00130775"/>
    <w:rsid w:val="00133830"/>
    <w:rsid w:val="0013539B"/>
    <w:rsid w:val="00136122"/>
    <w:rsid w:val="001404A5"/>
    <w:rsid w:val="0014357B"/>
    <w:rsid w:val="00155F0F"/>
    <w:rsid w:val="0016097E"/>
    <w:rsid w:val="00162656"/>
    <w:rsid w:val="001709F9"/>
    <w:rsid w:val="00181AC4"/>
    <w:rsid w:val="00184144"/>
    <w:rsid w:val="00185813"/>
    <w:rsid w:val="00185F98"/>
    <w:rsid w:val="00190E3A"/>
    <w:rsid w:val="001926A8"/>
    <w:rsid w:val="001937E1"/>
    <w:rsid w:val="00194AF7"/>
    <w:rsid w:val="00194B43"/>
    <w:rsid w:val="0019505A"/>
    <w:rsid w:val="00196462"/>
    <w:rsid w:val="001A108A"/>
    <w:rsid w:val="001A1A65"/>
    <w:rsid w:val="001A2F54"/>
    <w:rsid w:val="001A4EEE"/>
    <w:rsid w:val="001A591B"/>
    <w:rsid w:val="001A77D2"/>
    <w:rsid w:val="001B1F09"/>
    <w:rsid w:val="001B3138"/>
    <w:rsid w:val="001B7C92"/>
    <w:rsid w:val="001B7D39"/>
    <w:rsid w:val="001C06AD"/>
    <w:rsid w:val="001C07B6"/>
    <w:rsid w:val="001C18B2"/>
    <w:rsid w:val="001D2B0C"/>
    <w:rsid w:val="001D37EA"/>
    <w:rsid w:val="001E1249"/>
    <w:rsid w:val="001E2691"/>
    <w:rsid w:val="001E7FF1"/>
    <w:rsid w:val="001F0B7B"/>
    <w:rsid w:val="001F10F1"/>
    <w:rsid w:val="001F3CF4"/>
    <w:rsid w:val="001F46EB"/>
    <w:rsid w:val="001F60C8"/>
    <w:rsid w:val="001F675E"/>
    <w:rsid w:val="002027A3"/>
    <w:rsid w:val="0020396F"/>
    <w:rsid w:val="00203FF7"/>
    <w:rsid w:val="002046F5"/>
    <w:rsid w:val="00206181"/>
    <w:rsid w:val="00207731"/>
    <w:rsid w:val="00210599"/>
    <w:rsid w:val="0021189F"/>
    <w:rsid w:val="00211E60"/>
    <w:rsid w:val="002153EC"/>
    <w:rsid w:val="00217078"/>
    <w:rsid w:val="0022038C"/>
    <w:rsid w:val="00223B1B"/>
    <w:rsid w:val="00225663"/>
    <w:rsid w:val="00226D83"/>
    <w:rsid w:val="0022700A"/>
    <w:rsid w:val="00227687"/>
    <w:rsid w:val="00227C5B"/>
    <w:rsid w:val="00230E4B"/>
    <w:rsid w:val="00232018"/>
    <w:rsid w:val="00240B8B"/>
    <w:rsid w:val="00246359"/>
    <w:rsid w:val="002471B5"/>
    <w:rsid w:val="00247550"/>
    <w:rsid w:val="002501C8"/>
    <w:rsid w:val="0025341F"/>
    <w:rsid w:val="00253A36"/>
    <w:rsid w:val="00261273"/>
    <w:rsid w:val="00262175"/>
    <w:rsid w:val="00262F1B"/>
    <w:rsid w:val="002630E9"/>
    <w:rsid w:val="002652A2"/>
    <w:rsid w:val="002751EC"/>
    <w:rsid w:val="002778AB"/>
    <w:rsid w:val="00277D57"/>
    <w:rsid w:val="002831FB"/>
    <w:rsid w:val="00285C74"/>
    <w:rsid w:val="00286D67"/>
    <w:rsid w:val="00287CE2"/>
    <w:rsid w:val="00287E2F"/>
    <w:rsid w:val="00292DAF"/>
    <w:rsid w:val="00294D36"/>
    <w:rsid w:val="00295E92"/>
    <w:rsid w:val="002A1316"/>
    <w:rsid w:val="002A44FE"/>
    <w:rsid w:val="002B0B09"/>
    <w:rsid w:val="002B0FA4"/>
    <w:rsid w:val="002B5774"/>
    <w:rsid w:val="002B6ABA"/>
    <w:rsid w:val="002B7A39"/>
    <w:rsid w:val="002B7ED8"/>
    <w:rsid w:val="002C0A8A"/>
    <w:rsid w:val="002C3FB7"/>
    <w:rsid w:val="002C4A62"/>
    <w:rsid w:val="002C677E"/>
    <w:rsid w:val="002C6C77"/>
    <w:rsid w:val="002D0B40"/>
    <w:rsid w:val="002D1716"/>
    <w:rsid w:val="002D70E6"/>
    <w:rsid w:val="002E2008"/>
    <w:rsid w:val="002F10DA"/>
    <w:rsid w:val="002F1277"/>
    <w:rsid w:val="002F6FF9"/>
    <w:rsid w:val="00304977"/>
    <w:rsid w:val="00304CEC"/>
    <w:rsid w:val="00310E9D"/>
    <w:rsid w:val="003148E8"/>
    <w:rsid w:val="00315BE0"/>
    <w:rsid w:val="0032313E"/>
    <w:rsid w:val="00323CC8"/>
    <w:rsid w:val="00325660"/>
    <w:rsid w:val="003325E9"/>
    <w:rsid w:val="00333FC0"/>
    <w:rsid w:val="0033643F"/>
    <w:rsid w:val="003415C3"/>
    <w:rsid w:val="00344529"/>
    <w:rsid w:val="0034544B"/>
    <w:rsid w:val="003459B3"/>
    <w:rsid w:val="0035188D"/>
    <w:rsid w:val="0035609F"/>
    <w:rsid w:val="00356461"/>
    <w:rsid w:val="00357190"/>
    <w:rsid w:val="0035794F"/>
    <w:rsid w:val="00360AB3"/>
    <w:rsid w:val="003610DC"/>
    <w:rsid w:val="003622AF"/>
    <w:rsid w:val="003633D4"/>
    <w:rsid w:val="00363FF4"/>
    <w:rsid w:val="00364B57"/>
    <w:rsid w:val="0037361C"/>
    <w:rsid w:val="00376E64"/>
    <w:rsid w:val="003772CB"/>
    <w:rsid w:val="003827A2"/>
    <w:rsid w:val="00382B4B"/>
    <w:rsid w:val="003836E7"/>
    <w:rsid w:val="00383B78"/>
    <w:rsid w:val="0038435C"/>
    <w:rsid w:val="0039379B"/>
    <w:rsid w:val="00393A16"/>
    <w:rsid w:val="0039600A"/>
    <w:rsid w:val="003970FB"/>
    <w:rsid w:val="003A3F9A"/>
    <w:rsid w:val="003A44C1"/>
    <w:rsid w:val="003A69FE"/>
    <w:rsid w:val="003A6F64"/>
    <w:rsid w:val="003A76C2"/>
    <w:rsid w:val="003B12DE"/>
    <w:rsid w:val="003B71FE"/>
    <w:rsid w:val="003C0CD1"/>
    <w:rsid w:val="003C2045"/>
    <w:rsid w:val="003C3191"/>
    <w:rsid w:val="003C32AC"/>
    <w:rsid w:val="003D10BB"/>
    <w:rsid w:val="003D3AC0"/>
    <w:rsid w:val="003D603A"/>
    <w:rsid w:val="003D6BC0"/>
    <w:rsid w:val="003E0496"/>
    <w:rsid w:val="003E756D"/>
    <w:rsid w:val="003E779C"/>
    <w:rsid w:val="003F0140"/>
    <w:rsid w:val="003F0BB8"/>
    <w:rsid w:val="003F172E"/>
    <w:rsid w:val="003F25C6"/>
    <w:rsid w:val="003F269D"/>
    <w:rsid w:val="0040093D"/>
    <w:rsid w:val="004030BF"/>
    <w:rsid w:val="0040337C"/>
    <w:rsid w:val="004042F3"/>
    <w:rsid w:val="00404AF2"/>
    <w:rsid w:val="00406C7D"/>
    <w:rsid w:val="00406D2E"/>
    <w:rsid w:val="00407093"/>
    <w:rsid w:val="004104C1"/>
    <w:rsid w:val="004132E1"/>
    <w:rsid w:val="004148C0"/>
    <w:rsid w:val="00415A96"/>
    <w:rsid w:val="00415FB8"/>
    <w:rsid w:val="0042071F"/>
    <w:rsid w:val="00420DCD"/>
    <w:rsid w:val="00423D8B"/>
    <w:rsid w:val="00426EC1"/>
    <w:rsid w:val="00427B29"/>
    <w:rsid w:val="004310B0"/>
    <w:rsid w:val="00434970"/>
    <w:rsid w:val="00435DAC"/>
    <w:rsid w:val="0044022E"/>
    <w:rsid w:val="00440CD1"/>
    <w:rsid w:val="00440E15"/>
    <w:rsid w:val="004426CA"/>
    <w:rsid w:val="00443357"/>
    <w:rsid w:val="00443469"/>
    <w:rsid w:val="00443F74"/>
    <w:rsid w:val="0044452F"/>
    <w:rsid w:val="00445F88"/>
    <w:rsid w:val="00446244"/>
    <w:rsid w:val="004516AB"/>
    <w:rsid w:val="00452842"/>
    <w:rsid w:val="00455E1F"/>
    <w:rsid w:val="004667B8"/>
    <w:rsid w:val="00466C38"/>
    <w:rsid w:val="00470296"/>
    <w:rsid w:val="0047418D"/>
    <w:rsid w:val="004744E8"/>
    <w:rsid w:val="00481A74"/>
    <w:rsid w:val="004829CD"/>
    <w:rsid w:val="0048680B"/>
    <w:rsid w:val="00490996"/>
    <w:rsid w:val="00491CC0"/>
    <w:rsid w:val="0049397D"/>
    <w:rsid w:val="004953BB"/>
    <w:rsid w:val="0049733D"/>
    <w:rsid w:val="004A166E"/>
    <w:rsid w:val="004B33FE"/>
    <w:rsid w:val="004B51B6"/>
    <w:rsid w:val="004B6688"/>
    <w:rsid w:val="004B7E69"/>
    <w:rsid w:val="004C7BFD"/>
    <w:rsid w:val="004D11E9"/>
    <w:rsid w:val="004D271A"/>
    <w:rsid w:val="004D4855"/>
    <w:rsid w:val="004D7081"/>
    <w:rsid w:val="004D72BB"/>
    <w:rsid w:val="004E24A7"/>
    <w:rsid w:val="004E2BB9"/>
    <w:rsid w:val="004E328A"/>
    <w:rsid w:val="004E3B7D"/>
    <w:rsid w:val="004E4587"/>
    <w:rsid w:val="004E4ECC"/>
    <w:rsid w:val="004E78EA"/>
    <w:rsid w:val="004F21E9"/>
    <w:rsid w:val="004F2FCA"/>
    <w:rsid w:val="004F3421"/>
    <w:rsid w:val="004F3C36"/>
    <w:rsid w:val="004F4D98"/>
    <w:rsid w:val="004F5628"/>
    <w:rsid w:val="00502134"/>
    <w:rsid w:val="00503D82"/>
    <w:rsid w:val="005056CA"/>
    <w:rsid w:val="005067A0"/>
    <w:rsid w:val="00507A7F"/>
    <w:rsid w:val="00512588"/>
    <w:rsid w:val="005144EC"/>
    <w:rsid w:val="00521BFC"/>
    <w:rsid w:val="00525845"/>
    <w:rsid w:val="00534071"/>
    <w:rsid w:val="00534466"/>
    <w:rsid w:val="005370FF"/>
    <w:rsid w:val="00537CBD"/>
    <w:rsid w:val="00542FB8"/>
    <w:rsid w:val="0054517E"/>
    <w:rsid w:val="00550729"/>
    <w:rsid w:val="005517D4"/>
    <w:rsid w:val="00553400"/>
    <w:rsid w:val="005540DC"/>
    <w:rsid w:val="00555358"/>
    <w:rsid w:val="0055784F"/>
    <w:rsid w:val="00562444"/>
    <w:rsid w:val="00562CE9"/>
    <w:rsid w:val="0056731A"/>
    <w:rsid w:val="00567D58"/>
    <w:rsid w:val="0057022E"/>
    <w:rsid w:val="00570E34"/>
    <w:rsid w:val="00572446"/>
    <w:rsid w:val="00576C93"/>
    <w:rsid w:val="005816AE"/>
    <w:rsid w:val="00581881"/>
    <w:rsid w:val="0058222D"/>
    <w:rsid w:val="00585FBB"/>
    <w:rsid w:val="00586146"/>
    <w:rsid w:val="005863FB"/>
    <w:rsid w:val="0058663E"/>
    <w:rsid w:val="00586DFC"/>
    <w:rsid w:val="00587849"/>
    <w:rsid w:val="005969C0"/>
    <w:rsid w:val="00597FC5"/>
    <w:rsid w:val="005A259E"/>
    <w:rsid w:val="005A3FFD"/>
    <w:rsid w:val="005B2809"/>
    <w:rsid w:val="005B54C5"/>
    <w:rsid w:val="005B6C12"/>
    <w:rsid w:val="005D0957"/>
    <w:rsid w:val="005D1546"/>
    <w:rsid w:val="005D1D61"/>
    <w:rsid w:val="005D4843"/>
    <w:rsid w:val="005D4AF8"/>
    <w:rsid w:val="005D519D"/>
    <w:rsid w:val="005D56F1"/>
    <w:rsid w:val="005D58F1"/>
    <w:rsid w:val="005E15E0"/>
    <w:rsid w:val="005E201F"/>
    <w:rsid w:val="005E3875"/>
    <w:rsid w:val="005E7F26"/>
    <w:rsid w:val="005F00A3"/>
    <w:rsid w:val="005F254E"/>
    <w:rsid w:val="005F483B"/>
    <w:rsid w:val="005F572D"/>
    <w:rsid w:val="005F5F98"/>
    <w:rsid w:val="00602341"/>
    <w:rsid w:val="00605AF7"/>
    <w:rsid w:val="00605B70"/>
    <w:rsid w:val="006071AC"/>
    <w:rsid w:val="00607CF6"/>
    <w:rsid w:val="00615FD8"/>
    <w:rsid w:val="006164E0"/>
    <w:rsid w:val="00616D35"/>
    <w:rsid w:val="00620E60"/>
    <w:rsid w:val="00624E04"/>
    <w:rsid w:val="00625439"/>
    <w:rsid w:val="00626152"/>
    <w:rsid w:val="0062673D"/>
    <w:rsid w:val="00626EC0"/>
    <w:rsid w:val="0062735C"/>
    <w:rsid w:val="00630368"/>
    <w:rsid w:val="00630816"/>
    <w:rsid w:val="00634598"/>
    <w:rsid w:val="00637C40"/>
    <w:rsid w:val="00637D7B"/>
    <w:rsid w:val="006410E6"/>
    <w:rsid w:val="00644B20"/>
    <w:rsid w:val="006450B7"/>
    <w:rsid w:val="006508BE"/>
    <w:rsid w:val="00652BE8"/>
    <w:rsid w:val="00654938"/>
    <w:rsid w:val="00656323"/>
    <w:rsid w:val="00657A3E"/>
    <w:rsid w:val="00663DAD"/>
    <w:rsid w:val="00664BCF"/>
    <w:rsid w:val="00671693"/>
    <w:rsid w:val="0067394D"/>
    <w:rsid w:val="00673ADE"/>
    <w:rsid w:val="006746AD"/>
    <w:rsid w:val="00676A9F"/>
    <w:rsid w:val="00683F99"/>
    <w:rsid w:val="00684FF4"/>
    <w:rsid w:val="00686A58"/>
    <w:rsid w:val="00687114"/>
    <w:rsid w:val="006879E0"/>
    <w:rsid w:val="00690138"/>
    <w:rsid w:val="00691751"/>
    <w:rsid w:val="00691B62"/>
    <w:rsid w:val="006921AD"/>
    <w:rsid w:val="00696BC4"/>
    <w:rsid w:val="006A06BF"/>
    <w:rsid w:val="006A530E"/>
    <w:rsid w:val="006B0E6F"/>
    <w:rsid w:val="006B157D"/>
    <w:rsid w:val="006B2B51"/>
    <w:rsid w:val="006B37DD"/>
    <w:rsid w:val="006B3F2B"/>
    <w:rsid w:val="006B4FE2"/>
    <w:rsid w:val="006B5B32"/>
    <w:rsid w:val="006C0113"/>
    <w:rsid w:val="006C1164"/>
    <w:rsid w:val="006C3217"/>
    <w:rsid w:val="006C5A9D"/>
    <w:rsid w:val="006D1D3F"/>
    <w:rsid w:val="006D25C5"/>
    <w:rsid w:val="006D3A59"/>
    <w:rsid w:val="006D3F3A"/>
    <w:rsid w:val="006E7A10"/>
    <w:rsid w:val="006E7FB2"/>
    <w:rsid w:val="006F0789"/>
    <w:rsid w:val="006F0D70"/>
    <w:rsid w:val="006F0E76"/>
    <w:rsid w:val="006F1E31"/>
    <w:rsid w:val="006F4E1A"/>
    <w:rsid w:val="00701FCA"/>
    <w:rsid w:val="00702816"/>
    <w:rsid w:val="0070679E"/>
    <w:rsid w:val="00706B68"/>
    <w:rsid w:val="00707182"/>
    <w:rsid w:val="00710B40"/>
    <w:rsid w:val="00715743"/>
    <w:rsid w:val="007165EE"/>
    <w:rsid w:val="007170E1"/>
    <w:rsid w:val="00717332"/>
    <w:rsid w:val="00721C29"/>
    <w:rsid w:val="00722768"/>
    <w:rsid w:val="00724946"/>
    <w:rsid w:val="00724FD3"/>
    <w:rsid w:val="0072525D"/>
    <w:rsid w:val="00726E93"/>
    <w:rsid w:val="007306B9"/>
    <w:rsid w:val="007321B6"/>
    <w:rsid w:val="0073343A"/>
    <w:rsid w:val="007341AE"/>
    <w:rsid w:val="007374DF"/>
    <w:rsid w:val="00742D6A"/>
    <w:rsid w:val="00745788"/>
    <w:rsid w:val="00746BD7"/>
    <w:rsid w:val="00751984"/>
    <w:rsid w:val="00751D2C"/>
    <w:rsid w:val="0075319C"/>
    <w:rsid w:val="00756AE3"/>
    <w:rsid w:val="007574AB"/>
    <w:rsid w:val="00760038"/>
    <w:rsid w:val="0076038A"/>
    <w:rsid w:val="00761440"/>
    <w:rsid w:val="0076148D"/>
    <w:rsid w:val="0077263E"/>
    <w:rsid w:val="00773DFF"/>
    <w:rsid w:val="00774EEB"/>
    <w:rsid w:val="007767B8"/>
    <w:rsid w:val="00776B1B"/>
    <w:rsid w:val="007774AA"/>
    <w:rsid w:val="0078310B"/>
    <w:rsid w:val="00783B67"/>
    <w:rsid w:val="007862FA"/>
    <w:rsid w:val="007866D3"/>
    <w:rsid w:val="00793C65"/>
    <w:rsid w:val="00794B81"/>
    <w:rsid w:val="00795898"/>
    <w:rsid w:val="007976F5"/>
    <w:rsid w:val="007A1CC8"/>
    <w:rsid w:val="007B28B0"/>
    <w:rsid w:val="007B2B07"/>
    <w:rsid w:val="007B337D"/>
    <w:rsid w:val="007B3D62"/>
    <w:rsid w:val="007B4554"/>
    <w:rsid w:val="007C7E9D"/>
    <w:rsid w:val="007D7584"/>
    <w:rsid w:val="007E01D6"/>
    <w:rsid w:val="007E32B7"/>
    <w:rsid w:val="007F0B99"/>
    <w:rsid w:val="007F0C96"/>
    <w:rsid w:val="007F1389"/>
    <w:rsid w:val="007F269F"/>
    <w:rsid w:val="007F3055"/>
    <w:rsid w:val="007F344C"/>
    <w:rsid w:val="007F410F"/>
    <w:rsid w:val="008027FB"/>
    <w:rsid w:val="00806852"/>
    <w:rsid w:val="0081344A"/>
    <w:rsid w:val="00814738"/>
    <w:rsid w:val="008159C6"/>
    <w:rsid w:val="00817D38"/>
    <w:rsid w:val="0082377F"/>
    <w:rsid w:val="00823FDE"/>
    <w:rsid w:val="00824C45"/>
    <w:rsid w:val="00825730"/>
    <w:rsid w:val="00826C65"/>
    <w:rsid w:val="00831800"/>
    <w:rsid w:val="00832F46"/>
    <w:rsid w:val="00841445"/>
    <w:rsid w:val="00842CD4"/>
    <w:rsid w:val="00844ACC"/>
    <w:rsid w:val="00845245"/>
    <w:rsid w:val="00847CB9"/>
    <w:rsid w:val="00856007"/>
    <w:rsid w:val="00856031"/>
    <w:rsid w:val="00860C4C"/>
    <w:rsid w:val="00874B39"/>
    <w:rsid w:val="008758B4"/>
    <w:rsid w:val="00882F59"/>
    <w:rsid w:val="008869A6"/>
    <w:rsid w:val="008876B5"/>
    <w:rsid w:val="0089540E"/>
    <w:rsid w:val="0089708B"/>
    <w:rsid w:val="008A3471"/>
    <w:rsid w:val="008A7581"/>
    <w:rsid w:val="008B1EC0"/>
    <w:rsid w:val="008B5FC8"/>
    <w:rsid w:val="008B79FA"/>
    <w:rsid w:val="008C15FD"/>
    <w:rsid w:val="008C35F7"/>
    <w:rsid w:val="008C379E"/>
    <w:rsid w:val="008C3A60"/>
    <w:rsid w:val="008C56C4"/>
    <w:rsid w:val="008C59AA"/>
    <w:rsid w:val="008D402F"/>
    <w:rsid w:val="008D490B"/>
    <w:rsid w:val="008E15F2"/>
    <w:rsid w:val="008E54DB"/>
    <w:rsid w:val="008E562C"/>
    <w:rsid w:val="008F0655"/>
    <w:rsid w:val="008F28AC"/>
    <w:rsid w:val="008F56DE"/>
    <w:rsid w:val="008F71F6"/>
    <w:rsid w:val="00900798"/>
    <w:rsid w:val="00911E43"/>
    <w:rsid w:val="009125C9"/>
    <w:rsid w:val="00914880"/>
    <w:rsid w:val="0091546F"/>
    <w:rsid w:val="00917080"/>
    <w:rsid w:val="00917DF2"/>
    <w:rsid w:val="009205A5"/>
    <w:rsid w:val="0092196B"/>
    <w:rsid w:val="00924367"/>
    <w:rsid w:val="009249B4"/>
    <w:rsid w:val="00926DEF"/>
    <w:rsid w:val="0092710B"/>
    <w:rsid w:val="00931391"/>
    <w:rsid w:val="00936B02"/>
    <w:rsid w:val="009375EF"/>
    <w:rsid w:val="009429B5"/>
    <w:rsid w:val="00943883"/>
    <w:rsid w:val="00952AC4"/>
    <w:rsid w:val="009541CD"/>
    <w:rsid w:val="00956144"/>
    <w:rsid w:val="009576B4"/>
    <w:rsid w:val="00957780"/>
    <w:rsid w:val="00957EF1"/>
    <w:rsid w:val="0096094E"/>
    <w:rsid w:val="0096189E"/>
    <w:rsid w:val="009621D6"/>
    <w:rsid w:val="00963E30"/>
    <w:rsid w:val="00972A11"/>
    <w:rsid w:val="00980638"/>
    <w:rsid w:val="00982BC6"/>
    <w:rsid w:val="009835E3"/>
    <w:rsid w:val="00983E39"/>
    <w:rsid w:val="00984FA6"/>
    <w:rsid w:val="00986236"/>
    <w:rsid w:val="0098632A"/>
    <w:rsid w:val="00986D24"/>
    <w:rsid w:val="009915AF"/>
    <w:rsid w:val="009925FA"/>
    <w:rsid w:val="009A68F5"/>
    <w:rsid w:val="009B20EB"/>
    <w:rsid w:val="009B66F6"/>
    <w:rsid w:val="009C0C86"/>
    <w:rsid w:val="009C0D0A"/>
    <w:rsid w:val="009C27CC"/>
    <w:rsid w:val="009C702B"/>
    <w:rsid w:val="009D5ED4"/>
    <w:rsid w:val="009D5EE5"/>
    <w:rsid w:val="009E3617"/>
    <w:rsid w:val="009F43E6"/>
    <w:rsid w:val="009F55BC"/>
    <w:rsid w:val="00A06A21"/>
    <w:rsid w:val="00A103CC"/>
    <w:rsid w:val="00A11581"/>
    <w:rsid w:val="00A12195"/>
    <w:rsid w:val="00A15ACE"/>
    <w:rsid w:val="00A202AF"/>
    <w:rsid w:val="00A2114C"/>
    <w:rsid w:val="00A26297"/>
    <w:rsid w:val="00A27C22"/>
    <w:rsid w:val="00A30BB0"/>
    <w:rsid w:val="00A427DE"/>
    <w:rsid w:val="00A452C4"/>
    <w:rsid w:val="00A4720B"/>
    <w:rsid w:val="00A477C8"/>
    <w:rsid w:val="00A55385"/>
    <w:rsid w:val="00A562DA"/>
    <w:rsid w:val="00A63DC4"/>
    <w:rsid w:val="00A644DA"/>
    <w:rsid w:val="00A64C70"/>
    <w:rsid w:val="00A67237"/>
    <w:rsid w:val="00A67AAD"/>
    <w:rsid w:val="00A71270"/>
    <w:rsid w:val="00A747F8"/>
    <w:rsid w:val="00A74CC5"/>
    <w:rsid w:val="00A76FCC"/>
    <w:rsid w:val="00A81F38"/>
    <w:rsid w:val="00A82C39"/>
    <w:rsid w:val="00A916DA"/>
    <w:rsid w:val="00A91892"/>
    <w:rsid w:val="00A91904"/>
    <w:rsid w:val="00A92C59"/>
    <w:rsid w:val="00A948BF"/>
    <w:rsid w:val="00A969D6"/>
    <w:rsid w:val="00AA0986"/>
    <w:rsid w:val="00AA1684"/>
    <w:rsid w:val="00AA1DC0"/>
    <w:rsid w:val="00AA6691"/>
    <w:rsid w:val="00AA766B"/>
    <w:rsid w:val="00AB3254"/>
    <w:rsid w:val="00AB492E"/>
    <w:rsid w:val="00AC14AF"/>
    <w:rsid w:val="00AC3E92"/>
    <w:rsid w:val="00AC6C20"/>
    <w:rsid w:val="00AD2221"/>
    <w:rsid w:val="00AD3164"/>
    <w:rsid w:val="00AD4B22"/>
    <w:rsid w:val="00AE18AA"/>
    <w:rsid w:val="00AE2C5E"/>
    <w:rsid w:val="00AE4118"/>
    <w:rsid w:val="00AE4727"/>
    <w:rsid w:val="00AE6149"/>
    <w:rsid w:val="00AE6910"/>
    <w:rsid w:val="00AE74CF"/>
    <w:rsid w:val="00AE7BCD"/>
    <w:rsid w:val="00AF0DF8"/>
    <w:rsid w:val="00AF4776"/>
    <w:rsid w:val="00AF6948"/>
    <w:rsid w:val="00B0056E"/>
    <w:rsid w:val="00B04AE2"/>
    <w:rsid w:val="00B05699"/>
    <w:rsid w:val="00B10C19"/>
    <w:rsid w:val="00B118B3"/>
    <w:rsid w:val="00B1287B"/>
    <w:rsid w:val="00B15B0A"/>
    <w:rsid w:val="00B21BE0"/>
    <w:rsid w:val="00B23C0A"/>
    <w:rsid w:val="00B2586E"/>
    <w:rsid w:val="00B26099"/>
    <w:rsid w:val="00B26E38"/>
    <w:rsid w:val="00B2727A"/>
    <w:rsid w:val="00B30CA0"/>
    <w:rsid w:val="00B31F1F"/>
    <w:rsid w:val="00B3441D"/>
    <w:rsid w:val="00B37195"/>
    <w:rsid w:val="00B375D0"/>
    <w:rsid w:val="00B378FA"/>
    <w:rsid w:val="00B436D6"/>
    <w:rsid w:val="00B44534"/>
    <w:rsid w:val="00B462A0"/>
    <w:rsid w:val="00B47741"/>
    <w:rsid w:val="00B50E54"/>
    <w:rsid w:val="00B515B6"/>
    <w:rsid w:val="00B55EBD"/>
    <w:rsid w:val="00B61A04"/>
    <w:rsid w:val="00B63BAD"/>
    <w:rsid w:val="00B63D4D"/>
    <w:rsid w:val="00B662D3"/>
    <w:rsid w:val="00B701E9"/>
    <w:rsid w:val="00B80B5A"/>
    <w:rsid w:val="00B82415"/>
    <w:rsid w:val="00B85987"/>
    <w:rsid w:val="00B973F7"/>
    <w:rsid w:val="00B97680"/>
    <w:rsid w:val="00BA08A3"/>
    <w:rsid w:val="00BA203B"/>
    <w:rsid w:val="00BA2F53"/>
    <w:rsid w:val="00BB56F6"/>
    <w:rsid w:val="00BB5939"/>
    <w:rsid w:val="00BB59CF"/>
    <w:rsid w:val="00BB6955"/>
    <w:rsid w:val="00BB7D75"/>
    <w:rsid w:val="00BC2101"/>
    <w:rsid w:val="00BC3DAD"/>
    <w:rsid w:val="00BD0215"/>
    <w:rsid w:val="00BD652E"/>
    <w:rsid w:val="00BD681C"/>
    <w:rsid w:val="00BD6843"/>
    <w:rsid w:val="00BE15B5"/>
    <w:rsid w:val="00BE442E"/>
    <w:rsid w:val="00BE513F"/>
    <w:rsid w:val="00BF119B"/>
    <w:rsid w:val="00BF351C"/>
    <w:rsid w:val="00BF3805"/>
    <w:rsid w:val="00BF51FD"/>
    <w:rsid w:val="00BF66E6"/>
    <w:rsid w:val="00BF7370"/>
    <w:rsid w:val="00BF7D3E"/>
    <w:rsid w:val="00C01086"/>
    <w:rsid w:val="00C021B3"/>
    <w:rsid w:val="00C04FA0"/>
    <w:rsid w:val="00C051DB"/>
    <w:rsid w:val="00C078D5"/>
    <w:rsid w:val="00C10573"/>
    <w:rsid w:val="00C121DF"/>
    <w:rsid w:val="00C16D40"/>
    <w:rsid w:val="00C16D72"/>
    <w:rsid w:val="00C22EA0"/>
    <w:rsid w:val="00C26B71"/>
    <w:rsid w:val="00C400EC"/>
    <w:rsid w:val="00C42B82"/>
    <w:rsid w:val="00C4690F"/>
    <w:rsid w:val="00C46ABB"/>
    <w:rsid w:val="00C513AD"/>
    <w:rsid w:val="00C57388"/>
    <w:rsid w:val="00C641C8"/>
    <w:rsid w:val="00C6544D"/>
    <w:rsid w:val="00C67927"/>
    <w:rsid w:val="00C72648"/>
    <w:rsid w:val="00C7303D"/>
    <w:rsid w:val="00C739C2"/>
    <w:rsid w:val="00C746F4"/>
    <w:rsid w:val="00C75C37"/>
    <w:rsid w:val="00C77637"/>
    <w:rsid w:val="00C77709"/>
    <w:rsid w:val="00C77F47"/>
    <w:rsid w:val="00C81B3F"/>
    <w:rsid w:val="00C81B94"/>
    <w:rsid w:val="00C85A89"/>
    <w:rsid w:val="00C85EC1"/>
    <w:rsid w:val="00C87424"/>
    <w:rsid w:val="00C9066D"/>
    <w:rsid w:val="00C93747"/>
    <w:rsid w:val="00C9390E"/>
    <w:rsid w:val="00C93990"/>
    <w:rsid w:val="00CA1132"/>
    <w:rsid w:val="00CA1364"/>
    <w:rsid w:val="00CA32D9"/>
    <w:rsid w:val="00CA39BF"/>
    <w:rsid w:val="00CA4C0F"/>
    <w:rsid w:val="00CB182E"/>
    <w:rsid w:val="00CB4C7B"/>
    <w:rsid w:val="00CB5038"/>
    <w:rsid w:val="00CB7CFA"/>
    <w:rsid w:val="00CC08A5"/>
    <w:rsid w:val="00CC53AA"/>
    <w:rsid w:val="00CD3CCA"/>
    <w:rsid w:val="00CD3DFE"/>
    <w:rsid w:val="00CD44CE"/>
    <w:rsid w:val="00CD5F54"/>
    <w:rsid w:val="00CD6618"/>
    <w:rsid w:val="00CD6D30"/>
    <w:rsid w:val="00CE0852"/>
    <w:rsid w:val="00CE135A"/>
    <w:rsid w:val="00CE179F"/>
    <w:rsid w:val="00CE3801"/>
    <w:rsid w:val="00CE3B76"/>
    <w:rsid w:val="00CE47BA"/>
    <w:rsid w:val="00CE67DE"/>
    <w:rsid w:val="00CE751B"/>
    <w:rsid w:val="00CF0ACC"/>
    <w:rsid w:val="00CF0E78"/>
    <w:rsid w:val="00CF3750"/>
    <w:rsid w:val="00CF620B"/>
    <w:rsid w:val="00D0000A"/>
    <w:rsid w:val="00D02484"/>
    <w:rsid w:val="00D02E1F"/>
    <w:rsid w:val="00D03F02"/>
    <w:rsid w:val="00D0487A"/>
    <w:rsid w:val="00D1381D"/>
    <w:rsid w:val="00D14BAB"/>
    <w:rsid w:val="00D1585E"/>
    <w:rsid w:val="00D21513"/>
    <w:rsid w:val="00D21F23"/>
    <w:rsid w:val="00D271ED"/>
    <w:rsid w:val="00D3779B"/>
    <w:rsid w:val="00D40626"/>
    <w:rsid w:val="00D43CCC"/>
    <w:rsid w:val="00D447BA"/>
    <w:rsid w:val="00D506C4"/>
    <w:rsid w:val="00D52CA0"/>
    <w:rsid w:val="00D54286"/>
    <w:rsid w:val="00D54EC7"/>
    <w:rsid w:val="00D55A8D"/>
    <w:rsid w:val="00D561B4"/>
    <w:rsid w:val="00D56500"/>
    <w:rsid w:val="00D622A5"/>
    <w:rsid w:val="00D6379E"/>
    <w:rsid w:val="00D6393E"/>
    <w:rsid w:val="00D63D18"/>
    <w:rsid w:val="00D70398"/>
    <w:rsid w:val="00D72D33"/>
    <w:rsid w:val="00D72E84"/>
    <w:rsid w:val="00D76AD8"/>
    <w:rsid w:val="00D81757"/>
    <w:rsid w:val="00D85BEA"/>
    <w:rsid w:val="00D8733D"/>
    <w:rsid w:val="00D87E01"/>
    <w:rsid w:val="00D924B0"/>
    <w:rsid w:val="00D952DF"/>
    <w:rsid w:val="00D975FA"/>
    <w:rsid w:val="00DA019A"/>
    <w:rsid w:val="00DA1C46"/>
    <w:rsid w:val="00DA6A37"/>
    <w:rsid w:val="00DB0350"/>
    <w:rsid w:val="00DB2D99"/>
    <w:rsid w:val="00DC071A"/>
    <w:rsid w:val="00DC16E6"/>
    <w:rsid w:val="00DC58EE"/>
    <w:rsid w:val="00DC6D6E"/>
    <w:rsid w:val="00DD4484"/>
    <w:rsid w:val="00DD6020"/>
    <w:rsid w:val="00DD7033"/>
    <w:rsid w:val="00DE007D"/>
    <w:rsid w:val="00DE1262"/>
    <w:rsid w:val="00DF03E9"/>
    <w:rsid w:val="00DF3AEE"/>
    <w:rsid w:val="00DF407B"/>
    <w:rsid w:val="00E004D3"/>
    <w:rsid w:val="00E0215D"/>
    <w:rsid w:val="00E04EA6"/>
    <w:rsid w:val="00E04F80"/>
    <w:rsid w:val="00E06A24"/>
    <w:rsid w:val="00E077F0"/>
    <w:rsid w:val="00E11C19"/>
    <w:rsid w:val="00E136A0"/>
    <w:rsid w:val="00E13BDB"/>
    <w:rsid w:val="00E16305"/>
    <w:rsid w:val="00E20255"/>
    <w:rsid w:val="00E2462E"/>
    <w:rsid w:val="00E30ACC"/>
    <w:rsid w:val="00E30AFF"/>
    <w:rsid w:val="00E4276D"/>
    <w:rsid w:val="00E44EF1"/>
    <w:rsid w:val="00E462BE"/>
    <w:rsid w:val="00E4649D"/>
    <w:rsid w:val="00E464C2"/>
    <w:rsid w:val="00E52713"/>
    <w:rsid w:val="00E52EF1"/>
    <w:rsid w:val="00E538D3"/>
    <w:rsid w:val="00E55598"/>
    <w:rsid w:val="00E61732"/>
    <w:rsid w:val="00E61F77"/>
    <w:rsid w:val="00E6280C"/>
    <w:rsid w:val="00E65474"/>
    <w:rsid w:val="00E718D9"/>
    <w:rsid w:val="00E777CC"/>
    <w:rsid w:val="00E81E4D"/>
    <w:rsid w:val="00E8378E"/>
    <w:rsid w:val="00E87BA8"/>
    <w:rsid w:val="00E90A65"/>
    <w:rsid w:val="00E94445"/>
    <w:rsid w:val="00EA102C"/>
    <w:rsid w:val="00EA2736"/>
    <w:rsid w:val="00EB603E"/>
    <w:rsid w:val="00EB6583"/>
    <w:rsid w:val="00EC0E83"/>
    <w:rsid w:val="00EC15C1"/>
    <w:rsid w:val="00EC4A02"/>
    <w:rsid w:val="00EC5BE8"/>
    <w:rsid w:val="00EC61F1"/>
    <w:rsid w:val="00ED5CAE"/>
    <w:rsid w:val="00ED7AC1"/>
    <w:rsid w:val="00EE1A17"/>
    <w:rsid w:val="00EE581C"/>
    <w:rsid w:val="00EF37F6"/>
    <w:rsid w:val="00EF5CEF"/>
    <w:rsid w:val="00EF720B"/>
    <w:rsid w:val="00EF7615"/>
    <w:rsid w:val="00F00395"/>
    <w:rsid w:val="00F01018"/>
    <w:rsid w:val="00F024CF"/>
    <w:rsid w:val="00F04F9A"/>
    <w:rsid w:val="00F051C2"/>
    <w:rsid w:val="00F05F13"/>
    <w:rsid w:val="00F065DA"/>
    <w:rsid w:val="00F179AD"/>
    <w:rsid w:val="00F23552"/>
    <w:rsid w:val="00F27975"/>
    <w:rsid w:val="00F35D44"/>
    <w:rsid w:val="00F367A9"/>
    <w:rsid w:val="00F36D97"/>
    <w:rsid w:val="00F42760"/>
    <w:rsid w:val="00F43D53"/>
    <w:rsid w:val="00F44D98"/>
    <w:rsid w:val="00F45616"/>
    <w:rsid w:val="00F456F8"/>
    <w:rsid w:val="00F45D51"/>
    <w:rsid w:val="00F466D8"/>
    <w:rsid w:val="00F47307"/>
    <w:rsid w:val="00F5058B"/>
    <w:rsid w:val="00F50DDE"/>
    <w:rsid w:val="00F6207C"/>
    <w:rsid w:val="00F65D0B"/>
    <w:rsid w:val="00F665F1"/>
    <w:rsid w:val="00F6744C"/>
    <w:rsid w:val="00F71A4A"/>
    <w:rsid w:val="00F71EC6"/>
    <w:rsid w:val="00F723F1"/>
    <w:rsid w:val="00F72B0E"/>
    <w:rsid w:val="00F73853"/>
    <w:rsid w:val="00F77617"/>
    <w:rsid w:val="00F80134"/>
    <w:rsid w:val="00F85142"/>
    <w:rsid w:val="00F858B9"/>
    <w:rsid w:val="00F92A75"/>
    <w:rsid w:val="00F94F52"/>
    <w:rsid w:val="00F951D0"/>
    <w:rsid w:val="00F9686F"/>
    <w:rsid w:val="00FA044B"/>
    <w:rsid w:val="00FA596A"/>
    <w:rsid w:val="00FA6176"/>
    <w:rsid w:val="00FB08E3"/>
    <w:rsid w:val="00FB091E"/>
    <w:rsid w:val="00FB58B3"/>
    <w:rsid w:val="00FB6F92"/>
    <w:rsid w:val="00FB723D"/>
    <w:rsid w:val="00FC10FC"/>
    <w:rsid w:val="00FC1A56"/>
    <w:rsid w:val="00FC2C54"/>
    <w:rsid w:val="00FC406F"/>
    <w:rsid w:val="00FD3E1D"/>
    <w:rsid w:val="00FD4B10"/>
    <w:rsid w:val="00FD5CF7"/>
    <w:rsid w:val="00FD721C"/>
    <w:rsid w:val="00FE0E99"/>
    <w:rsid w:val="00FE1A53"/>
    <w:rsid w:val="00FE393E"/>
    <w:rsid w:val="00FE4A6B"/>
    <w:rsid w:val="00FE6561"/>
    <w:rsid w:val="00FE7FAA"/>
    <w:rsid w:val="00FF1017"/>
    <w:rsid w:val="00FF1783"/>
    <w:rsid w:val="00FF26D6"/>
    <w:rsid w:val="00FF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2DA"/>
    <w:rPr>
      <w:sz w:val="24"/>
      <w:szCs w:val="24"/>
    </w:rPr>
  </w:style>
  <w:style w:type="paragraph" w:styleId="Heading1">
    <w:name w:val="heading 1"/>
    <w:basedOn w:val="Normal"/>
    <w:next w:val="Normal"/>
    <w:link w:val="Heading1Char"/>
    <w:qFormat/>
    <w:rsid w:val="00223B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uiPriority w:val="22"/>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356461"/>
    <w:pPr>
      <w:ind w:left="720"/>
      <w:contextualSpacing/>
    </w:pPr>
  </w:style>
  <w:style w:type="paragraph" w:styleId="BalloonText">
    <w:name w:val="Balloon Text"/>
    <w:basedOn w:val="Normal"/>
    <w:link w:val="BalloonTextChar"/>
    <w:semiHidden/>
    <w:unhideWhenUsed/>
    <w:rsid w:val="007B28B0"/>
    <w:rPr>
      <w:rFonts w:ascii="Segoe UI" w:hAnsi="Segoe UI" w:cs="Segoe UI"/>
      <w:sz w:val="18"/>
      <w:szCs w:val="18"/>
    </w:rPr>
  </w:style>
  <w:style w:type="character" w:customStyle="1" w:styleId="BalloonTextChar">
    <w:name w:val="Balloon Text Char"/>
    <w:basedOn w:val="DefaultParagraphFont"/>
    <w:link w:val="BalloonText"/>
    <w:semiHidden/>
    <w:rsid w:val="007B28B0"/>
    <w:rPr>
      <w:rFonts w:ascii="Segoe UI" w:hAnsi="Segoe UI" w:cs="Segoe UI"/>
      <w:sz w:val="18"/>
      <w:szCs w:val="18"/>
    </w:rPr>
  </w:style>
  <w:style w:type="table" w:styleId="TableGrid">
    <w:name w:val="Table Grid"/>
    <w:basedOn w:val="TableNormal"/>
    <w:rsid w:val="007B2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23B1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773DFF"/>
    <w:rPr>
      <w:sz w:val="16"/>
      <w:szCs w:val="16"/>
    </w:rPr>
  </w:style>
  <w:style w:type="paragraph" w:styleId="CommentText">
    <w:name w:val="annotation text"/>
    <w:basedOn w:val="Normal"/>
    <w:link w:val="CommentTextChar"/>
    <w:semiHidden/>
    <w:unhideWhenUsed/>
    <w:rsid w:val="00773DFF"/>
    <w:rPr>
      <w:sz w:val="20"/>
      <w:szCs w:val="20"/>
    </w:rPr>
  </w:style>
  <w:style w:type="character" w:customStyle="1" w:styleId="CommentTextChar">
    <w:name w:val="Comment Text Char"/>
    <w:basedOn w:val="DefaultParagraphFont"/>
    <w:link w:val="CommentText"/>
    <w:semiHidden/>
    <w:rsid w:val="00773DFF"/>
  </w:style>
  <w:style w:type="paragraph" w:styleId="CommentSubject">
    <w:name w:val="annotation subject"/>
    <w:basedOn w:val="CommentText"/>
    <w:next w:val="CommentText"/>
    <w:link w:val="CommentSubjectChar"/>
    <w:semiHidden/>
    <w:unhideWhenUsed/>
    <w:rsid w:val="00773DFF"/>
    <w:rPr>
      <w:b/>
      <w:bCs/>
    </w:rPr>
  </w:style>
  <w:style w:type="character" w:customStyle="1" w:styleId="CommentSubjectChar">
    <w:name w:val="Comment Subject Char"/>
    <w:basedOn w:val="CommentTextChar"/>
    <w:link w:val="CommentSubject"/>
    <w:semiHidden/>
    <w:rsid w:val="00773DFF"/>
    <w:rPr>
      <w:b/>
      <w:bCs/>
    </w:rPr>
  </w:style>
  <w:style w:type="character" w:customStyle="1" w:styleId="FootnoteTextChar">
    <w:name w:val="Footnote Text Char"/>
    <w:basedOn w:val="DefaultParagraphFont"/>
    <w:link w:val="FootnoteText"/>
    <w:rsid w:val="009F55BC"/>
  </w:style>
  <w:style w:type="paragraph" w:styleId="Revision">
    <w:name w:val="Revision"/>
    <w:hidden/>
    <w:uiPriority w:val="99"/>
    <w:semiHidden/>
    <w:rsid w:val="008F71F6"/>
    <w:rPr>
      <w:sz w:val="24"/>
      <w:szCs w:val="24"/>
    </w:rPr>
  </w:style>
  <w:style w:type="paragraph" w:styleId="NormalWeb">
    <w:name w:val="Normal (Web)"/>
    <w:basedOn w:val="Normal"/>
    <w:uiPriority w:val="99"/>
    <w:semiHidden/>
    <w:unhideWhenUsed/>
    <w:rsid w:val="004042F3"/>
    <w:pPr>
      <w:spacing w:before="100" w:beforeAutospacing="1" w:after="100" w:afterAutospacing="1"/>
    </w:pPr>
  </w:style>
  <w:style w:type="character" w:styleId="Emphasis">
    <w:name w:val="Emphasis"/>
    <w:basedOn w:val="DefaultParagraphFont"/>
    <w:uiPriority w:val="20"/>
    <w:qFormat/>
    <w:rsid w:val="004042F3"/>
    <w:rPr>
      <w:i/>
      <w:iCs/>
    </w:rPr>
  </w:style>
  <w:style w:type="character" w:styleId="UnresolvedMention">
    <w:name w:val="Unresolved Mention"/>
    <w:basedOn w:val="DefaultParagraphFont"/>
    <w:uiPriority w:val="99"/>
    <w:semiHidden/>
    <w:unhideWhenUsed/>
    <w:rsid w:val="00586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35841">
      <w:bodyDiv w:val="1"/>
      <w:marLeft w:val="0"/>
      <w:marRight w:val="0"/>
      <w:marTop w:val="0"/>
      <w:marBottom w:val="0"/>
      <w:divBdr>
        <w:top w:val="none" w:sz="0" w:space="0" w:color="auto"/>
        <w:left w:val="none" w:sz="0" w:space="0" w:color="auto"/>
        <w:bottom w:val="none" w:sz="0" w:space="0" w:color="auto"/>
        <w:right w:val="none" w:sz="0" w:space="0" w:color="auto"/>
      </w:divBdr>
    </w:div>
    <w:div w:id="1007244424">
      <w:bodyDiv w:val="1"/>
      <w:marLeft w:val="0"/>
      <w:marRight w:val="0"/>
      <w:marTop w:val="0"/>
      <w:marBottom w:val="0"/>
      <w:divBdr>
        <w:top w:val="none" w:sz="0" w:space="0" w:color="auto"/>
        <w:left w:val="none" w:sz="0" w:space="0" w:color="auto"/>
        <w:bottom w:val="none" w:sz="0" w:space="0" w:color="auto"/>
        <w:right w:val="none" w:sz="0" w:space="0" w:color="auto"/>
      </w:divBdr>
    </w:div>
    <w:div w:id="1204562162">
      <w:bodyDiv w:val="1"/>
      <w:marLeft w:val="0"/>
      <w:marRight w:val="0"/>
      <w:marTop w:val="0"/>
      <w:marBottom w:val="0"/>
      <w:divBdr>
        <w:top w:val="none" w:sz="0" w:space="0" w:color="auto"/>
        <w:left w:val="none" w:sz="0" w:space="0" w:color="auto"/>
        <w:bottom w:val="none" w:sz="0" w:space="0" w:color="auto"/>
        <w:right w:val="none" w:sz="0" w:space="0" w:color="auto"/>
      </w:divBdr>
    </w:div>
    <w:div w:id="1558739510">
      <w:bodyDiv w:val="1"/>
      <w:marLeft w:val="0"/>
      <w:marRight w:val="0"/>
      <w:marTop w:val="0"/>
      <w:marBottom w:val="0"/>
      <w:divBdr>
        <w:top w:val="none" w:sz="0" w:space="0" w:color="auto"/>
        <w:left w:val="none" w:sz="0" w:space="0" w:color="auto"/>
        <w:bottom w:val="none" w:sz="0" w:space="0" w:color="auto"/>
        <w:right w:val="none" w:sz="0" w:space="0" w:color="auto"/>
      </w:divBdr>
    </w:div>
    <w:div w:id="1727143914">
      <w:bodyDiv w:val="1"/>
      <w:marLeft w:val="0"/>
      <w:marRight w:val="0"/>
      <w:marTop w:val="0"/>
      <w:marBottom w:val="0"/>
      <w:divBdr>
        <w:top w:val="none" w:sz="0" w:space="0" w:color="auto"/>
        <w:left w:val="none" w:sz="0" w:space="0" w:color="auto"/>
        <w:bottom w:val="none" w:sz="0" w:space="0" w:color="auto"/>
        <w:right w:val="none" w:sz="0" w:space="0" w:color="auto"/>
      </w:divBdr>
      <w:divsChild>
        <w:div w:id="767821052">
          <w:marLeft w:val="0"/>
          <w:marRight w:val="0"/>
          <w:marTop w:val="0"/>
          <w:marBottom w:val="0"/>
          <w:divBdr>
            <w:top w:val="none" w:sz="0" w:space="0" w:color="auto"/>
            <w:left w:val="none" w:sz="0" w:space="0" w:color="auto"/>
            <w:bottom w:val="none" w:sz="0" w:space="0" w:color="auto"/>
            <w:right w:val="none" w:sz="0" w:space="0" w:color="auto"/>
          </w:divBdr>
        </w:div>
        <w:div w:id="800344679">
          <w:marLeft w:val="0"/>
          <w:marRight w:val="0"/>
          <w:marTop w:val="0"/>
          <w:marBottom w:val="0"/>
          <w:divBdr>
            <w:top w:val="none" w:sz="0" w:space="0" w:color="auto"/>
            <w:left w:val="none" w:sz="0" w:space="0" w:color="auto"/>
            <w:bottom w:val="none" w:sz="0" w:space="0" w:color="auto"/>
            <w:right w:val="none" w:sz="0" w:space="0" w:color="auto"/>
          </w:divBdr>
        </w:div>
      </w:divsChild>
    </w:div>
    <w:div w:id="1844776457">
      <w:bodyDiv w:val="1"/>
      <w:marLeft w:val="0"/>
      <w:marRight w:val="0"/>
      <w:marTop w:val="0"/>
      <w:marBottom w:val="0"/>
      <w:divBdr>
        <w:top w:val="none" w:sz="0" w:space="0" w:color="auto"/>
        <w:left w:val="none" w:sz="0" w:space="0" w:color="auto"/>
        <w:bottom w:val="none" w:sz="0" w:space="0" w:color="auto"/>
        <w:right w:val="none" w:sz="0" w:space="0" w:color="auto"/>
      </w:divBdr>
    </w:div>
    <w:div w:id="20626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iac/chapter/09-26-2018.191.9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id.iowa.gov/documents/commissioners-bulletin/accounting-for-derivative-instruments-used-to-hedge-the-growth-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BF79-D14D-4216-961B-8226529E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8</Pages>
  <Words>4482</Words>
  <Characters>25487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Gann, Julie</cp:lastModifiedBy>
  <cp:revision>21</cp:revision>
  <cp:lastPrinted>2020-10-29T15:37:00Z</cp:lastPrinted>
  <dcterms:created xsi:type="dcterms:W3CDTF">2020-10-19T18:34:00Z</dcterms:created>
  <dcterms:modified xsi:type="dcterms:W3CDTF">2020-11-16T20:57:00Z</dcterms:modified>
</cp:coreProperties>
</file>