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2B19371" w:rsidR="002A1316" w:rsidRPr="00420DCD" w:rsidRDefault="002A1316" w:rsidP="00B30CA0">
      <w:pPr>
        <w:pStyle w:val="Heading2"/>
        <w:rPr>
          <w:bCs/>
          <w:sz w:val="22"/>
          <w:szCs w:val="22"/>
        </w:rPr>
      </w:pPr>
      <w:r w:rsidRPr="00016321">
        <w:rPr>
          <w:b/>
          <w:sz w:val="22"/>
          <w:szCs w:val="22"/>
        </w:rPr>
        <w:t>Issue:</w:t>
      </w:r>
      <w:r w:rsidR="00684FF4">
        <w:rPr>
          <w:b/>
          <w:sz w:val="22"/>
          <w:szCs w:val="22"/>
        </w:rPr>
        <w:t xml:space="preserve"> </w:t>
      </w:r>
      <w:r w:rsidR="008A2679">
        <w:rPr>
          <w:b/>
          <w:sz w:val="22"/>
          <w:szCs w:val="22"/>
        </w:rPr>
        <w:t>Separate Account – Product Identifiers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F5084">
        <w:rPr>
          <w:sz w:val="22"/>
          <w:szCs w:val="22"/>
        </w:rPr>
      </w:r>
      <w:r w:rsidR="005F5084">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0CBF1A86" w:rsidR="002A1316" w:rsidRDefault="002A1316" w:rsidP="00B30CA0">
      <w:pPr>
        <w:pStyle w:val="BodyText2"/>
        <w:rPr>
          <w:bCs w:val="0"/>
          <w:szCs w:val="22"/>
        </w:rPr>
      </w:pPr>
      <w:r w:rsidRPr="00016321">
        <w:rPr>
          <w:bCs w:val="0"/>
          <w:szCs w:val="22"/>
        </w:rPr>
        <w:t>Description of Issue:</w:t>
      </w:r>
    </w:p>
    <w:p w14:paraId="307FCDE0" w14:textId="18045494" w:rsidR="00574954" w:rsidRPr="00574954" w:rsidRDefault="006410E6" w:rsidP="00BA08A3">
      <w:pPr>
        <w:pStyle w:val="BodyText2"/>
        <w:rPr>
          <w:b w:val="0"/>
          <w:bCs w:val="0"/>
          <w:szCs w:val="22"/>
        </w:rPr>
      </w:pPr>
      <w:bookmarkStart w:id="1" w:name="_Hlk19262855"/>
      <w:bookmarkStart w:id="2" w:name="_Hlk33628480"/>
      <w:bookmarkStart w:id="3" w:name="_Hlk33627662"/>
      <w:bookmarkStart w:id="4" w:name="_Hlk33628926"/>
      <w:r>
        <w:rPr>
          <w:b w:val="0"/>
          <w:bCs w:val="0"/>
          <w:szCs w:val="22"/>
        </w:rPr>
        <w:t xml:space="preserve">This agenda item </w:t>
      </w:r>
      <w:r w:rsidR="00DE1262">
        <w:rPr>
          <w:b w:val="0"/>
          <w:bCs w:val="0"/>
          <w:szCs w:val="22"/>
        </w:rPr>
        <w:t>propose</w:t>
      </w:r>
      <w:r w:rsidR="005517D4">
        <w:rPr>
          <w:b w:val="0"/>
          <w:bCs w:val="0"/>
          <w:szCs w:val="22"/>
        </w:rPr>
        <w:t>s</w:t>
      </w:r>
      <w:r w:rsidR="00DE1262">
        <w:rPr>
          <w:b w:val="0"/>
          <w:bCs w:val="0"/>
          <w:szCs w:val="22"/>
        </w:rPr>
        <w:t xml:space="preserve"> </w:t>
      </w:r>
      <w:r w:rsidR="00574954">
        <w:rPr>
          <w:b w:val="0"/>
          <w:bCs w:val="0"/>
          <w:szCs w:val="22"/>
        </w:rPr>
        <w:t>increased product identifier reporting granularity in question 1.01 (product mix) of the separate account general interrogatories</w:t>
      </w:r>
      <w:r w:rsidR="00B8262B">
        <w:rPr>
          <w:b w:val="0"/>
          <w:bCs w:val="0"/>
          <w:szCs w:val="22"/>
        </w:rPr>
        <w:t xml:space="preserve"> (GI 1.01)</w:t>
      </w:r>
      <w:r w:rsidR="00574954">
        <w:rPr>
          <w:b w:val="0"/>
          <w:bCs w:val="0"/>
          <w:szCs w:val="22"/>
        </w:rPr>
        <w:t xml:space="preserve">. At the request of regulators, primarily in response to the recent growth </w:t>
      </w:r>
      <w:r w:rsidR="001275A7">
        <w:rPr>
          <w:b w:val="0"/>
          <w:bCs w:val="0"/>
          <w:szCs w:val="22"/>
        </w:rPr>
        <w:t xml:space="preserve">of </w:t>
      </w:r>
      <w:r w:rsidR="00574954">
        <w:rPr>
          <w:b w:val="0"/>
          <w:bCs w:val="0"/>
          <w:szCs w:val="22"/>
        </w:rPr>
        <w:t xml:space="preserve">pension risk transfer (PRT) transactions </w:t>
      </w:r>
      <w:r w:rsidR="005C12C8">
        <w:rPr>
          <w:b w:val="0"/>
          <w:bCs w:val="0"/>
          <w:szCs w:val="22"/>
        </w:rPr>
        <w:t xml:space="preserve">and registered indexed linked annuity (RILA) products </w:t>
      </w:r>
      <w:r w:rsidR="00574954">
        <w:rPr>
          <w:b w:val="0"/>
          <w:bCs w:val="0"/>
          <w:szCs w:val="22"/>
        </w:rPr>
        <w:t xml:space="preserve">that </w:t>
      </w:r>
      <w:r w:rsidR="001275A7">
        <w:rPr>
          <w:b w:val="0"/>
          <w:bCs w:val="0"/>
          <w:szCs w:val="22"/>
        </w:rPr>
        <w:t xml:space="preserve">are </w:t>
      </w:r>
      <w:r w:rsidR="00574954">
        <w:rPr>
          <w:b w:val="0"/>
          <w:bCs w:val="0"/>
          <w:szCs w:val="22"/>
        </w:rPr>
        <w:t>generally held in insulated separate account</w:t>
      </w:r>
      <w:r w:rsidR="001275A7">
        <w:rPr>
          <w:b w:val="0"/>
          <w:bCs w:val="0"/>
          <w:szCs w:val="22"/>
        </w:rPr>
        <w:t>s</w:t>
      </w:r>
      <w:r w:rsidR="00574954">
        <w:rPr>
          <w:b w:val="0"/>
          <w:bCs w:val="0"/>
          <w:szCs w:val="22"/>
        </w:rPr>
        <w:t xml:space="preserve">, improved reporting was requested </w:t>
      </w:r>
      <w:r w:rsidR="001275A7">
        <w:rPr>
          <w:b w:val="0"/>
          <w:bCs w:val="0"/>
          <w:szCs w:val="22"/>
        </w:rPr>
        <w:t>so</w:t>
      </w:r>
      <w:r w:rsidR="00574954">
        <w:rPr>
          <w:b w:val="0"/>
          <w:bCs w:val="0"/>
          <w:szCs w:val="22"/>
        </w:rPr>
        <w:t xml:space="preserve"> regulators can more readily identify and review </w:t>
      </w:r>
      <w:r w:rsidR="005C12C8">
        <w:rPr>
          <w:b w:val="0"/>
          <w:bCs w:val="0"/>
          <w:szCs w:val="22"/>
        </w:rPr>
        <w:t>the products captured in the separate account</w:t>
      </w:r>
      <w:r w:rsidR="00574954">
        <w:rPr>
          <w:b w:val="0"/>
          <w:bCs w:val="0"/>
          <w:szCs w:val="22"/>
        </w:rPr>
        <w:t xml:space="preserve">. This agenda item does not anticipate modifications to </w:t>
      </w:r>
      <w:r w:rsidR="00574954" w:rsidRPr="00574954">
        <w:rPr>
          <w:b w:val="0"/>
          <w:bCs w:val="0"/>
          <w:i/>
          <w:iCs/>
          <w:szCs w:val="22"/>
        </w:rPr>
        <w:t>SSAP No. 56—Separate Accou</w:t>
      </w:r>
      <w:r w:rsidR="00574954">
        <w:rPr>
          <w:b w:val="0"/>
          <w:bCs w:val="0"/>
          <w:i/>
          <w:iCs/>
          <w:szCs w:val="22"/>
        </w:rPr>
        <w:t>nts</w:t>
      </w:r>
      <w:r w:rsidR="001275A7">
        <w:rPr>
          <w:b w:val="0"/>
          <w:bCs w:val="0"/>
          <w:i/>
          <w:iCs/>
          <w:szCs w:val="22"/>
        </w:rPr>
        <w:t xml:space="preserve">, </w:t>
      </w:r>
      <w:r w:rsidR="001275A7" w:rsidRPr="001275A7">
        <w:rPr>
          <w:b w:val="0"/>
          <w:bCs w:val="0"/>
          <w:szCs w:val="22"/>
        </w:rPr>
        <w:t>however</w:t>
      </w:r>
      <w:r w:rsidR="00574954">
        <w:rPr>
          <w:b w:val="0"/>
          <w:bCs w:val="0"/>
          <w:szCs w:val="22"/>
        </w:rPr>
        <w:t xml:space="preserve"> if supported by the Working Group, would likely result in</w:t>
      </w:r>
      <w:r w:rsidR="001275A7">
        <w:rPr>
          <w:b w:val="0"/>
          <w:bCs w:val="0"/>
          <w:szCs w:val="22"/>
        </w:rPr>
        <w:t xml:space="preserve"> a</w:t>
      </w:r>
      <w:r w:rsidR="00574954">
        <w:rPr>
          <w:b w:val="0"/>
          <w:bCs w:val="0"/>
          <w:szCs w:val="22"/>
        </w:rPr>
        <w:t xml:space="preserve"> </w:t>
      </w:r>
      <w:r w:rsidR="004208D8">
        <w:rPr>
          <w:b w:val="0"/>
          <w:bCs w:val="0"/>
          <w:szCs w:val="22"/>
        </w:rPr>
        <w:t>proposal to the Blanks (E) Working Group for annual statement instruction modifications.</w:t>
      </w:r>
    </w:p>
    <w:p w14:paraId="66D0F0D2" w14:textId="27F8CE1D" w:rsidR="00EA541D" w:rsidRDefault="00EA541D" w:rsidP="00CD6983">
      <w:pPr>
        <w:pStyle w:val="BodyText2"/>
        <w:rPr>
          <w:b w:val="0"/>
          <w:bCs w:val="0"/>
          <w:szCs w:val="22"/>
        </w:rPr>
      </w:pPr>
    </w:p>
    <w:p w14:paraId="3655287D" w14:textId="742CFC6F" w:rsidR="004F6E29" w:rsidRDefault="00B76E32" w:rsidP="00CD6983">
      <w:pPr>
        <w:pStyle w:val="BodyText2"/>
        <w:rPr>
          <w:b w:val="0"/>
          <w:bCs w:val="0"/>
          <w:szCs w:val="22"/>
        </w:rPr>
      </w:pPr>
      <w:r>
        <w:rPr>
          <w:b w:val="0"/>
          <w:bCs w:val="0"/>
          <w:szCs w:val="22"/>
        </w:rPr>
        <w:t xml:space="preserve">For example, </w:t>
      </w:r>
      <w:r w:rsidR="004F6E29">
        <w:rPr>
          <w:b w:val="0"/>
          <w:bCs w:val="0"/>
          <w:szCs w:val="22"/>
        </w:rPr>
        <w:t>upon review of the 2019 separate account annual statements filed</w:t>
      </w:r>
      <w:r w:rsidR="001275A7">
        <w:rPr>
          <w:b w:val="0"/>
          <w:bCs w:val="0"/>
          <w:szCs w:val="22"/>
        </w:rPr>
        <w:t xml:space="preserve"> with the NAIC</w:t>
      </w:r>
      <w:r w:rsidR="004F6E29">
        <w:rPr>
          <w:b w:val="0"/>
          <w:bCs w:val="0"/>
          <w:szCs w:val="22"/>
        </w:rPr>
        <w:t xml:space="preserve">, it was found that while </w:t>
      </w:r>
      <w:r w:rsidR="004F6E29" w:rsidRPr="00066073">
        <w:rPr>
          <w:b w:val="0"/>
          <w:bCs w:val="0"/>
          <w:szCs w:val="22"/>
        </w:rPr>
        <w:t xml:space="preserve">some reporting entities included reporting details such as “XYZ Company Pension Risk Transfer” (a preferred method of disclosure), </w:t>
      </w:r>
      <w:r w:rsidR="00066073" w:rsidRPr="00066073">
        <w:rPr>
          <w:b w:val="0"/>
          <w:bCs w:val="0"/>
          <w:szCs w:val="22"/>
        </w:rPr>
        <w:t xml:space="preserve">most entities grouped their separate account products in 3-4 broad categories. Common categories included variable life, variable annuity, indexed </w:t>
      </w:r>
      <w:proofErr w:type="gramStart"/>
      <w:r w:rsidR="00066073" w:rsidRPr="00066073">
        <w:rPr>
          <w:b w:val="0"/>
          <w:bCs w:val="0"/>
          <w:szCs w:val="22"/>
        </w:rPr>
        <w:t>annuity</w:t>
      </w:r>
      <w:proofErr w:type="gramEnd"/>
      <w:r w:rsidR="00066073" w:rsidRPr="00066073">
        <w:rPr>
          <w:b w:val="0"/>
          <w:bCs w:val="0"/>
          <w:szCs w:val="22"/>
        </w:rPr>
        <w:t xml:space="preserve"> and group variable annuity</w:t>
      </w:r>
      <w:r w:rsidR="004F6E29" w:rsidRPr="00066073">
        <w:rPr>
          <w:b w:val="0"/>
          <w:bCs w:val="0"/>
          <w:szCs w:val="22"/>
        </w:rPr>
        <w:t xml:space="preserve"> (the latter of which is likely where PRT’s would be captured).</w:t>
      </w:r>
    </w:p>
    <w:p w14:paraId="01D3374D" w14:textId="4F849891" w:rsidR="004F6E29" w:rsidRDefault="004F6E29" w:rsidP="00BA08A3">
      <w:pPr>
        <w:pStyle w:val="BodyText2"/>
        <w:rPr>
          <w:b w:val="0"/>
          <w:bCs w:val="0"/>
          <w:szCs w:val="22"/>
        </w:rPr>
      </w:pPr>
    </w:p>
    <w:p w14:paraId="564E6C82" w14:textId="77777777" w:rsidR="00B76E32" w:rsidRDefault="00B76E32" w:rsidP="00B76E32">
      <w:pPr>
        <w:pStyle w:val="BodyText2"/>
        <w:rPr>
          <w:b w:val="0"/>
          <w:bCs w:val="0"/>
          <w:szCs w:val="22"/>
        </w:rPr>
      </w:pPr>
      <w:r>
        <w:rPr>
          <w:b w:val="0"/>
          <w:bCs w:val="0"/>
          <w:szCs w:val="22"/>
        </w:rPr>
        <w:t xml:space="preserve">SSAP No. 56 requires several disclosure elements separated by “product identifier.” These situations include: </w:t>
      </w:r>
    </w:p>
    <w:p w14:paraId="19A5957D" w14:textId="77777777" w:rsidR="00B76E32" w:rsidRDefault="00B76E32" w:rsidP="00B76E32">
      <w:pPr>
        <w:pStyle w:val="BodyText2"/>
        <w:rPr>
          <w:b w:val="0"/>
          <w:bCs w:val="0"/>
          <w:szCs w:val="22"/>
        </w:rPr>
      </w:pPr>
    </w:p>
    <w:p w14:paraId="0064A339" w14:textId="77777777" w:rsidR="00B76E32" w:rsidRDefault="00B76E32" w:rsidP="00B76E32">
      <w:pPr>
        <w:pStyle w:val="BodyText2"/>
        <w:numPr>
          <w:ilvl w:val="0"/>
          <w:numId w:val="35"/>
        </w:numPr>
        <w:rPr>
          <w:b w:val="0"/>
          <w:bCs w:val="0"/>
          <w:szCs w:val="22"/>
        </w:rPr>
      </w:pPr>
      <w:r>
        <w:rPr>
          <w:b w:val="0"/>
          <w:bCs w:val="0"/>
          <w:szCs w:val="22"/>
        </w:rPr>
        <w:t xml:space="preserve">1.01 – Separate account assets by SEC registration, guarantees, seed money, etc. </w:t>
      </w:r>
    </w:p>
    <w:p w14:paraId="2FD667C6" w14:textId="77777777" w:rsidR="00B76E32" w:rsidRDefault="00B76E32" w:rsidP="00B76E32">
      <w:pPr>
        <w:pStyle w:val="BodyText2"/>
        <w:numPr>
          <w:ilvl w:val="0"/>
          <w:numId w:val="35"/>
        </w:numPr>
        <w:rPr>
          <w:b w:val="0"/>
          <w:bCs w:val="0"/>
          <w:szCs w:val="22"/>
        </w:rPr>
      </w:pPr>
      <w:r>
        <w:rPr>
          <w:b w:val="0"/>
          <w:bCs w:val="0"/>
          <w:szCs w:val="22"/>
        </w:rPr>
        <w:t>1.01A – Identification of private placement variable annuities / life insurance (PPVA or PPLI)</w:t>
      </w:r>
    </w:p>
    <w:p w14:paraId="4F57D4E5" w14:textId="77777777" w:rsidR="00B76E32" w:rsidRDefault="00B76E32" w:rsidP="00B76E32">
      <w:pPr>
        <w:pStyle w:val="BodyText2"/>
        <w:numPr>
          <w:ilvl w:val="0"/>
          <w:numId w:val="35"/>
        </w:numPr>
        <w:rPr>
          <w:b w:val="0"/>
          <w:bCs w:val="0"/>
          <w:szCs w:val="22"/>
        </w:rPr>
      </w:pPr>
      <w:r>
        <w:rPr>
          <w:b w:val="0"/>
          <w:bCs w:val="0"/>
          <w:szCs w:val="22"/>
        </w:rPr>
        <w:t>2.5 – Risk charges</w:t>
      </w:r>
    </w:p>
    <w:p w14:paraId="778F45BB" w14:textId="77777777" w:rsidR="00B76E32" w:rsidRDefault="00B76E32" w:rsidP="00B76E32">
      <w:pPr>
        <w:pStyle w:val="BodyText2"/>
        <w:numPr>
          <w:ilvl w:val="0"/>
          <w:numId w:val="35"/>
        </w:numPr>
        <w:rPr>
          <w:b w:val="0"/>
          <w:bCs w:val="0"/>
          <w:szCs w:val="22"/>
        </w:rPr>
      </w:pPr>
      <w:r>
        <w:rPr>
          <w:b w:val="0"/>
          <w:bCs w:val="0"/>
          <w:szCs w:val="22"/>
        </w:rPr>
        <w:t>4.2 – Investment Process and their treatment (e.g., to policyholder, to GA, or retained in SA)</w:t>
      </w:r>
    </w:p>
    <w:p w14:paraId="4E731064" w14:textId="77777777" w:rsidR="00B76E32" w:rsidRDefault="00B76E32" w:rsidP="00B76E32">
      <w:pPr>
        <w:pStyle w:val="BodyText2"/>
        <w:rPr>
          <w:b w:val="0"/>
          <w:bCs w:val="0"/>
          <w:szCs w:val="22"/>
        </w:rPr>
      </w:pPr>
    </w:p>
    <w:p w14:paraId="2B95EA57" w14:textId="360C2BE6" w:rsidR="002D3C80" w:rsidRDefault="00B76E32" w:rsidP="00B76E32">
      <w:pPr>
        <w:pStyle w:val="BodyText2"/>
        <w:rPr>
          <w:b w:val="0"/>
          <w:bCs w:val="0"/>
          <w:szCs w:val="22"/>
        </w:rPr>
      </w:pPr>
      <w:r>
        <w:rPr>
          <w:b w:val="0"/>
          <w:bCs w:val="0"/>
          <w:szCs w:val="22"/>
        </w:rPr>
        <w:t xml:space="preserve">As detailed in the separate account instructions, “a distinct product identifier shall be used for each product and shall be used consistently throughout the interrogatory.” Even with this direction, most reporting entities appear to be aggregating product types for reporting. This has made it difficult to assess the </w:t>
      </w:r>
      <w:r w:rsidR="008A1C85">
        <w:rPr>
          <w:b w:val="0"/>
          <w:bCs w:val="0"/>
          <w:szCs w:val="22"/>
        </w:rPr>
        <w:t xml:space="preserve">reserve requirements or guarantees </w:t>
      </w:r>
      <w:r>
        <w:rPr>
          <w:b w:val="0"/>
          <w:bCs w:val="0"/>
          <w:szCs w:val="22"/>
        </w:rPr>
        <w:t xml:space="preserve">for the specific products. </w:t>
      </w:r>
      <w:r w:rsidR="004F6E29">
        <w:rPr>
          <w:b w:val="0"/>
          <w:bCs w:val="0"/>
          <w:szCs w:val="22"/>
        </w:rPr>
        <w:t xml:space="preserve">Additionally, </w:t>
      </w:r>
      <w:r w:rsidR="00942B3F">
        <w:rPr>
          <w:b w:val="0"/>
          <w:bCs w:val="0"/>
          <w:szCs w:val="22"/>
        </w:rPr>
        <w:t xml:space="preserve">regulators have indicated that upon their examination of the product mix general </w:t>
      </w:r>
      <w:r w:rsidR="001275A7">
        <w:rPr>
          <w:b w:val="0"/>
          <w:bCs w:val="0"/>
          <w:szCs w:val="22"/>
        </w:rPr>
        <w:t>interrogatory</w:t>
      </w:r>
      <w:r w:rsidR="00942B3F">
        <w:rPr>
          <w:b w:val="0"/>
          <w:bCs w:val="0"/>
          <w:szCs w:val="22"/>
        </w:rPr>
        <w:t xml:space="preserve"> in which the assets reflect if they are supported with a guarantee from the general account, due to the broad grouping of products, some products which do not have guarantees were grouped with those that did </w:t>
      </w:r>
      <w:r w:rsidR="008A1C85">
        <w:rPr>
          <w:b w:val="0"/>
          <w:bCs w:val="0"/>
          <w:szCs w:val="22"/>
        </w:rPr>
        <w:t>have</w:t>
      </w:r>
      <w:r w:rsidR="00942B3F">
        <w:rPr>
          <w:b w:val="0"/>
          <w:bCs w:val="0"/>
          <w:szCs w:val="22"/>
        </w:rPr>
        <w:t xml:space="preserve"> guarantee</w:t>
      </w:r>
      <w:r w:rsidR="008A1C85">
        <w:rPr>
          <w:b w:val="0"/>
          <w:bCs w:val="0"/>
          <w:szCs w:val="22"/>
        </w:rPr>
        <w:t>s</w:t>
      </w:r>
      <w:r w:rsidR="00942B3F">
        <w:rPr>
          <w:b w:val="0"/>
          <w:bCs w:val="0"/>
          <w:szCs w:val="22"/>
        </w:rPr>
        <w:t xml:space="preserve">. </w:t>
      </w:r>
    </w:p>
    <w:bookmarkEnd w:id="1"/>
    <w:bookmarkEnd w:id="2"/>
    <w:bookmarkEnd w:id="3"/>
    <w:bookmarkEnd w:id="4"/>
    <w:p w14:paraId="1AE0C44C" w14:textId="77777777" w:rsidR="00EA541D" w:rsidRDefault="00EA541D" w:rsidP="00B30CA0">
      <w:pPr>
        <w:pStyle w:val="BodyText2"/>
        <w:rPr>
          <w:bCs w:val="0"/>
          <w:szCs w:val="22"/>
        </w:rPr>
      </w:pPr>
    </w:p>
    <w:p w14:paraId="6C6B67AF" w14:textId="2F459137" w:rsidR="002A1316" w:rsidRPr="00A81F38" w:rsidRDefault="002A1316" w:rsidP="00B30CA0">
      <w:pPr>
        <w:pStyle w:val="BodyText2"/>
        <w:rPr>
          <w:bCs w:val="0"/>
          <w:szCs w:val="22"/>
        </w:rPr>
      </w:pPr>
      <w:r w:rsidRPr="00A81F38">
        <w:rPr>
          <w:bCs w:val="0"/>
          <w:szCs w:val="22"/>
        </w:rPr>
        <w:t>Existing Authoritative Literature:</w:t>
      </w:r>
    </w:p>
    <w:p w14:paraId="2EBA4896" w14:textId="77777777" w:rsidR="00D40626" w:rsidRPr="00A81F38" w:rsidRDefault="00D40626" w:rsidP="00B30CA0">
      <w:pPr>
        <w:pStyle w:val="BodyText2"/>
        <w:rPr>
          <w:i/>
          <w:iCs/>
          <w:szCs w:val="22"/>
        </w:rPr>
      </w:pPr>
    </w:p>
    <w:p w14:paraId="682C44A7" w14:textId="77777777" w:rsidR="00611765" w:rsidRPr="00611765" w:rsidRDefault="00611765" w:rsidP="00611765">
      <w:pPr>
        <w:pStyle w:val="BodyText2"/>
        <w:rPr>
          <w:szCs w:val="22"/>
        </w:rPr>
      </w:pPr>
      <w:r w:rsidRPr="00611765">
        <w:rPr>
          <w:szCs w:val="22"/>
        </w:rPr>
        <w:t xml:space="preserve">The disclosures for separate account assets are detailed in </w:t>
      </w:r>
      <w:r w:rsidR="003A69FE" w:rsidRPr="003D405B">
        <w:rPr>
          <w:i/>
          <w:iCs/>
          <w:szCs w:val="22"/>
        </w:rPr>
        <w:t xml:space="preserve">SSAP No. </w:t>
      </w:r>
      <w:r w:rsidRPr="003D405B">
        <w:rPr>
          <w:i/>
          <w:iCs/>
          <w:szCs w:val="22"/>
        </w:rPr>
        <w:t>56</w:t>
      </w:r>
      <w:r w:rsidR="003A69FE" w:rsidRPr="003D405B">
        <w:rPr>
          <w:i/>
          <w:iCs/>
          <w:szCs w:val="22"/>
        </w:rPr>
        <w:t>—</w:t>
      </w:r>
      <w:r w:rsidRPr="003D405B">
        <w:rPr>
          <w:i/>
          <w:iCs/>
          <w:szCs w:val="22"/>
        </w:rPr>
        <w:t>Separate Accounts</w:t>
      </w:r>
      <w:r w:rsidR="009205A5" w:rsidRPr="00611765">
        <w:rPr>
          <w:szCs w:val="22"/>
        </w:rPr>
        <w:t xml:space="preserve">: </w:t>
      </w:r>
    </w:p>
    <w:p w14:paraId="4F28CD98" w14:textId="77777777" w:rsidR="00611765" w:rsidRDefault="00611765" w:rsidP="00611765">
      <w:pPr>
        <w:pStyle w:val="BodyText2"/>
        <w:rPr>
          <w:i/>
          <w:iCs/>
          <w:szCs w:val="22"/>
        </w:rPr>
      </w:pPr>
    </w:p>
    <w:p w14:paraId="5DCD97F8" w14:textId="77777777" w:rsidR="00611765" w:rsidRPr="00611765" w:rsidRDefault="00611765" w:rsidP="00611765">
      <w:pPr>
        <w:pStyle w:val="ListContinue"/>
        <w:numPr>
          <w:ilvl w:val="0"/>
          <w:numId w:val="33"/>
        </w:numPr>
        <w:ind w:firstLine="0"/>
        <w:rPr>
          <w:rFonts w:ascii="Arial" w:hAnsi="Arial" w:cs="Arial"/>
          <w:sz w:val="20"/>
        </w:rPr>
      </w:pPr>
      <w:r w:rsidRPr="00611765">
        <w:rPr>
          <w:rFonts w:ascii="Arial" w:hAnsi="Arial" w:cs="Arial"/>
          <w:sz w:val="20"/>
        </w:rPr>
        <w:t>The Separate Account Annual Statement Blank shall include detailed information on the characteristics of the separate account assets, specifically categorizing separate account assets in accordance with the following characteristics:</w:t>
      </w:r>
    </w:p>
    <w:p w14:paraId="334BE89A" w14:textId="77777777" w:rsidR="00611765" w:rsidRPr="00611765" w:rsidRDefault="00611765" w:rsidP="00611765">
      <w:pPr>
        <w:pStyle w:val="ListNumber2"/>
        <w:numPr>
          <w:ilvl w:val="0"/>
          <w:numId w:val="34"/>
        </w:numPr>
        <w:spacing w:after="220"/>
        <w:ind w:firstLine="0"/>
        <w:jc w:val="both"/>
        <w:rPr>
          <w:rFonts w:ascii="Arial" w:hAnsi="Arial" w:cs="Arial"/>
          <w:b/>
          <w:bCs/>
        </w:rPr>
      </w:pPr>
      <w:r w:rsidRPr="00611765">
        <w:rPr>
          <w:rFonts w:ascii="Arial" w:hAnsi="Arial" w:cs="Arial"/>
          <w:b/>
          <w:bCs/>
        </w:rPr>
        <w:t>Identification of separate account assets that are legally insulated from the general account and those which are not legally insulated.</w:t>
      </w:r>
    </w:p>
    <w:p w14:paraId="022717D1" w14:textId="3D7931CA" w:rsidR="00611765" w:rsidRPr="00611765" w:rsidRDefault="00611765" w:rsidP="00611765">
      <w:pPr>
        <w:pStyle w:val="ListNumber2"/>
        <w:numPr>
          <w:ilvl w:val="0"/>
          <w:numId w:val="32"/>
        </w:numPr>
        <w:spacing w:after="220"/>
        <w:ind w:firstLine="0"/>
        <w:jc w:val="both"/>
        <w:rPr>
          <w:rFonts w:ascii="Arial" w:hAnsi="Arial" w:cs="Arial"/>
          <w:b/>
          <w:bCs/>
        </w:rPr>
      </w:pPr>
      <w:r w:rsidRPr="00611765">
        <w:rPr>
          <w:rFonts w:ascii="Arial" w:hAnsi="Arial" w:cs="Arial"/>
          <w:b/>
          <w:bCs/>
        </w:rPr>
        <w:lastRenderedPageBreak/>
        <w:t>Aggregation of separate account assets from products registered with the SEC and separate account assets from products excluded from registration. In addition to the overall aggregation, this disclosure shall specifically identify separate account assets from private placement variable annuities (PPVA) and private placement life insurance (PPLI). The disclosures in this paragraph (36.b.) are effective December 31, 2018.</w:t>
      </w:r>
    </w:p>
    <w:p w14:paraId="30C9656C" w14:textId="7DC8E267" w:rsidR="00611765" w:rsidRPr="00611765"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Amount of separate account assets that represent seed money, other fees and expenses due to the general account, and additional required surplus amounts. This disclosure shall include the amount of seed money and other fees and expenses currently included in the separate account, as well as the amount of seed money received and repaid to the general account during the current year. This disclosure shall also include information on insulation (if applicable), the time duration for which seed money and other fees and expenses due the general account are retained in the separate account, and information on how whether seed money is invested pursuant to general account directives or in accordance with stated policies and procedures.</w:t>
      </w:r>
    </w:p>
    <w:p w14:paraId="3944B86E" w14:textId="77777777" w:rsidR="00611765" w:rsidRPr="00611765"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 xml:space="preserve">Identification of the separate account assets in which the investment directive is not determined by a </w:t>
      </w:r>
      <w:proofErr w:type="spellStart"/>
      <w:r w:rsidRPr="00611765">
        <w:rPr>
          <w:rFonts w:ascii="Arial" w:hAnsi="Arial" w:cs="Arial"/>
        </w:rPr>
        <w:t>contractholder</w:t>
      </w:r>
      <w:proofErr w:type="spellEnd"/>
      <w:r w:rsidRPr="00611765">
        <w:rPr>
          <w:rFonts w:ascii="Arial" w:hAnsi="Arial" w:cs="Arial"/>
        </w:rPr>
        <w:t xml:space="preserve">. (In most instances, having multiple investment choices at the option of a </w:t>
      </w:r>
      <w:proofErr w:type="spellStart"/>
      <w:r w:rsidRPr="00611765">
        <w:rPr>
          <w:rFonts w:ascii="Arial" w:hAnsi="Arial" w:cs="Arial"/>
        </w:rPr>
        <w:t>contractholder</w:t>
      </w:r>
      <w:proofErr w:type="spellEnd"/>
      <w:r w:rsidRPr="00611765">
        <w:rPr>
          <w:rFonts w:ascii="Arial" w:hAnsi="Arial" w:cs="Arial"/>
        </w:rPr>
        <w:t xml:space="preserve"> would be considered a situation in which the investment directive is determined by a </w:t>
      </w:r>
      <w:proofErr w:type="spellStart"/>
      <w:r w:rsidRPr="00611765">
        <w:rPr>
          <w:rFonts w:ascii="Arial" w:hAnsi="Arial" w:cs="Arial"/>
        </w:rPr>
        <w:t>contractholder</w:t>
      </w:r>
      <w:proofErr w:type="spellEnd"/>
      <w:r w:rsidRPr="00611765">
        <w:rPr>
          <w:rFonts w:ascii="Arial" w:hAnsi="Arial" w:cs="Arial"/>
        </w:rPr>
        <w:t xml:space="preserve">. This is not true for situations in which the asset is invested in a manner that mirrors the investment directives of the general account.) Situations in which the investment directive is not determined by the </w:t>
      </w:r>
      <w:proofErr w:type="spellStart"/>
      <w:r w:rsidRPr="00611765">
        <w:rPr>
          <w:rFonts w:ascii="Arial" w:hAnsi="Arial" w:cs="Arial"/>
        </w:rPr>
        <w:t>contractholder</w:t>
      </w:r>
      <w:proofErr w:type="spellEnd"/>
      <w:r w:rsidRPr="00611765">
        <w:rPr>
          <w:rFonts w:ascii="Arial" w:hAnsi="Arial" w:cs="Arial"/>
        </w:rPr>
        <w:t xml:space="preserve"> (and situations in which the reporting entity is the </w:t>
      </w:r>
      <w:proofErr w:type="spellStart"/>
      <w:r w:rsidRPr="00611765">
        <w:rPr>
          <w:rFonts w:ascii="Arial" w:hAnsi="Arial" w:cs="Arial"/>
        </w:rPr>
        <w:t>contractholder</w:t>
      </w:r>
      <w:proofErr w:type="spellEnd"/>
      <w:r w:rsidRPr="00611765">
        <w:rPr>
          <w:rFonts w:ascii="Arial" w:hAnsi="Arial" w:cs="Arial"/>
        </w:rPr>
        <w:t>) shall include disclosure regarding whether the investments of the respective separate account assets, if included within the general account investments, would have resulted with the reporting entity exceeding any investment limitations imposed on the general account.</w:t>
      </w:r>
    </w:p>
    <w:p w14:paraId="2922108B" w14:textId="77777777" w:rsidR="00CD6983" w:rsidRDefault="00611765" w:rsidP="00611765">
      <w:pPr>
        <w:pStyle w:val="ListNumber2"/>
        <w:numPr>
          <w:ilvl w:val="0"/>
          <w:numId w:val="32"/>
        </w:numPr>
        <w:spacing w:after="220"/>
        <w:ind w:firstLine="0"/>
        <w:jc w:val="both"/>
        <w:rPr>
          <w:rFonts w:ascii="Arial" w:hAnsi="Arial" w:cs="Arial"/>
        </w:rPr>
      </w:pPr>
      <w:r w:rsidRPr="00611765">
        <w:rPr>
          <w:rFonts w:ascii="Arial" w:hAnsi="Arial" w:cs="Arial"/>
        </w:rPr>
        <w:t xml:space="preserve">Identification of the separate account assets in which less than 100% of investment proceeds are attributed to a </w:t>
      </w:r>
      <w:proofErr w:type="spellStart"/>
      <w:r w:rsidRPr="00611765">
        <w:rPr>
          <w:rFonts w:ascii="Arial" w:hAnsi="Arial" w:cs="Arial"/>
        </w:rPr>
        <w:t>contractholder</w:t>
      </w:r>
      <w:proofErr w:type="spellEnd"/>
      <w:r w:rsidRPr="00611765">
        <w:rPr>
          <w:rFonts w:ascii="Arial" w:hAnsi="Arial" w:cs="Arial"/>
        </w:rPr>
        <w:t xml:space="preserve">. This shall include identification of the separate account investment income attributed to the reporting entity during the reporting period and whether such income was transferred to the general account or reinvested within the separate account. Instances in which such income is reinvested within the separate account shall include disclosure on whether the subsequent investments, if categorized with investments in the general account, would have exceeded investment limitations imposed on the general account.   </w:t>
      </w:r>
    </w:p>
    <w:p w14:paraId="5DF3D8CB" w14:textId="1C799C4C" w:rsidR="00CD6983" w:rsidRDefault="00CD6983" w:rsidP="00CD6983">
      <w:pPr>
        <w:pStyle w:val="ListContinue"/>
        <w:ind w:left="720"/>
        <w:rPr>
          <w:rFonts w:ascii="Arial" w:hAnsi="Arial" w:cs="Arial"/>
          <w:sz w:val="20"/>
        </w:rPr>
      </w:pPr>
      <w:r w:rsidRPr="00CD6983">
        <w:rPr>
          <w:rFonts w:ascii="Arial" w:hAnsi="Arial" w:cs="Arial"/>
          <w:sz w:val="20"/>
        </w:rPr>
        <w:t>39.</w:t>
      </w:r>
      <w:r w:rsidRPr="00CD6983">
        <w:rPr>
          <w:rFonts w:ascii="Arial" w:hAnsi="Arial" w:cs="Arial"/>
          <w:sz w:val="20"/>
        </w:rPr>
        <w:tab/>
      </w:r>
      <w:r w:rsidRPr="00CD6983">
        <w:rPr>
          <w:rFonts w:ascii="Arial" w:hAnsi="Arial" w:cs="Arial"/>
          <w:b/>
          <w:bCs/>
          <w:sz w:val="20"/>
        </w:rPr>
        <w:t>Identify all products reported as a separate account product under statutory accounting principles and identify whether each product was classified differently under GAAP.</w:t>
      </w:r>
      <w:r w:rsidRPr="00CD6983">
        <w:rPr>
          <w:rFonts w:ascii="Arial" w:hAnsi="Arial" w:cs="Arial"/>
          <w:sz w:val="20"/>
        </w:rPr>
        <w:t xml:space="preserve"> For products that resulted with different classifications between GAAP and SAP, identify the characteristic(s) of the product that prevented it from receiving a separate account classification under GAAP. This disclosure is applicable for all reporting entities. Thus, if GAAP financial statements were not filed, the reporting entity should complete this disclosure as if GAAP financials had been completed.</w:t>
      </w:r>
    </w:p>
    <w:tbl>
      <w:tblPr>
        <w:tblW w:w="10728" w:type="dxa"/>
        <w:tblInd w:w="-288" w:type="dxa"/>
        <w:tblLayout w:type="fixed"/>
        <w:tblLook w:val="0000" w:firstRow="0" w:lastRow="0" w:firstColumn="0" w:lastColumn="0" w:noHBand="0" w:noVBand="0"/>
      </w:tblPr>
      <w:tblGrid>
        <w:gridCol w:w="10728"/>
      </w:tblGrid>
      <w:tr w:rsidR="00F10BC9" w:rsidRPr="002546B4" w14:paraId="1B7241C4" w14:textId="77777777" w:rsidTr="00682A16">
        <w:tc>
          <w:tcPr>
            <w:tcW w:w="10728" w:type="dxa"/>
            <w:shd w:val="clear" w:color="auto" w:fill="auto"/>
          </w:tcPr>
          <w:p w14:paraId="557598C3" w14:textId="25206CCF" w:rsidR="00F10BC9" w:rsidRPr="00F10BC9" w:rsidRDefault="00F10BC9" w:rsidP="00F10BC9">
            <w:pPr>
              <w:tabs>
                <w:tab w:val="right" w:pos="360"/>
                <w:tab w:val="left" w:pos="540"/>
              </w:tabs>
              <w:spacing w:before="60" w:after="60"/>
              <w:ind w:left="540" w:hanging="540"/>
              <w:rPr>
                <w:b/>
                <w:sz w:val="22"/>
                <w:szCs w:val="22"/>
              </w:rPr>
            </w:pPr>
            <w:r w:rsidRPr="00F10BC9">
              <w:rPr>
                <w:b/>
                <w:sz w:val="22"/>
                <w:szCs w:val="22"/>
              </w:rPr>
              <w:t xml:space="preserve">The annual statement instructions as well as an example of note 1.01 are below. </w:t>
            </w:r>
          </w:p>
        </w:tc>
      </w:tr>
      <w:tr w:rsidR="00682A16" w:rsidRPr="002546B4" w14:paraId="2F0E8899" w14:textId="77777777" w:rsidTr="00682A16">
        <w:trPr>
          <w:trHeight w:val="1710"/>
        </w:trPr>
        <w:tc>
          <w:tcPr>
            <w:tcW w:w="10728" w:type="dxa"/>
            <w:shd w:val="clear" w:color="auto" w:fill="auto"/>
          </w:tcPr>
          <w:p w14:paraId="0767E903" w14:textId="0201B2C3" w:rsidR="008A1C85" w:rsidRDefault="00CD7546" w:rsidP="00CD7546">
            <w:pPr>
              <w:tabs>
                <w:tab w:val="left" w:pos="0"/>
                <w:tab w:val="left" w:pos="4305"/>
              </w:tabs>
              <w:spacing w:before="60" w:after="60"/>
              <w:jc w:val="both"/>
              <w:rPr>
                <w:rFonts w:ascii="Arial" w:hAnsi="Arial" w:cs="Arial"/>
                <w:sz w:val="20"/>
                <w:szCs w:val="20"/>
              </w:rPr>
            </w:pPr>
            <w:r>
              <w:rPr>
                <w:rFonts w:ascii="Arial" w:hAnsi="Arial" w:cs="Arial"/>
                <w:sz w:val="20"/>
                <w:szCs w:val="20"/>
              </w:rPr>
              <w:tab/>
            </w:r>
          </w:p>
          <w:p w14:paraId="7E2F4BB1" w14:textId="08322952" w:rsidR="00682A16" w:rsidRPr="00682A16" w:rsidRDefault="00682A16" w:rsidP="00682A16">
            <w:pPr>
              <w:tabs>
                <w:tab w:val="left" w:pos="0"/>
              </w:tabs>
              <w:spacing w:before="60" w:after="60"/>
              <w:jc w:val="both"/>
              <w:rPr>
                <w:rFonts w:ascii="Arial" w:hAnsi="Arial" w:cs="Arial"/>
                <w:b/>
                <w:bCs/>
                <w:sz w:val="20"/>
                <w:szCs w:val="20"/>
              </w:rPr>
            </w:pPr>
            <w:r>
              <w:rPr>
                <w:rFonts w:ascii="Arial" w:hAnsi="Arial" w:cs="Arial"/>
                <w:sz w:val="20"/>
                <w:szCs w:val="20"/>
              </w:rPr>
              <w:t xml:space="preserve">As the product identifier is used </w:t>
            </w:r>
            <w:r w:rsidRPr="00CD6983">
              <w:rPr>
                <w:rFonts w:ascii="Arial" w:hAnsi="Arial" w:cs="Arial"/>
                <w:b/>
                <w:bCs/>
                <w:sz w:val="20"/>
                <w:szCs w:val="20"/>
              </w:rPr>
              <w:t>throughout the interrogatory</w:t>
            </w:r>
            <w:r>
              <w:rPr>
                <w:rFonts w:ascii="Arial" w:hAnsi="Arial" w:cs="Arial"/>
                <w:b/>
                <w:bCs/>
                <w:sz w:val="20"/>
                <w:szCs w:val="20"/>
              </w:rPr>
              <w:t>, examples of other items potentially impacted are as follows:</w:t>
            </w:r>
          </w:p>
          <w:p w14:paraId="0B6820E1" w14:textId="3C52DB52" w:rsidR="00682A16" w:rsidRPr="00682A16" w:rsidRDefault="00682A16" w:rsidP="00682A16">
            <w:pPr>
              <w:tabs>
                <w:tab w:val="left" w:pos="625"/>
              </w:tabs>
              <w:spacing w:before="60" w:after="60"/>
              <w:ind w:left="625"/>
              <w:jc w:val="both"/>
              <w:rPr>
                <w:rFonts w:ascii="Arial" w:hAnsi="Arial" w:cs="Arial"/>
                <w:sz w:val="20"/>
                <w:szCs w:val="20"/>
              </w:rPr>
            </w:pPr>
            <w:r w:rsidRPr="00682A16">
              <w:rPr>
                <w:rFonts w:ascii="Arial" w:hAnsi="Arial" w:cs="Arial"/>
                <w:sz w:val="20"/>
                <w:szCs w:val="20"/>
              </w:rPr>
              <w:t>1.01A</w:t>
            </w:r>
            <w:r>
              <w:rPr>
                <w:rFonts w:ascii="Arial" w:hAnsi="Arial" w:cs="Arial"/>
                <w:sz w:val="20"/>
                <w:szCs w:val="20"/>
              </w:rPr>
              <w:t xml:space="preserve">   </w:t>
            </w:r>
            <w:r w:rsidRPr="00682A16">
              <w:rPr>
                <w:rFonts w:ascii="Arial" w:hAnsi="Arial" w:cs="Arial"/>
                <w:sz w:val="20"/>
                <w:szCs w:val="20"/>
              </w:rPr>
              <w:tab/>
              <w:t>For the products (and related assets) that are not registered with the SEC, identify whether the products are considered private placement variable annuity products or private placement life insurance.</w:t>
            </w:r>
          </w:p>
          <w:p w14:paraId="496D9133" w14:textId="77F5A6A5" w:rsidR="00682A16" w:rsidRDefault="00682A16" w:rsidP="00682A16">
            <w:pPr>
              <w:tabs>
                <w:tab w:val="left" w:pos="0"/>
              </w:tabs>
              <w:spacing w:before="60" w:after="60"/>
              <w:jc w:val="both"/>
              <w:rPr>
                <w:rFonts w:ascii="Arial" w:hAnsi="Arial" w:cs="Arial"/>
                <w:b/>
                <w:bCs/>
                <w:sz w:val="20"/>
                <w:szCs w:val="20"/>
              </w:rPr>
            </w:pPr>
          </w:p>
          <w:tbl>
            <w:tblPr>
              <w:tblW w:w="7966" w:type="dxa"/>
              <w:tblInd w:w="576" w:type="dxa"/>
              <w:tblLayout w:type="fixed"/>
              <w:tblLook w:val="0000" w:firstRow="0" w:lastRow="0" w:firstColumn="0" w:lastColumn="0" w:noHBand="0" w:noVBand="0"/>
            </w:tblPr>
            <w:tblGrid>
              <w:gridCol w:w="2116"/>
              <w:gridCol w:w="2165"/>
              <w:gridCol w:w="2010"/>
              <w:gridCol w:w="1675"/>
            </w:tblGrid>
            <w:tr w:rsidR="00682A16" w:rsidRPr="00924278" w14:paraId="31353BB7" w14:textId="77777777" w:rsidTr="00766C43">
              <w:trPr>
                <w:cantSplit/>
                <w:trHeight w:val="120"/>
              </w:trPr>
              <w:tc>
                <w:tcPr>
                  <w:tcW w:w="2116" w:type="dxa"/>
                  <w:vMerge w:val="restart"/>
                  <w:tcBorders>
                    <w:top w:val="single" w:sz="6" w:space="0" w:color="auto"/>
                    <w:left w:val="single" w:sz="6" w:space="0" w:color="auto"/>
                    <w:right w:val="single" w:sz="6" w:space="0" w:color="auto"/>
                  </w:tcBorders>
                  <w:shd w:val="clear" w:color="auto" w:fill="auto"/>
                </w:tcPr>
                <w:p w14:paraId="75C4F14A"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1F698AD6" w14:textId="77777777" w:rsidR="00682A16" w:rsidRPr="00682A16" w:rsidRDefault="00682A16" w:rsidP="00682A16">
                  <w:pPr>
                    <w:jc w:val="center"/>
                    <w:rPr>
                      <w:rFonts w:ascii="Arial" w:hAnsi="Arial" w:cs="Arial"/>
                      <w:sz w:val="14"/>
                    </w:rPr>
                  </w:pPr>
                </w:p>
                <w:p w14:paraId="2EFFFD66" w14:textId="77777777" w:rsidR="00682A16" w:rsidRPr="00682A16" w:rsidRDefault="00682A16" w:rsidP="00682A16">
                  <w:pPr>
                    <w:jc w:val="center"/>
                    <w:rPr>
                      <w:rFonts w:ascii="Arial" w:hAnsi="Arial" w:cs="Arial"/>
                      <w:sz w:val="14"/>
                    </w:rPr>
                  </w:pPr>
                </w:p>
                <w:p w14:paraId="2DA8FABD"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5850" w:type="dxa"/>
                  <w:gridSpan w:val="3"/>
                  <w:tcBorders>
                    <w:top w:val="single" w:sz="6" w:space="0" w:color="auto"/>
                    <w:left w:val="single" w:sz="6" w:space="0" w:color="auto"/>
                    <w:bottom w:val="single" w:sz="4" w:space="0" w:color="auto"/>
                    <w:right w:val="single" w:sz="6" w:space="0" w:color="auto"/>
                  </w:tcBorders>
                  <w:shd w:val="clear" w:color="auto" w:fill="auto"/>
                </w:tcPr>
                <w:p w14:paraId="46A7DF7B" w14:textId="77777777" w:rsidR="00682A16" w:rsidRPr="00682A16" w:rsidRDefault="00682A16" w:rsidP="00682A16">
                  <w:pPr>
                    <w:jc w:val="center"/>
                    <w:rPr>
                      <w:rFonts w:ascii="Arial" w:hAnsi="Arial" w:cs="Arial"/>
                      <w:sz w:val="14"/>
                    </w:rPr>
                  </w:pPr>
                  <w:r w:rsidRPr="00682A16">
                    <w:rPr>
                      <w:rFonts w:ascii="Arial" w:hAnsi="Arial" w:cs="Arial"/>
                      <w:sz w:val="14"/>
                    </w:rPr>
                    <w:t>Not Registered with SEC</w:t>
                  </w:r>
                </w:p>
              </w:tc>
            </w:tr>
            <w:tr w:rsidR="00682A16" w:rsidRPr="00924278" w14:paraId="3F4CEC5B" w14:textId="77777777" w:rsidTr="00766C43">
              <w:trPr>
                <w:cantSplit/>
              </w:trPr>
              <w:tc>
                <w:tcPr>
                  <w:tcW w:w="2116" w:type="dxa"/>
                  <w:vMerge/>
                  <w:tcBorders>
                    <w:left w:val="single" w:sz="6" w:space="0" w:color="auto"/>
                    <w:bottom w:val="single" w:sz="6" w:space="0" w:color="auto"/>
                    <w:right w:val="single" w:sz="6" w:space="0" w:color="auto"/>
                  </w:tcBorders>
                  <w:shd w:val="clear" w:color="auto" w:fill="auto"/>
                  <w:vAlign w:val="bottom"/>
                </w:tcPr>
                <w:p w14:paraId="6240A0A3" w14:textId="77777777" w:rsidR="00682A16" w:rsidRPr="00682A16" w:rsidRDefault="00682A16" w:rsidP="00682A16">
                  <w:pPr>
                    <w:jc w:val="center"/>
                    <w:rPr>
                      <w:rFonts w:ascii="Arial" w:hAnsi="Arial" w:cs="Arial"/>
                      <w:sz w:val="14"/>
                    </w:rPr>
                  </w:pPr>
                </w:p>
              </w:tc>
              <w:tc>
                <w:tcPr>
                  <w:tcW w:w="2165" w:type="dxa"/>
                  <w:tcBorders>
                    <w:top w:val="single" w:sz="4" w:space="0" w:color="auto"/>
                    <w:left w:val="single" w:sz="6" w:space="0" w:color="auto"/>
                    <w:bottom w:val="single" w:sz="6" w:space="0" w:color="auto"/>
                    <w:right w:val="single" w:sz="6" w:space="0" w:color="auto"/>
                  </w:tcBorders>
                  <w:shd w:val="clear" w:color="auto" w:fill="auto"/>
                </w:tcPr>
                <w:p w14:paraId="645F8027"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3EC44A6F"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Variable Annuity</w:t>
                  </w:r>
                </w:p>
              </w:tc>
              <w:tc>
                <w:tcPr>
                  <w:tcW w:w="2010" w:type="dxa"/>
                  <w:tcBorders>
                    <w:top w:val="single" w:sz="4" w:space="0" w:color="auto"/>
                    <w:left w:val="single" w:sz="6" w:space="0" w:color="auto"/>
                    <w:bottom w:val="single" w:sz="6" w:space="0" w:color="auto"/>
                    <w:right w:val="single" w:sz="6" w:space="0" w:color="auto"/>
                  </w:tcBorders>
                  <w:shd w:val="clear" w:color="auto" w:fill="auto"/>
                </w:tcPr>
                <w:p w14:paraId="0B685E3E"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3DF422CD" w14:textId="77777777" w:rsidR="00682A16" w:rsidRPr="00682A16" w:rsidRDefault="00682A16" w:rsidP="00682A16">
                  <w:pPr>
                    <w:jc w:val="center"/>
                    <w:rPr>
                      <w:rFonts w:ascii="Arial" w:hAnsi="Arial" w:cs="Arial"/>
                      <w:sz w:val="14"/>
                    </w:rPr>
                  </w:pPr>
                  <w:r w:rsidRPr="00682A16">
                    <w:rPr>
                      <w:rFonts w:ascii="Arial" w:hAnsi="Arial" w:cs="Arial"/>
                      <w:sz w:val="14"/>
                      <w:szCs w:val="14"/>
                    </w:rPr>
                    <w:t>Private Placement Life Insurance</w:t>
                  </w:r>
                </w:p>
              </w:tc>
              <w:tc>
                <w:tcPr>
                  <w:tcW w:w="1675" w:type="dxa"/>
                  <w:tcBorders>
                    <w:top w:val="single" w:sz="4" w:space="0" w:color="auto"/>
                    <w:left w:val="single" w:sz="6" w:space="0" w:color="auto"/>
                    <w:bottom w:val="single" w:sz="6" w:space="0" w:color="auto"/>
                    <w:right w:val="single" w:sz="6" w:space="0" w:color="auto"/>
                  </w:tcBorders>
                  <w:shd w:val="clear" w:color="auto" w:fill="auto"/>
                </w:tcPr>
                <w:p w14:paraId="59E7E7BD"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0B232A0" w14:textId="77777777" w:rsidR="00682A16" w:rsidRPr="00682A16" w:rsidRDefault="00682A16" w:rsidP="00682A16">
                  <w:pPr>
                    <w:jc w:val="center"/>
                    <w:rPr>
                      <w:rFonts w:ascii="Arial" w:hAnsi="Arial" w:cs="Arial"/>
                      <w:sz w:val="14"/>
                    </w:rPr>
                  </w:pPr>
                  <w:r w:rsidRPr="00682A16">
                    <w:rPr>
                      <w:rFonts w:ascii="Arial" w:hAnsi="Arial" w:cs="Arial"/>
                      <w:sz w:val="14"/>
                    </w:rPr>
                    <w:t>Other (Not PPVA or PPLI)</w:t>
                  </w:r>
                </w:p>
              </w:tc>
            </w:tr>
            <w:tr w:rsidR="00682A16" w:rsidRPr="00924278" w14:paraId="6129EB87"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5143CCC"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6D1A80"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89E89C7"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151852B7" w14:textId="77777777" w:rsidR="00682A16" w:rsidRPr="00682A16" w:rsidRDefault="00682A16" w:rsidP="00682A16">
                  <w:pPr>
                    <w:rPr>
                      <w:rFonts w:ascii="Arial" w:hAnsi="Arial" w:cs="Arial"/>
                      <w:sz w:val="14"/>
                    </w:rPr>
                  </w:pPr>
                </w:p>
              </w:tc>
            </w:tr>
            <w:tr w:rsidR="00682A16" w:rsidRPr="00924278" w14:paraId="42E5D5BA"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203D8AF6"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7408CEF0"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10F7C9A6"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CFF8D8B" w14:textId="77777777" w:rsidR="00682A16" w:rsidRPr="00682A16" w:rsidRDefault="00682A16" w:rsidP="00682A16">
                  <w:pPr>
                    <w:rPr>
                      <w:rFonts w:ascii="Arial" w:hAnsi="Arial" w:cs="Arial"/>
                      <w:sz w:val="14"/>
                    </w:rPr>
                  </w:pPr>
                </w:p>
              </w:tc>
            </w:tr>
            <w:tr w:rsidR="00682A16" w:rsidRPr="00924278" w14:paraId="3EAADC9C"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06451E4F" w14:textId="77777777" w:rsidR="00682A16" w:rsidRPr="00682A16" w:rsidRDefault="00682A16" w:rsidP="00682A16">
                  <w:pPr>
                    <w:rPr>
                      <w:rFonts w:ascii="Arial" w:hAnsi="Arial" w:cs="Arial"/>
                      <w:sz w:val="14"/>
                    </w:rPr>
                  </w:pP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24A87918" w14:textId="77777777" w:rsidR="00682A16" w:rsidRPr="00682A16" w:rsidRDefault="00682A16" w:rsidP="00682A16">
                  <w:pPr>
                    <w:rPr>
                      <w:rFonts w:ascii="Arial" w:hAnsi="Arial" w:cs="Arial"/>
                      <w:sz w:val="14"/>
                    </w:rPr>
                  </w:pP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6E3A50A1" w14:textId="77777777" w:rsidR="00682A16" w:rsidRPr="00682A16" w:rsidRDefault="00682A16" w:rsidP="00682A16">
                  <w:pP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4E341232" w14:textId="77777777" w:rsidR="00682A16" w:rsidRPr="00682A16" w:rsidRDefault="00682A16" w:rsidP="00682A16">
                  <w:pPr>
                    <w:rPr>
                      <w:rFonts w:ascii="Arial" w:hAnsi="Arial" w:cs="Arial"/>
                      <w:sz w:val="14"/>
                    </w:rPr>
                  </w:pPr>
                </w:p>
              </w:tc>
            </w:tr>
            <w:tr w:rsidR="00682A16" w:rsidRPr="002546B4" w14:paraId="60731ABD" w14:textId="77777777" w:rsidTr="00766C43">
              <w:trPr>
                <w:cantSplit/>
              </w:trPr>
              <w:tc>
                <w:tcPr>
                  <w:tcW w:w="2116" w:type="dxa"/>
                  <w:tcBorders>
                    <w:top w:val="single" w:sz="6" w:space="0" w:color="auto"/>
                    <w:left w:val="single" w:sz="6" w:space="0" w:color="auto"/>
                    <w:bottom w:val="single" w:sz="6" w:space="0" w:color="auto"/>
                    <w:right w:val="single" w:sz="6" w:space="0" w:color="auto"/>
                  </w:tcBorders>
                  <w:shd w:val="clear" w:color="auto" w:fill="auto"/>
                </w:tcPr>
                <w:p w14:paraId="3BDE1B59" w14:textId="77777777" w:rsidR="00682A16" w:rsidRPr="00682A16" w:rsidRDefault="00682A16" w:rsidP="00682A16">
                  <w:pPr>
                    <w:jc w:val="right"/>
                    <w:rPr>
                      <w:rFonts w:ascii="Arial" w:hAnsi="Arial" w:cs="Arial"/>
                      <w:sz w:val="14"/>
                    </w:rPr>
                  </w:pPr>
                  <w:r w:rsidRPr="00682A16">
                    <w:rPr>
                      <w:rFonts w:ascii="Arial" w:hAnsi="Arial" w:cs="Arial"/>
                      <w:sz w:val="14"/>
                    </w:rPr>
                    <w:t>Totals</w:t>
                  </w:r>
                </w:p>
              </w:tc>
              <w:tc>
                <w:tcPr>
                  <w:tcW w:w="2165" w:type="dxa"/>
                  <w:tcBorders>
                    <w:top w:val="single" w:sz="6" w:space="0" w:color="auto"/>
                    <w:left w:val="single" w:sz="6" w:space="0" w:color="auto"/>
                    <w:bottom w:val="single" w:sz="6" w:space="0" w:color="auto"/>
                    <w:right w:val="single" w:sz="6" w:space="0" w:color="auto"/>
                  </w:tcBorders>
                  <w:shd w:val="clear" w:color="auto" w:fill="auto"/>
                </w:tcPr>
                <w:p w14:paraId="52CBF488" w14:textId="77777777" w:rsidR="00682A16" w:rsidRPr="00682A16" w:rsidRDefault="00682A16" w:rsidP="00682A16">
                  <w:pPr>
                    <w:rPr>
                      <w:rFonts w:ascii="Arial" w:hAnsi="Arial" w:cs="Arial"/>
                      <w:sz w:val="14"/>
                    </w:rPr>
                  </w:pPr>
                  <w:r w:rsidRPr="00682A16">
                    <w:rPr>
                      <w:rFonts w:ascii="Arial" w:hAnsi="Arial" w:cs="Arial"/>
                      <w:sz w:val="14"/>
                    </w:rPr>
                    <w:t>$</w:t>
                  </w:r>
                </w:p>
              </w:tc>
              <w:tc>
                <w:tcPr>
                  <w:tcW w:w="2010" w:type="dxa"/>
                  <w:tcBorders>
                    <w:top w:val="single" w:sz="6" w:space="0" w:color="auto"/>
                    <w:left w:val="single" w:sz="6" w:space="0" w:color="auto"/>
                    <w:bottom w:val="single" w:sz="6" w:space="0" w:color="auto"/>
                    <w:right w:val="single" w:sz="6" w:space="0" w:color="auto"/>
                  </w:tcBorders>
                  <w:shd w:val="clear" w:color="auto" w:fill="auto"/>
                </w:tcPr>
                <w:p w14:paraId="7570DF04" w14:textId="77777777" w:rsidR="00682A16" w:rsidRPr="00682A16" w:rsidRDefault="00682A16" w:rsidP="00682A16">
                  <w:pPr>
                    <w:jc w:val="center"/>
                    <w:rPr>
                      <w:rFonts w:ascii="Arial" w:hAnsi="Arial" w:cs="Arial"/>
                      <w:sz w:val="14"/>
                    </w:rPr>
                  </w:pPr>
                </w:p>
              </w:tc>
              <w:tc>
                <w:tcPr>
                  <w:tcW w:w="1675" w:type="dxa"/>
                  <w:tcBorders>
                    <w:top w:val="single" w:sz="6" w:space="0" w:color="auto"/>
                    <w:left w:val="single" w:sz="6" w:space="0" w:color="auto"/>
                    <w:bottom w:val="single" w:sz="6" w:space="0" w:color="auto"/>
                    <w:right w:val="single" w:sz="6" w:space="0" w:color="auto"/>
                  </w:tcBorders>
                  <w:shd w:val="clear" w:color="auto" w:fill="auto"/>
                </w:tcPr>
                <w:p w14:paraId="0628A5F3" w14:textId="77777777" w:rsidR="00682A16" w:rsidRPr="00682A16" w:rsidRDefault="00682A16" w:rsidP="00682A16">
                  <w:pPr>
                    <w:jc w:val="center"/>
                    <w:rPr>
                      <w:rFonts w:ascii="Arial" w:hAnsi="Arial" w:cs="Arial"/>
                      <w:sz w:val="14"/>
                    </w:rPr>
                  </w:pPr>
                </w:p>
              </w:tc>
            </w:tr>
          </w:tbl>
          <w:p w14:paraId="2607012D" w14:textId="1E599C4E" w:rsidR="00682A16" w:rsidRDefault="00682A16" w:rsidP="00682A16">
            <w:pPr>
              <w:tabs>
                <w:tab w:val="left" w:pos="0"/>
              </w:tabs>
              <w:spacing w:before="60" w:after="60"/>
              <w:jc w:val="both"/>
              <w:rPr>
                <w:rFonts w:ascii="Arial" w:hAnsi="Arial" w:cs="Arial"/>
                <w:b/>
                <w:bCs/>
                <w:sz w:val="20"/>
                <w:szCs w:val="20"/>
              </w:rPr>
            </w:pPr>
          </w:p>
          <w:p w14:paraId="6ECE2AB5" w14:textId="74289C78" w:rsidR="00682A16" w:rsidRPr="00682A16" w:rsidRDefault="00682A16" w:rsidP="00682A16">
            <w:pPr>
              <w:tabs>
                <w:tab w:val="left" w:pos="715"/>
              </w:tabs>
              <w:spacing w:before="60" w:after="60"/>
              <w:ind w:left="715"/>
              <w:jc w:val="both"/>
              <w:rPr>
                <w:rFonts w:ascii="Arial" w:hAnsi="Arial" w:cs="Arial"/>
                <w:b/>
                <w:sz w:val="20"/>
                <w:szCs w:val="20"/>
              </w:rPr>
            </w:pPr>
            <w:r w:rsidRPr="00682A16">
              <w:rPr>
                <w:rFonts w:ascii="Arial" w:hAnsi="Arial" w:cs="Arial"/>
                <w:b/>
                <w:sz w:val="20"/>
                <w:szCs w:val="20"/>
              </w:rPr>
              <w:t>Allocation of Investment Proceeds of Separate Account Activity</w:t>
            </w:r>
          </w:p>
          <w:p w14:paraId="55079357" w14:textId="777F01B5" w:rsidR="00682A16" w:rsidRPr="00682A16" w:rsidRDefault="00682A16" w:rsidP="00682A16">
            <w:pPr>
              <w:tabs>
                <w:tab w:val="left" w:pos="715"/>
              </w:tabs>
              <w:spacing w:before="60" w:after="60"/>
              <w:ind w:left="715"/>
              <w:jc w:val="both"/>
              <w:rPr>
                <w:rFonts w:ascii="Arial" w:hAnsi="Arial" w:cs="Arial"/>
                <w:sz w:val="20"/>
                <w:szCs w:val="20"/>
              </w:rPr>
            </w:pPr>
            <w:r w:rsidRPr="00682A16">
              <w:rPr>
                <w:rFonts w:ascii="Arial" w:hAnsi="Arial" w:cs="Arial"/>
                <w:sz w:val="20"/>
                <w:szCs w:val="20"/>
              </w:rPr>
              <w:lastRenderedPageBreak/>
              <w:t>4.1       Does the reporting entity have separate account assets in which less than 100% of investment proceeds (net of contract fees and assessments) are attributed to a contract holder? (This should identify any situations where there is a ceiling on investment performance results.)</w:t>
            </w:r>
          </w:p>
          <w:p w14:paraId="5E71632E" w14:textId="3EF6C13D" w:rsidR="00682A16" w:rsidRPr="00682A16" w:rsidRDefault="00682A16" w:rsidP="00682A16">
            <w:pPr>
              <w:tabs>
                <w:tab w:val="left" w:pos="715"/>
              </w:tabs>
              <w:spacing w:before="60" w:after="60"/>
              <w:ind w:left="715"/>
              <w:jc w:val="both"/>
              <w:rPr>
                <w:rFonts w:ascii="Arial" w:hAnsi="Arial" w:cs="Arial"/>
                <w:sz w:val="20"/>
                <w:szCs w:val="20"/>
              </w:rPr>
            </w:pPr>
          </w:p>
          <w:p w14:paraId="51ADB886" w14:textId="243BFAA7" w:rsidR="00682A16" w:rsidRPr="00682A16" w:rsidRDefault="00682A16" w:rsidP="00682A16">
            <w:pPr>
              <w:pStyle w:val="ListParagraph"/>
              <w:numPr>
                <w:ilvl w:val="1"/>
                <w:numId w:val="37"/>
              </w:numPr>
              <w:tabs>
                <w:tab w:val="left" w:pos="715"/>
              </w:tabs>
              <w:spacing w:before="60" w:after="60"/>
              <w:ind w:left="715" w:firstLine="0"/>
              <w:jc w:val="both"/>
              <w:rPr>
                <w:rFonts w:ascii="Arial" w:hAnsi="Arial" w:cs="Arial"/>
                <w:sz w:val="20"/>
                <w:szCs w:val="20"/>
              </w:rPr>
            </w:pPr>
            <w:r w:rsidRPr="00682A16">
              <w:rPr>
                <w:rFonts w:ascii="Arial" w:hAnsi="Arial" w:cs="Arial"/>
                <w:sz w:val="20"/>
                <w:szCs w:val="20"/>
              </w:rPr>
              <w:t xml:space="preserve"> If yes, provide detail on the net investment proceeds that were attributed to the contract holder, transferred to the general account and reinvested within the separate account: </w:t>
            </w:r>
          </w:p>
          <w:tbl>
            <w:tblPr>
              <w:tblW w:w="7380" w:type="dxa"/>
              <w:jc w:val="center"/>
              <w:tblLayout w:type="fixed"/>
              <w:tblLook w:val="0000" w:firstRow="0" w:lastRow="0" w:firstColumn="0" w:lastColumn="0" w:noHBand="0" w:noVBand="0"/>
            </w:tblPr>
            <w:tblGrid>
              <w:gridCol w:w="1504"/>
              <w:gridCol w:w="1196"/>
              <w:gridCol w:w="1440"/>
              <w:gridCol w:w="1620"/>
              <w:gridCol w:w="1620"/>
            </w:tblGrid>
            <w:tr w:rsidR="00682A16" w:rsidRPr="00D63785" w14:paraId="46FD7D84"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A921517" w14:textId="77777777" w:rsidR="00682A16" w:rsidRPr="00682A16" w:rsidRDefault="00682A16" w:rsidP="00682A16">
                  <w:pPr>
                    <w:jc w:val="center"/>
                    <w:rPr>
                      <w:rFonts w:ascii="Arial" w:hAnsi="Arial" w:cs="Arial"/>
                      <w:sz w:val="14"/>
                    </w:rPr>
                  </w:pPr>
                  <w:r w:rsidRPr="00682A16">
                    <w:rPr>
                      <w:rFonts w:ascii="Arial" w:hAnsi="Arial" w:cs="Arial"/>
                      <w:sz w:val="14"/>
                    </w:rPr>
                    <w:t>1</w:t>
                  </w:r>
                </w:p>
                <w:p w14:paraId="213FD4FF" w14:textId="77777777" w:rsidR="00682A16" w:rsidRPr="00682A16" w:rsidRDefault="00682A16" w:rsidP="00682A16">
                  <w:pPr>
                    <w:jc w:val="center"/>
                    <w:rPr>
                      <w:rFonts w:ascii="Arial" w:hAnsi="Arial" w:cs="Arial"/>
                      <w:sz w:val="14"/>
                    </w:rPr>
                  </w:pPr>
                </w:p>
                <w:p w14:paraId="28DAF29C" w14:textId="77777777" w:rsidR="00682A16" w:rsidRPr="00682A16" w:rsidRDefault="00682A16" w:rsidP="00682A16">
                  <w:pPr>
                    <w:jc w:val="center"/>
                    <w:rPr>
                      <w:rFonts w:ascii="Arial" w:hAnsi="Arial" w:cs="Arial"/>
                      <w:sz w:val="14"/>
                    </w:rPr>
                  </w:pPr>
                  <w:r w:rsidRPr="00682A16">
                    <w:rPr>
                      <w:rFonts w:ascii="Arial" w:hAnsi="Arial" w:cs="Arial"/>
                      <w:sz w:val="14"/>
                    </w:rPr>
                    <w:t>Product Identifier</w:t>
                  </w:r>
                </w:p>
              </w:tc>
              <w:tc>
                <w:tcPr>
                  <w:tcW w:w="1196" w:type="dxa"/>
                  <w:tcBorders>
                    <w:top w:val="single" w:sz="6" w:space="0" w:color="auto"/>
                    <w:left w:val="single" w:sz="6" w:space="0" w:color="auto"/>
                    <w:bottom w:val="single" w:sz="6" w:space="0" w:color="auto"/>
                    <w:right w:val="single" w:sz="6" w:space="0" w:color="auto"/>
                  </w:tcBorders>
                </w:tcPr>
                <w:p w14:paraId="729A1872" w14:textId="77777777" w:rsidR="00682A16" w:rsidRPr="00682A16" w:rsidRDefault="00682A16" w:rsidP="00682A16">
                  <w:pPr>
                    <w:jc w:val="center"/>
                    <w:rPr>
                      <w:rFonts w:ascii="Arial" w:hAnsi="Arial" w:cs="Arial"/>
                      <w:sz w:val="14"/>
                    </w:rPr>
                  </w:pPr>
                  <w:r w:rsidRPr="00682A16">
                    <w:rPr>
                      <w:rFonts w:ascii="Arial" w:hAnsi="Arial" w:cs="Arial"/>
                      <w:sz w:val="14"/>
                    </w:rPr>
                    <w:t>2</w:t>
                  </w:r>
                </w:p>
                <w:p w14:paraId="1CA8BC16" w14:textId="77777777" w:rsidR="00682A16" w:rsidRPr="00682A16" w:rsidRDefault="00682A16" w:rsidP="00682A16">
                  <w:pPr>
                    <w:jc w:val="center"/>
                    <w:rPr>
                      <w:rFonts w:ascii="Arial" w:hAnsi="Arial" w:cs="Arial"/>
                      <w:sz w:val="14"/>
                    </w:rPr>
                  </w:pPr>
                  <w:r w:rsidRPr="00682A16">
                    <w:rPr>
                      <w:rFonts w:ascii="Arial" w:hAnsi="Arial" w:cs="Arial"/>
                      <w:sz w:val="14"/>
                    </w:rPr>
                    <w:t>Net Investment Proceeds</w:t>
                  </w:r>
                </w:p>
              </w:tc>
              <w:tc>
                <w:tcPr>
                  <w:tcW w:w="1440" w:type="dxa"/>
                  <w:tcBorders>
                    <w:top w:val="single" w:sz="6" w:space="0" w:color="auto"/>
                    <w:left w:val="single" w:sz="6" w:space="0" w:color="auto"/>
                    <w:bottom w:val="single" w:sz="6" w:space="0" w:color="auto"/>
                    <w:right w:val="single" w:sz="6" w:space="0" w:color="auto"/>
                  </w:tcBorders>
                </w:tcPr>
                <w:p w14:paraId="10445669" w14:textId="77777777" w:rsidR="00682A16" w:rsidRPr="00682A16" w:rsidRDefault="00682A16" w:rsidP="00682A16">
                  <w:pPr>
                    <w:jc w:val="center"/>
                    <w:rPr>
                      <w:rFonts w:ascii="Arial" w:hAnsi="Arial" w:cs="Arial"/>
                      <w:sz w:val="14"/>
                    </w:rPr>
                  </w:pPr>
                  <w:r w:rsidRPr="00682A16">
                    <w:rPr>
                      <w:rFonts w:ascii="Arial" w:hAnsi="Arial" w:cs="Arial"/>
                      <w:sz w:val="14"/>
                    </w:rPr>
                    <w:t>3</w:t>
                  </w:r>
                </w:p>
                <w:p w14:paraId="28B3B963" w14:textId="77777777" w:rsidR="00682A16" w:rsidRPr="00682A16" w:rsidRDefault="00682A16" w:rsidP="00682A16">
                  <w:pPr>
                    <w:jc w:val="center"/>
                    <w:rPr>
                      <w:rFonts w:ascii="Arial" w:hAnsi="Arial" w:cs="Arial"/>
                      <w:sz w:val="14"/>
                    </w:rPr>
                  </w:pPr>
                  <w:r w:rsidRPr="00682A16">
                    <w:rPr>
                      <w:rFonts w:ascii="Arial" w:hAnsi="Arial" w:cs="Arial"/>
                      <w:sz w:val="14"/>
                    </w:rPr>
                    <w:t>Attributed to Contract Holder</w:t>
                  </w:r>
                </w:p>
              </w:tc>
              <w:tc>
                <w:tcPr>
                  <w:tcW w:w="1620" w:type="dxa"/>
                  <w:tcBorders>
                    <w:top w:val="single" w:sz="6" w:space="0" w:color="auto"/>
                    <w:left w:val="single" w:sz="6" w:space="0" w:color="auto"/>
                    <w:bottom w:val="single" w:sz="6" w:space="0" w:color="auto"/>
                    <w:right w:val="single" w:sz="6" w:space="0" w:color="auto"/>
                  </w:tcBorders>
                </w:tcPr>
                <w:p w14:paraId="11DBCA22" w14:textId="77777777" w:rsidR="00682A16" w:rsidRPr="00682A16" w:rsidRDefault="00682A16" w:rsidP="00682A16">
                  <w:pPr>
                    <w:jc w:val="center"/>
                    <w:rPr>
                      <w:rFonts w:ascii="Arial" w:hAnsi="Arial" w:cs="Arial"/>
                      <w:sz w:val="14"/>
                    </w:rPr>
                  </w:pPr>
                  <w:r w:rsidRPr="00682A16">
                    <w:rPr>
                      <w:rFonts w:ascii="Arial" w:hAnsi="Arial" w:cs="Arial"/>
                      <w:sz w:val="14"/>
                    </w:rPr>
                    <w:t>4</w:t>
                  </w:r>
                </w:p>
                <w:p w14:paraId="37E6328C" w14:textId="77777777" w:rsidR="00682A16" w:rsidRPr="00682A16" w:rsidRDefault="00682A16" w:rsidP="00682A16">
                  <w:pPr>
                    <w:jc w:val="center"/>
                    <w:rPr>
                      <w:rFonts w:ascii="Arial" w:hAnsi="Arial" w:cs="Arial"/>
                      <w:sz w:val="14"/>
                    </w:rPr>
                  </w:pPr>
                  <w:r w:rsidRPr="00682A16">
                    <w:rPr>
                      <w:rFonts w:ascii="Arial" w:hAnsi="Arial" w:cs="Arial"/>
                      <w:sz w:val="14"/>
                    </w:rPr>
                    <w:t>Transferred to General Account</w:t>
                  </w:r>
                </w:p>
              </w:tc>
              <w:tc>
                <w:tcPr>
                  <w:tcW w:w="1620" w:type="dxa"/>
                  <w:tcBorders>
                    <w:top w:val="single" w:sz="6" w:space="0" w:color="auto"/>
                    <w:left w:val="single" w:sz="6" w:space="0" w:color="auto"/>
                    <w:bottom w:val="single" w:sz="6" w:space="0" w:color="auto"/>
                    <w:right w:val="single" w:sz="6" w:space="0" w:color="auto"/>
                  </w:tcBorders>
                </w:tcPr>
                <w:p w14:paraId="152E078B" w14:textId="77777777" w:rsidR="00682A16" w:rsidRPr="00682A16" w:rsidRDefault="00682A16" w:rsidP="00682A16">
                  <w:pPr>
                    <w:jc w:val="center"/>
                    <w:rPr>
                      <w:rFonts w:ascii="Arial" w:hAnsi="Arial" w:cs="Arial"/>
                      <w:sz w:val="14"/>
                    </w:rPr>
                  </w:pPr>
                  <w:r w:rsidRPr="00682A16">
                    <w:rPr>
                      <w:rFonts w:ascii="Arial" w:hAnsi="Arial" w:cs="Arial"/>
                      <w:sz w:val="14"/>
                    </w:rPr>
                    <w:t>5</w:t>
                  </w:r>
                </w:p>
                <w:p w14:paraId="21E41B71" w14:textId="77777777" w:rsidR="00682A16" w:rsidRPr="00682A16" w:rsidRDefault="00682A16" w:rsidP="00682A16">
                  <w:pPr>
                    <w:jc w:val="center"/>
                    <w:rPr>
                      <w:rFonts w:ascii="Arial" w:hAnsi="Arial" w:cs="Arial"/>
                      <w:sz w:val="14"/>
                    </w:rPr>
                  </w:pPr>
                  <w:r w:rsidRPr="00682A16">
                    <w:rPr>
                      <w:rFonts w:ascii="Arial" w:hAnsi="Arial" w:cs="Arial"/>
                      <w:sz w:val="14"/>
                    </w:rPr>
                    <w:t>Reinvested Within the Separate Account</w:t>
                  </w:r>
                </w:p>
              </w:tc>
            </w:tr>
            <w:tr w:rsidR="00682A16" w:rsidRPr="00D63785" w14:paraId="02EBE72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05C50507"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25E8960"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2FC90BAE"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4ED1E9F4"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66090403"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7B61A666"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2F0F3A2E"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37B1FB"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51B3CEA9"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0C198F"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3D3D7FEE" w14:textId="77777777" w:rsidR="00682A16" w:rsidRPr="00682A16" w:rsidRDefault="00682A16" w:rsidP="00682A16">
                  <w:pPr>
                    <w:rPr>
                      <w:rFonts w:ascii="Arial" w:hAnsi="Arial" w:cs="Arial"/>
                      <w:sz w:val="14"/>
                    </w:rPr>
                  </w:pPr>
                  <w:r w:rsidRPr="00682A16">
                    <w:rPr>
                      <w:rFonts w:ascii="Arial" w:hAnsi="Arial" w:cs="Arial"/>
                      <w:sz w:val="14"/>
                    </w:rPr>
                    <w:t>$</w:t>
                  </w:r>
                </w:p>
              </w:tc>
            </w:tr>
            <w:tr w:rsidR="00682A16" w:rsidRPr="00D63785" w14:paraId="112755E5" w14:textId="77777777" w:rsidTr="00766C43">
              <w:trPr>
                <w:cantSplit/>
                <w:jc w:val="center"/>
              </w:trPr>
              <w:tc>
                <w:tcPr>
                  <w:tcW w:w="1504" w:type="dxa"/>
                  <w:tcBorders>
                    <w:top w:val="single" w:sz="6" w:space="0" w:color="auto"/>
                    <w:left w:val="single" w:sz="6" w:space="0" w:color="auto"/>
                    <w:bottom w:val="single" w:sz="6" w:space="0" w:color="auto"/>
                    <w:right w:val="single" w:sz="6" w:space="0" w:color="auto"/>
                  </w:tcBorders>
                </w:tcPr>
                <w:p w14:paraId="6C398832" w14:textId="77777777" w:rsidR="00682A16" w:rsidRPr="00682A16" w:rsidRDefault="00682A16" w:rsidP="00682A16">
                  <w:pPr>
                    <w:rPr>
                      <w:rFonts w:ascii="Arial" w:hAnsi="Arial" w:cs="Arial"/>
                      <w:sz w:val="14"/>
                    </w:rPr>
                  </w:pPr>
                </w:p>
              </w:tc>
              <w:tc>
                <w:tcPr>
                  <w:tcW w:w="1196" w:type="dxa"/>
                  <w:tcBorders>
                    <w:top w:val="single" w:sz="6" w:space="0" w:color="auto"/>
                    <w:left w:val="single" w:sz="6" w:space="0" w:color="auto"/>
                    <w:bottom w:val="single" w:sz="6" w:space="0" w:color="auto"/>
                    <w:right w:val="single" w:sz="6" w:space="0" w:color="auto"/>
                  </w:tcBorders>
                </w:tcPr>
                <w:p w14:paraId="762ACACA" w14:textId="77777777" w:rsidR="00682A16" w:rsidRPr="00682A16" w:rsidRDefault="00682A16" w:rsidP="00682A16">
                  <w:pPr>
                    <w:rPr>
                      <w:rFonts w:ascii="Arial" w:hAnsi="Arial" w:cs="Arial"/>
                      <w:sz w:val="14"/>
                    </w:rPr>
                  </w:pPr>
                  <w:r w:rsidRPr="00682A16">
                    <w:rPr>
                      <w:rFonts w:ascii="Arial" w:hAnsi="Arial" w:cs="Arial"/>
                      <w:sz w:val="14"/>
                    </w:rPr>
                    <w:t>$</w:t>
                  </w:r>
                </w:p>
              </w:tc>
              <w:tc>
                <w:tcPr>
                  <w:tcW w:w="1440" w:type="dxa"/>
                  <w:tcBorders>
                    <w:top w:val="single" w:sz="6" w:space="0" w:color="auto"/>
                    <w:left w:val="single" w:sz="6" w:space="0" w:color="auto"/>
                    <w:bottom w:val="single" w:sz="6" w:space="0" w:color="auto"/>
                    <w:right w:val="single" w:sz="6" w:space="0" w:color="auto"/>
                  </w:tcBorders>
                </w:tcPr>
                <w:p w14:paraId="62B2A57C"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7A837ADB" w14:textId="77777777" w:rsidR="00682A16" w:rsidRPr="00682A16" w:rsidRDefault="00682A16" w:rsidP="00682A16">
                  <w:pPr>
                    <w:rPr>
                      <w:rFonts w:ascii="Arial" w:hAnsi="Arial" w:cs="Arial"/>
                      <w:sz w:val="14"/>
                    </w:rPr>
                  </w:pPr>
                  <w:r w:rsidRPr="00682A16">
                    <w:rPr>
                      <w:rFonts w:ascii="Arial" w:hAnsi="Arial" w:cs="Arial"/>
                      <w:sz w:val="14"/>
                    </w:rPr>
                    <w:t>$</w:t>
                  </w:r>
                </w:p>
              </w:tc>
              <w:tc>
                <w:tcPr>
                  <w:tcW w:w="1620" w:type="dxa"/>
                  <w:tcBorders>
                    <w:top w:val="single" w:sz="6" w:space="0" w:color="auto"/>
                    <w:left w:val="single" w:sz="6" w:space="0" w:color="auto"/>
                    <w:bottom w:val="single" w:sz="6" w:space="0" w:color="auto"/>
                    <w:right w:val="single" w:sz="6" w:space="0" w:color="auto"/>
                  </w:tcBorders>
                </w:tcPr>
                <w:p w14:paraId="210D2A95" w14:textId="77777777" w:rsidR="00682A16" w:rsidRPr="00682A16" w:rsidRDefault="00682A16" w:rsidP="00682A16">
                  <w:pPr>
                    <w:rPr>
                      <w:rFonts w:ascii="Arial" w:hAnsi="Arial" w:cs="Arial"/>
                      <w:sz w:val="14"/>
                    </w:rPr>
                  </w:pPr>
                  <w:r w:rsidRPr="00682A16">
                    <w:rPr>
                      <w:rFonts w:ascii="Arial" w:hAnsi="Arial" w:cs="Arial"/>
                      <w:sz w:val="14"/>
                    </w:rPr>
                    <w:t>$</w:t>
                  </w:r>
                </w:p>
              </w:tc>
            </w:tr>
          </w:tbl>
          <w:p w14:paraId="2C0BB19C" w14:textId="77777777" w:rsidR="00682A16" w:rsidRPr="00682A16" w:rsidRDefault="00682A16" w:rsidP="00682A16">
            <w:pPr>
              <w:spacing w:before="60" w:after="60"/>
              <w:jc w:val="both"/>
              <w:rPr>
                <w:sz w:val="14"/>
              </w:rPr>
            </w:pPr>
          </w:p>
          <w:p w14:paraId="66757AA9" w14:textId="302D38C4" w:rsidR="00682A16" w:rsidRPr="00682A16" w:rsidRDefault="00682A16" w:rsidP="00682A16">
            <w:pPr>
              <w:pStyle w:val="ListParagraph"/>
              <w:keepNext/>
              <w:keepLines/>
              <w:numPr>
                <w:ilvl w:val="1"/>
                <w:numId w:val="40"/>
              </w:numPr>
              <w:tabs>
                <w:tab w:val="left" w:pos="715"/>
              </w:tabs>
              <w:spacing w:before="60" w:after="60"/>
              <w:ind w:left="715" w:firstLine="0"/>
              <w:jc w:val="both"/>
              <w:rPr>
                <w:rFonts w:ascii="Arial" w:hAnsi="Arial" w:cs="Arial"/>
                <w:sz w:val="20"/>
                <w:szCs w:val="20"/>
              </w:rPr>
            </w:pPr>
            <w:r>
              <w:rPr>
                <w:rFonts w:ascii="Arial" w:hAnsi="Arial" w:cs="Arial"/>
                <w:sz w:val="20"/>
                <w:szCs w:val="20"/>
              </w:rPr>
              <w:t xml:space="preserve"> </w:t>
            </w:r>
            <w:r w:rsidRPr="00682A16">
              <w:rPr>
                <w:rFonts w:ascii="Arial" w:hAnsi="Arial" w:cs="Arial"/>
                <w:sz w:val="20"/>
                <w:szCs w:val="20"/>
              </w:rPr>
              <w:t xml:space="preserve">Identify all separate account products and identify whether each product was classified within a separate account for GAAP reporting purposes. (For non-GAAP filers, this disclosure should reflect whether the GAAP classification would have been the same if GAAP financials had been completed.) For products that were (or would have been) reported differently, identify which SOP 03-1 condition prevented separate account GAAP classification for that particular product. </w:t>
            </w:r>
          </w:p>
          <w:tbl>
            <w:tblPr>
              <w:tblW w:w="0" w:type="auto"/>
              <w:tblInd w:w="1188" w:type="dxa"/>
              <w:tblLayout w:type="fixed"/>
              <w:tblLook w:val="0000" w:firstRow="0" w:lastRow="0" w:firstColumn="0" w:lastColumn="0" w:noHBand="0" w:noVBand="0"/>
            </w:tblPr>
            <w:tblGrid>
              <w:gridCol w:w="3304"/>
              <w:gridCol w:w="3600"/>
            </w:tblGrid>
            <w:tr w:rsidR="00682A16" w:rsidRPr="00D63785" w14:paraId="18EBF4DF" w14:textId="77777777" w:rsidTr="00766C43">
              <w:trPr>
                <w:cantSplit/>
              </w:trPr>
              <w:tc>
                <w:tcPr>
                  <w:tcW w:w="3304" w:type="dxa"/>
                  <w:tcBorders>
                    <w:top w:val="single" w:sz="6" w:space="0" w:color="auto"/>
                    <w:left w:val="single" w:sz="6" w:space="0" w:color="auto"/>
                    <w:bottom w:val="single" w:sz="6" w:space="0" w:color="auto"/>
                    <w:right w:val="single" w:sz="6" w:space="0" w:color="auto"/>
                  </w:tcBorders>
                </w:tcPr>
                <w:p w14:paraId="4ABD573E"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1</w:t>
                  </w:r>
                </w:p>
                <w:p w14:paraId="5CC8C415" w14:textId="77777777" w:rsidR="00682A16" w:rsidRPr="00682A16" w:rsidRDefault="00682A16" w:rsidP="00682A16">
                  <w:pPr>
                    <w:keepNext/>
                    <w:keepLines/>
                    <w:jc w:val="center"/>
                    <w:rPr>
                      <w:rFonts w:ascii="Arial" w:hAnsi="Arial" w:cs="Arial"/>
                      <w:sz w:val="14"/>
                    </w:rPr>
                  </w:pPr>
                </w:p>
                <w:p w14:paraId="1D173C5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 xml:space="preserve">Product Identifier </w:t>
                  </w:r>
                </w:p>
              </w:tc>
              <w:tc>
                <w:tcPr>
                  <w:tcW w:w="3600" w:type="dxa"/>
                  <w:tcBorders>
                    <w:top w:val="single" w:sz="6" w:space="0" w:color="auto"/>
                    <w:left w:val="single" w:sz="6" w:space="0" w:color="auto"/>
                    <w:bottom w:val="single" w:sz="6" w:space="0" w:color="auto"/>
                    <w:right w:val="single" w:sz="6" w:space="0" w:color="auto"/>
                  </w:tcBorders>
                </w:tcPr>
                <w:p w14:paraId="1F718502"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2</w:t>
                  </w:r>
                </w:p>
                <w:p w14:paraId="61085D30" w14:textId="77777777" w:rsidR="00682A16" w:rsidRPr="00682A16" w:rsidRDefault="00682A16" w:rsidP="00682A16">
                  <w:pPr>
                    <w:keepNext/>
                    <w:keepLines/>
                    <w:jc w:val="center"/>
                    <w:rPr>
                      <w:rFonts w:ascii="Arial" w:hAnsi="Arial" w:cs="Arial"/>
                      <w:sz w:val="14"/>
                    </w:rPr>
                  </w:pPr>
                  <w:r w:rsidRPr="00682A16">
                    <w:rPr>
                      <w:rFonts w:ascii="Arial" w:hAnsi="Arial" w:cs="Arial"/>
                      <w:sz w:val="14"/>
                    </w:rPr>
                    <w:t>Same as GAAP / Condition that Requires GAAP General Account Reporting</w:t>
                  </w:r>
                </w:p>
              </w:tc>
            </w:tr>
            <w:tr w:rsidR="00682A16" w:rsidRPr="00D63785" w14:paraId="75D12130" w14:textId="77777777" w:rsidTr="00766C43">
              <w:trPr>
                <w:cantSplit/>
                <w:trHeight w:val="53"/>
              </w:trPr>
              <w:tc>
                <w:tcPr>
                  <w:tcW w:w="3304" w:type="dxa"/>
                  <w:tcBorders>
                    <w:top w:val="single" w:sz="6" w:space="0" w:color="auto"/>
                    <w:left w:val="single" w:sz="6" w:space="0" w:color="auto"/>
                    <w:bottom w:val="single" w:sz="4" w:space="0" w:color="auto"/>
                    <w:right w:val="single" w:sz="6" w:space="0" w:color="auto"/>
                  </w:tcBorders>
                </w:tcPr>
                <w:p w14:paraId="2F1DE136" w14:textId="77777777" w:rsidR="00682A16" w:rsidRPr="00682A16" w:rsidRDefault="00682A16" w:rsidP="00682A16">
                  <w:pPr>
                    <w:keepNext/>
                    <w:keepLines/>
                    <w:rPr>
                      <w:rFonts w:ascii="Arial" w:hAnsi="Arial" w:cs="Arial"/>
                      <w:sz w:val="14"/>
                    </w:rPr>
                  </w:pPr>
                </w:p>
              </w:tc>
              <w:tc>
                <w:tcPr>
                  <w:tcW w:w="3600" w:type="dxa"/>
                  <w:tcBorders>
                    <w:top w:val="single" w:sz="6" w:space="0" w:color="auto"/>
                    <w:left w:val="single" w:sz="6" w:space="0" w:color="auto"/>
                    <w:bottom w:val="single" w:sz="4" w:space="0" w:color="auto"/>
                    <w:right w:val="single" w:sz="6" w:space="0" w:color="auto"/>
                  </w:tcBorders>
                </w:tcPr>
                <w:p w14:paraId="2855920F" w14:textId="77777777" w:rsidR="00682A16" w:rsidRPr="00682A16" w:rsidRDefault="00682A16" w:rsidP="00682A16">
                  <w:pPr>
                    <w:keepNext/>
                    <w:keepLines/>
                    <w:rPr>
                      <w:rFonts w:ascii="Arial" w:hAnsi="Arial" w:cs="Arial"/>
                      <w:sz w:val="14"/>
                    </w:rPr>
                  </w:pPr>
                </w:p>
              </w:tc>
            </w:tr>
            <w:tr w:rsidR="00682A16" w:rsidRPr="00D63785" w14:paraId="387FB62F" w14:textId="77777777" w:rsidTr="00766C43">
              <w:trPr>
                <w:cantSplit/>
                <w:trHeight w:val="53"/>
              </w:trPr>
              <w:tc>
                <w:tcPr>
                  <w:tcW w:w="3304" w:type="dxa"/>
                  <w:tcBorders>
                    <w:top w:val="single" w:sz="4" w:space="0" w:color="auto"/>
                    <w:left w:val="single" w:sz="4" w:space="0" w:color="auto"/>
                    <w:bottom w:val="single" w:sz="4" w:space="0" w:color="auto"/>
                    <w:right w:val="single" w:sz="4" w:space="0" w:color="auto"/>
                  </w:tcBorders>
                </w:tcPr>
                <w:p w14:paraId="72F3232C" w14:textId="77777777" w:rsidR="00682A16" w:rsidRPr="00682A16" w:rsidRDefault="00682A16" w:rsidP="00682A16">
                  <w:pPr>
                    <w:keepNext/>
                    <w:keepLines/>
                    <w:rPr>
                      <w:rFonts w:ascii="Arial" w:hAnsi="Arial" w:cs="Arial"/>
                      <w:sz w:val="14"/>
                    </w:rPr>
                  </w:pPr>
                </w:p>
              </w:tc>
              <w:tc>
                <w:tcPr>
                  <w:tcW w:w="3600" w:type="dxa"/>
                  <w:tcBorders>
                    <w:top w:val="single" w:sz="4" w:space="0" w:color="auto"/>
                    <w:left w:val="single" w:sz="4" w:space="0" w:color="auto"/>
                    <w:bottom w:val="single" w:sz="4" w:space="0" w:color="auto"/>
                    <w:right w:val="single" w:sz="4" w:space="0" w:color="auto"/>
                  </w:tcBorders>
                </w:tcPr>
                <w:p w14:paraId="74994F2F" w14:textId="77777777" w:rsidR="00682A16" w:rsidRPr="00682A16" w:rsidRDefault="00682A16" w:rsidP="00682A16">
                  <w:pPr>
                    <w:keepNext/>
                    <w:keepLines/>
                    <w:rPr>
                      <w:rFonts w:ascii="Arial" w:hAnsi="Arial" w:cs="Arial"/>
                      <w:sz w:val="14"/>
                    </w:rPr>
                  </w:pPr>
                </w:p>
              </w:tc>
            </w:tr>
          </w:tbl>
          <w:p w14:paraId="5302D768" w14:textId="1AF86725" w:rsidR="00682A16" w:rsidRPr="00682A16" w:rsidRDefault="00682A16" w:rsidP="00682A16">
            <w:pPr>
              <w:tabs>
                <w:tab w:val="left" w:pos="0"/>
              </w:tabs>
              <w:spacing w:before="60" w:after="60"/>
              <w:jc w:val="both"/>
              <w:rPr>
                <w:rFonts w:ascii="Arial" w:hAnsi="Arial" w:cs="Arial"/>
                <w:b/>
                <w:bCs/>
                <w:sz w:val="20"/>
                <w:szCs w:val="20"/>
              </w:rPr>
            </w:pPr>
          </w:p>
        </w:tc>
      </w:tr>
    </w:tbl>
    <w:p w14:paraId="2D80BE8D" w14:textId="0BFCDE1D" w:rsidR="00211E60" w:rsidRDefault="00211E60" w:rsidP="00211E60">
      <w:pPr>
        <w:pStyle w:val="BodyText2"/>
        <w:rPr>
          <w:i/>
          <w:iCs/>
          <w:szCs w:val="22"/>
        </w:rPr>
      </w:pPr>
    </w:p>
    <w:p w14:paraId="0BAFAF3F" w14:textId="5730B397" w:rsidR="007B28B0" w:rsidRDefault="002A1316" w:rsidP="00E44EF1">
      <w:pPr>
        <w:pStyle w:val="BodyText2"/>
        <w:rPr>
          <w:b w:val="0"/>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xml:space="preserve">, SEC, FASB, </w:t>
      </w:r>
      <w:r w:rsidRPr="002B7C6D">
        <w:rPr>
          <w:szCs w:val="22"/>
        </w:rPr>
        <w:t>other State Departments of Insurance or other</w:t>
      </w:r>
      <w:r w:rsidRPr="00016321">
        <w:rPr>
          <w:szCs w:val="22"/>
        </w:rPr>
        <w:t xml:space="preserve"> NAIC groups):</w:t>
      </w:r>
      <w:r w:rsidR="004E2BB9" w:rsidRPr="00016321">
        <w:rPr>
          <w:szCs w:val="22"/>
        </w:rPr>
        <w:t xml:space="preserve"> </w:t>
      </w:r>
      <w:r w:rsidR="002B7C6D" w:rsidRPr="003A000B">
        <w:rPr>
          <w:b w:val="0"/>
          <w:bCs w:val="0"/>
          <w:szCs w:val="22"/>
        </w:rPr>
        <w:t>N/A</w:t>
      </w:r>
    </w:p>
    <w:p w14:paraId="3BACBA33" w14:textId="77777777" w:rsidR="00023A66" w:rsidRDefault="00023A66" w:rsidP="00CE3801">
      <w:pPr>
        <w:pStyle w:val="BodyText2"/>
        <w:ind w:left="1440"/>
        <w:rPr>
          <w:b w:val="0"/>
          <w:bCs w:val="0"/>
          <w:szCs w:val="22"/>
        </w:rPr>
      </w:pPr>
    </w:p>
    <w:p w14:paraId="1A7C9804" w14:textId="2831ECBB" w:rsidR="002A1316" w:rsidRPr="00016321" w:rsidRDefault="002A1316" w:rsidP="00773DFF">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6AF842BB" w:rsidR="002A1316" w:rsidRDefault="00FE7FAA" w:rsidP="00773DFF">
      <w:pPr>
        <w:pStyle w:val="BodyText"/>
        <w:rPr>
          <w:bCs/>
          <w:sz w:val="22"/>
          <w:szCs w:val="22"/>
        </w:rPr>
      </w:pPr>
      <w:r w:rsidRPr="00016321">
        <w:rPr>
          <w:bCs/>
          <w:sz w:val="22"/>
          <w:szCs w:val="22"/>
        </w:rPr>
        <w:t>None</w:t>
      </w:r>
    </w:p>
    <w:p w14:paraId="731C14DA" w14:textId="77777777" w:rsidR="009F55BC" w:rsidRPr="00016321" w:rsidRDefault="009F55BC" w:rsidP="00773DFF">
      <w:pPr>
        <w:pStyle w:val="BodyText"/>
        <w:rPr>
          <w:bCs/>
          <w:sz w:val="22"/>
          <w:szCs w:val="22"/>
        </w:rPr>
      </w:pPr>
    </w:p>
    <w:p w14:paraId="70213B4E" w14:textId="24A54089" w:rsidR="00490996" w:rsidRDefault="00490996" w:rsidP="00773DFF">
      <w:pPr>
        <w:pStyle w:val="Default"/>
        <w:jc w:val="both"/>
        <w:rPr>
          <w:sz w:val="22"/>
          <w:szCs w:val="22"/>
        </w:rPr>
      </w:pPr>
      <w:r w:rsidRPr="00016321">
        <w:rPr>
          <w:b/>
          <w:sz w:val="22"/>
          <w:szCs w:val="22"/>
        </w:rPr>
        <w:t>Convergence with International Financial Reporting Standards (IFRS):</w:t>
      </w:r>
      <w:r w:rsidR="00155F0F">
        <w:rPr>
          <w:b/>
          <w:sz w:val="22"/>
          <w:szCs w:val="22"/>
        </w:rPr>
        <w:t xml:space="preserve"> </w:t>
      </w:r>
      <w:r w:rsidR="007E6289">
        <w:rPr>
          <w:sz w:val="22"/>
          <w:szCs w:val="22"/>
        </w:rPr>
        <w:t>N/A</w:t>
      </w:r>
    </w:p>
    <w:p w14:paraId="66966FAA" w14:textId="3446C312" w:rsidR="00832F46" w:rsidRDefault="00832F46" w:rsidP="00773DFF">
      <w:pPr>
        <w:pStyle w:val="Default"/>
        <w:jc w:val="both"/>
        <w:rPr>
          <w:sz w:val="22"/>
          <w:szCs w:val="22"/>
        </w:rPr>
      </w:pPr>
    </w:p>
    <w:p w14:paraId="34CBA3B6" w14:textId="77777777" w:rsidR="002A1316" w:rsidRPr="00016321" w:rsidRDefault="002A1316" w:rsidP="00773DFF">
      <w:pPr>
        <w:pStyle w:val="BodyText2"/>
        <w:rPr>
          <w:szCs w:val="22"/>
        </w:rPr>
      </w:pPr>
      <w:r w:rsidRPr="00016321">
        <w:rPr>
          <w:szCs w:val="22"/>
        </w:rPr>
        <w:t>Staff Recommendation:</w:t>
      </w:r>
    </w:p>
    <w:p w14:paraId="6AB6BECF" w14:textId="0C2F3E34" w:rsidR="0056731A" w:rsidRDefault="00FF1783" w:rsidP="007A1CC8">
      <w:pPr>
        <w:pStyle w:val="BodyText2"/>
        <w:autoSpaceDE w:val="0"/>
        <w:autoSpaceDN w:val="0"/>
        <w:adjustRightInd w:val="0"/>
        <w:rPr>
          <w:szCs w:val="22"/>
        </w:rPr>
      </w:pPr>
      <w:bookmarkStart w:id="5" w:name="_Hlk53653167"/>
      <w:r>
        <w:rPr>
          <w:szCs w:val="22"/>
        </w:rPr>
        <w:t xml:space="preserve">NAIC </w:t>
      </w:r>
      <w:r w:rsidR="00CA3C87">
        <w:rPr>
          <w:szCs w:val="22"/>
        </w:rPr>
        <w:t>s</w:t>
      </w:r>
      <w:r w:rsidRPr="007B3D62">
        <w:rPr>
          <w:szCs w:val="22"/>
        </w:rPr>
        <w:t xml:space="preserve">taff recommends that the </w:t>
      </w:r>
      <w:r w:rsidRPr="00D8575D">
        <w:rPr>
          <w:szCs w:val="22"/>
        </w:rPr>
        <w:t xml:space="preserve">Working Group move this item to the active listing, categorized as </w:t>
      </w:r>
      <w:r w:rsidR="00F10BC9">
        <w:rPr>
          <w:szCs w:val="22"/>
        </w:rPr>
        <w:t>non</w:t>
      </w:r>
      <w:r w:rsidRPr="00D8575D">
        <w:rPr>
          <w:szCs w:val="22"/>
        </w:rPr>
        <w:t xml:space="preserve">substantive and </w:t>
      </w:r>
      <w:r>
        <w:rPr>
          <w:szCs w:val="22"/>
        </w:rPr>
        <w:t>expose the agenda item to solicit comment</w:t>
      </w:r>
      <w:r w:rsidR="00CA3C87">
        <w:rPr>
          <w:szCs w:val="22"/>
        </w:rPr>
        <w:t>s</w:t>
      </w:r>
      <w:r>
        <w:rPr>
          <w:szCs w:val="22"/>
        </w:rPr>
        <w:t xml:space="preserve"> </w:t>
      </w:r>
      <w:r w:rsidR="00BC3DAD">
        <w:rPr>
          <w:szCs w:val="22"/>
        </w:rPr>
        <w:t xml:space="preserve">from state insurance regulators and industry </w:t>
      </w:r>
      <w:r w:rsidR="008A1C85">
        <w:rPr>
          <w:szCs w:val="22"/>
        </w:rPr>
        <w:t xml:space="preserve">regarding the degree </w:t>
      </w:r>
      <w:r w:rsidR="004C6A55">
        <w:rPr>
          <w:szCs w:val="22"/>
        </w:rPr>
        <w:t>of product</w:t>
      </w:r>
      <w:r w:rsidR="008A1C85">
        <w:rPr>
          <w:szCs w:val="22"/>
        </w:rPr>
        <w:t xml:space="preserve"> identifying details needed to adequately </w:t>
      </w:r>
      <w:r w:rsidR="004C6A55">
        <w:rPr>
          <w:szCs w:val="22"/>
        </w:rPr>
        <w:t>assess the product features and reserve liabilities.</w:t>
      </w:r>
      <w:r w:rsidR="00EB5407">
        <w:rPr>
          <w:szCs w:val="22"/>
        </w:rPr>
        <w:t xml:space="preserve"> </w:t>
      </w:r>
      <w:r w:rsidR="00F10BC9">
        <w:rPr>
          <w:szCs w:val="22"/>
        </w:rPr>
        <w:t xml:space="preserve">Additionally, feedback is </w:t>
      </w:r>
      <w:r w:rsidR="00C6142D">
        <w:rPr>
          <w:szCs w:val="22"/>
        </w:rPr>
        <w:t>requested</w:t>
      </w:r>
      <w:r w:rsidR="00F10BC9">
        <w:rPr>
          <w:szCs w:val="22"/>
        </w:rPr>
        <w:t xml:space="preserve"> regarding if a threshold should be </w:t>
      </w:r>
      <w:r w:rsidR="004F65DD">
        <w:rPr>
          <w:szCs w:val="22"/>
        </w:rPr>
        <w:t>established</w:t>
      </w:r>
      <w:r w:rsidR="00F10BC9">
        <w:rPr>
          <w:szCs w:val="22"/>
        </w:rPr>
        <w:t xml:space="preserve"> for when </w:t>
      </w:r>
      <w:r w:rsidR="004F65DD">
        <w:rPr>
          <w:szCs w:val="22"/>
        </w:rPr>
        <w:t>aggregate</w:t>
      </w:r>
      <w:r w:rsidR="00F10BC9">
        <w:rPr>
          <w:szCs w:val="22"/>
        </w:rPr>
        <w:t xml:space="preserve"> reporting </w:t>
      </w:r>
      <w:r w:rsidR="00EB2739">
        <w:rPr>
          <w:szCs w:val="22"/>
        </w:rPr>
        <w:t>would be permitted.</w:t>
      </w:r>
    </w:p>
    <w:bookmarkEnd w:id="5"/>
    <w:p w14:paraId="21B7D043" w14:textId="77777777" w:rsidR="007A1CC8" w:rsidRDefault="007A1CC8" w:rsidP="007A1CC8">
      <w:pPr>
        <w:pStyle w:val="BodyText2"/>
        <w:autoSpaceDE w:val="0"/>
        <w:autoSpaceDN w:val="0"/>
        <w:adjustRightInd w:val="0"/>
        <w:rPr>
          <w:szCs w:val="22"/>
        </w:rPr>
      </w:pPr>
    </w:p>
    <w:p w14:paraId="3C0BC26C" w14:textId="6605CD90" w:rsidR="002A1316" w:rsidRPr="00016321" w:rsidRDefault="002A1316" w:rsidP="00773DFF">
      <w:pPr>
        <w:pStyle w:val="BodyText2"/>
        <w:rPr>
          <w:szCs w:val="22"/>
        </w:rPr>
      </w:pPr>
      <w:r w:rsidRPr="00016321">
        <w:rPr>
          <w:szCs w:val="22"/>
        </w:rPr>
        <w:t>Staff Review Completed by:</w:t>
      </w:r>
    </w:p>
    <w:p w14:paraId="56FEEDFE" w14:textId="389A12DF" w:rsidR="00F65D0B" w:rsidRDefault="00942B3F" w:rsidP="00773DFF">
      <w:pPr>
        <w:jc w:val="both"/>
        <w:rPr>
          <w:sz w:val="22"/>
        </w:rPr>
      </w:pPr>
      <w:r>
        <w:rPr>
          <w:sz w:val="22"/>
          <w:szCs w:val="22"/>
        </w:rPr>
        <w:t>Jim</w:t>
      </w:r>
      <w:r w:rsidR="00445F88">
        <w:rPr>
          <w:sz w:val="22"/>
          <w:szCs w:val="22"/>
        </w:rPr>
        <w:t xml:space="preserve"> </w:t>
      </w:r>
      <w:r w:rsidR="001275A7">
        <w:rPr>
          <w:sz w:val="22"/>
          <w:szCs w:val="22"/>
        </w:rPr>
        <w:t>Pinegar</w:t>
      </w:r>
      <w:r w:rsidR="005B54C5">
        <w:rPr>
          <w:sz w:val="22"/>
          <w:szCs w:val="22"/>
        </w:rPr>
        <w:t xml:space="preserve"> </w:t>
      </w:r>
      <w:r w:rsidR="00956144">
        <w:rPr>
          <w:sz w:val="22"/>
          <w:szCs w:val="22"/>
        </w:rPr>
        <w:t xml:space="preserve">- </w:t>
      </w:r>
      <w:r w:rsidR="00FE7FAA" w:rsidRPr="00956144">
        <w:rPr>
          <w:bCs/>
          <w:sz w:val="22"/>
          <w:szCs w:val="22"/>
        </w:rPr>
        <w:t xml:space="preserve">NAIC </w:t>
      </w:r>
      <w:r w:rsidR="006B37DD" w:rsidRPr="00956144">
        <w:rPr>
          <w:bCs/>
          <w:sz w:val="22"/>
          <w:szCs w:val="22"/>
        </w:rPr>
        <w:t>S</w:t>
      </w:r>
      <w:r w:rsidR="00FE7FAA" w:rsidRPr="00956144">
        <w:rPr>
          <w:bCs/>
          <w:sz w:val="22"/>
          <w:szCs w:val="22"/>
        </w:rPr>
        <w:t>taff</w:t>
      </w:r>
      <w:r w:rsidR="00066073">
        <w:rPr>
          <w:bCs/>
          <w:sz w:val="22"/>
          <w:szCs w:val="22"/>
        </w:rPr>
        <w:t xml:space="preserve">, </w:t>
      </w:r>
      <w:r w:rsidR="007A1CC8">
        <w:rPr>
          <w:sz w:val="22"/>
        </w:rPr>
        <w:t>October 2020</w:t>
      </w:r>
    </w:p>
    <w:p w14:paraId="09D2D61F" w14:textId="6C00838F" w:rsidR="007E4C98" w:rsidRDefault="007E4C98" w:rsidP="00773DFF">
      <w:pPr>
        <w:jc w:val="both"/>
        <w:rPr>
          <w:sz w:val="22"/>
        </w:rPr>
      </w:pPr>
    </w:p>
    <w:p w14:paraId="6AC3F138" w14:textId="77777777" w:rsidR="00E66895" w:rsidRDefault="00E66895" w:rsidP="00773DFF">
      <w:pPr>
        <w:jc w:val="both"/>
        <w:rPr>
          <w:sz w:val="22"/>
        </w:rPr>
      </w:pPr>
    </w:p>
    <w:p w14:paraId="0E640770" w14:textId="54E82020" w:rsidR="007E4C98" w:rsidRDefault="007E4C98" w:rsidP="00773DFF">
      <w:pPr>
        <w:jc w:val="both"/>
        <w:rPr>
          <w:b/>
          <w:bCs/>
          <w:sz w:val="22"/>
        </w:rPr>
      </w:pPr>
      <w:r>
        <w:rPr>
          <w:b/>
          <w:bCs/>
          <w:sz w:val="22"/>
        </w:rPr>
        <w:t>Status:</w:t>
      </w:r>
    </w:p>
    <w:p w14:paraId="1F64B322" w14:textId="61686239" w:rsidR="00EE6CCD" w:rsidRPr="00EE6CCD" w:rsidRDefault="00EE6CCD" w:rsidP="00EE6CCD">
      <w:pPr>
        <w:pStyle w:val="BodyText2"/>
        <w:autoSpaceDE w:val="0"/>
        <w:autoSpaceDN w:val="0"/>
        <w:adjustRightInd w:val="0"/>
        <w:rPr>
          <w:b w:val="0"/>
          <w:bCs w:val="0"/>
          <w:szCs w:val="22"/>
        </w:rPr>
      </w:pPr>
      <w:r w:rsidRPr="00EE6CCD">
        <w:rPr>
          <w:b w:val="0"/>
          <w:bCs w:val="0"/>
        </w:rPr>
        <w:t xml:space="preserve">On </w:t>
      </w:r>
      <w:r w:rsidRPr="00EE6CCD">
        <w:rPr>
          <w:b w:val="0"/>
          <w:bCs w:val="0"/>
          <w:szCs w:val="22"/>
        </w:rPr>
        <w:t>November 12, 2020, the Statutory Accounting Principles (E) Working Group moved this item to the active listing, categorized as nonsubstantive, and exposed the agenda item to solicit comments from state insurance regulators and industry regarding the degree of product identifying details needed to adequately assess the product features and reserve liabilities</w:t>
      </w:r>
      <w:r w:rsidR="005235B5">
        <w:rPr>
          <w:b w:val="0"/>
          <w:bCs w:val="0"/>
          <w:szCs w:val="22"/>
        </w:rPr>
        <w:t xml:space="preserve"> </w:t>
      </w:r>
      <w:r w:rsidR="005235B5" w:rsidRPr="00B25E8D">
        <w:rPr>
          <w:b w:val="0"/>
          <w:bCs w:val="0"/>
          <w:szCs w:val="22"/>
        </w:rPr>
        <w:t>in the separate account. Particularly, this is requesting feedback on how to obtain increased product identifier reporting granularity in question 1.01 (product mix) of the separate account general interrogatories (GI 1.01)</w:t>
      </w:r>
      <w:r w:rsidR="005235B5" w:rsidRPr="005235B5">
        <w:rPr>
          <w:b w:val="0"/>
          <w:bCs w:val="0"/>
          <w:szCs w:val="22"/>
        </w:rPr>
        <w:t>.</w:t>
      </w:r>
      <w:r w:rsidR="005235B5">
        <w:rPr>
          <w:b w:val="0"/>
          <w:bCs w:val="0"/>
          <w:szCs w:val="22"/>
        </w:rPr>
        <w:t xml:space="preserve"> </w:t>
      </w:r>
      <w:r w:rsidRPr="00EE6CCD">
        <w:rPr>
          <w:b w:val="0"/>
          <w:bCs w:val="0"/>
          <w:szCs w:val="22"/>
        </w:rPr>
        <w:t>Additionally, feedback is requested regarding if a threshold should be established for when aggregate reporting would be permitted.</w:t>
      </w:r>
    </w:p>
    <w:p w14:paraId="6825507A" w14:textId="7538D05A" w:rsidR="007E4C98" w:rsidRDefault="007E4C98" w:rsidP="00773DFF">
      <w:pPr>
        <w:jc w:val="both"/>
        <w:rPr>
          <w:sz w:val="22"/>
        </w:rPr>
      </w:pPr>
    </w:p>
    <w:p w14:paraId="1898C03D" w14:textId="77777777" w:rsidR="007E4C98" w:rsidRPr="007E4C98" w:rsidRDefault="007E4C98" w:rsidP="00773DFF">
      <w:pPr>
        <w:jc w:val="both"/>
        <w:rPr>
          <w:sz w:val="22"/>
        </w:rPr>
      </w:pPr>
    </w:p>
    <w:p w14:paraId="107CC70E" w14:textId="77777777" w:rsidR="002D1B21" w:rsidRDefault="002D1B21" w:rsidP="00773DFF">
      <w:pPr>
        <w:jc w:val="both"/>
        <w:rPr>
          <w:sz w:val="16"/>
          <w:szCs w:val="16"/>
        </w:rPr>
      </w:pPr>
    </w:p>
    <w:p w14:paraId="0FE979AF" w14:textId="06709119" w:rsidR="00AA1DC0" w:rsidRPr="00DF407B" w:rsidRDefault="002A1316" w:rsidP="00773DFF">
      <w:pPr>
        <w:jc w:val="both"/>
        <w:rPr>
          <w:sz w:val="22"/>
          <w:szCs w:val="22"/>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E4C98">
        <w:rPr>
          <w:noProof/>
          <w:sz w:val="16"/>
          <w:szCs w:val="16"/>
        </w:rPr>
        <w:t>G:\FRS\DATA\Stat Acctg\3. National Meetings\A. National Meeting Materials\2020\11-12-20 (Fall)\Exposures\20-37 - Separate Account Product Mix.docx</w:t>
      </w:r>
      <w:r w:rsidRPr="000579B6">
        <w:rPr>
          <w:sz w:val="16"/>
          <w:szCs w:val="16"/>
        </w:rPr>
        <w:fldChar w:fldCharType="end"/>
      </w:r>
    </w:p>
    <w:sectPr w:rsidR="00AA1DC0" w:rsidRPr="00DF407B" w:rsidSect="00CD7546">
      <w:headerReference w:type="default" r:id="rId8"/>
      <w:footerReference w:type="default" r:id="rId9"/>
      <w:headerReference w:type="first" r:id="rId10"/>
      <w:footerReference w:type="firs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CDA2E" w14:textId="77777777" w:rsidR="00E11C19" w:rsidRDefault="00E11C19">
      <w:r>
        <w:separator/>
      </w:r>
    </w:p>
  </w:endnote>
  <w:endnote w:type="continuationSeparator" w:id="0">
    <w:p w14:paraId="0844BB45" w14:textId="77777777" w:rsidR="00E11C19" w:rsidRDefault="00E11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2B22178B" w:rsidR="0075319C" w:rsidRDefault="0075319C"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75319C" w:rsidRDefault="0075319C"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1323C" w14:textId="77777777" w:rsidR="00E11C19" w:rsidRDefault="00E11C19">
      <w:r>
        <w:separator/>
      </w:r>
    </w:p>
  </w:footnote>
  <w:footnote w:type="continuationSeparator" w:id="0">
    <w:p w14:paraId="5914B2B4" w14:textId="77777777" w:rsidR="00E11C19" w:rsidRDefault="00E11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5AFB7645" w:rsidR="0075319C" w:rsidRPr="00F04F9A" w:rsidRDefault="0075319C">
    <w:pPr>
      <w:pStyle w:val="Header"/>
      <w:jc w:val="right"/>
      <w:rPr>
        <w:bCs/>
        <w:sz w:val="20"/>
      </w:rPr>
    </w:pPr>
    <w:r w:rsidRPr="00F04F9A">
      <w:rPr>
        <w:bCs/>
        <w:sz w:val="20"/>
      </w:rPr>
      <w:t>Ref #20</w:t>
    </w:r>
    <w:r>
      <w:rPr>
        <w:bCs/>
        <w:sz w:val="20"/>
      </w:rPr>
      <w:t>20</w:t>
    </w:r>
    <w:r w:rsidRPr="00F04F9A">
      <w:rPr>
        <w:bCs/>
        <w:sz w:val="20"/>
      </w:rPr>
      <w:t>-</w:t>
    </w:r>
    <w:r w:rsidR="008D0680">
      <w:rPr>
        <w:bCs/>
        <w:sz w:val="20"/>
      </w:rPr>
      <w:t>37</w:t>
    </w:r>
  </w:p>
  <w:p w14:paraId="12DAC63B" w14:textId="77777777" w:rsidR="0075319C" w:rsidRDefault="0075319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75319C" w:rsidRPr="00F04F9A" w:rsidRDefault="0075319C" w:rsidP="00AE74CF">
    <w:pPr>
      <w:pStyle w:val="Header"/>
      <w:jc w:val="right"/>
      <w:rPr>
        <w:b/>
        <w:sz w:val="20"/>
      </w:rPr>
    </w:pPr>
    <w:r w:rsidRPr="00F04F9A">
      <w:rPr>
        <w:b/>
        <w:sz w:val="20"/>
      </w:rPr>
      <w:t>Attachment __</w:t>
    </w:r>
  </w:p>
  <w:p w14:paraId="6B24D022" w14:textId="403538C5" w:rsidR="0075319C" w:rsidRPr="00F04F9A" w:rsidRDefault="0075319C"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75319C" w:rsidRDefault="0075319C"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1A2561B"/>
    <w:multiLevelType w:val="multilevel"/>
    <w:tmpl w:val="FEA21076"/>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 w15:restartNumberingAfterBreak="0">
    <w:nsid w:val="04F55631"/>
    <w:multiLevelType w:val="hybridMultilevel"/>
    <w:tmpl w:val="C14CFA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8323D6"/>
    <w:multiLevelType w:val="hybridMultilevel"/>
    <w:tmpl w:val="EBFE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937D78"/>
    <w:multiLevelType w:val="hybridMultilevel"/>
    <w:tmpl w:val="707E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D1F7E"/>
    <w:multiLevelType w:val="hybridMultilevel"/>
    <w:tmpl w:val="DB8C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C114B"/>
    <w:multiLevelType w:val="multilevel"/>
    <w:tmpl w:val="5F188A18"/>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540"/>
        </w:tabs>
        <w:ind w:left="540" w:hanging="450"/>
      </w:pPr>
      <w:rPr>
        <w:rFonts w:hint="default"/>
      </w:rPr>
    </w:lvl>
    <w:lvl w:ilvl="2">
      <w:start w:val="1"/>
      <w:numFmt w:val="decimal"/>
      <w:lvlText w:val="%1.%2.%3"/>
      <w:lvlJc w:val="left"/>
      <w:pPr>
        <w:tabs>
          <w:tab w:val="num" w:pos="630"/>
        </w:tabs>
        <w:ind w:left="630" w:hanging="45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170"/>
        </w:tabs>
        <w:ind w:left="1170" w:hanging="720"/>
      </w:pPr>
      <w:rPr>
        <w:rFonts w:hint="default"/>
      </w:rPr>
    </w:lvl>
    <w:lvl w:ilvl="6">
      <w:start w:val="1"/>
      <w:numFmt w:val="decimal"/>
      <w:lvlText w:val="%1.%2.%3.%4.%5.%6.%7"/>
      <w:lvlJc w:val="left"/>
      <w:pPr>
        <w:tabs>
          <w:tab w:val="num" w:pos="1260"/>
        </w:tabs>
        <w:ind w:left="1260" w:hanging="720"/>
      </w:pPr>
      <w:rPr>
        <w:rFonts w:hint="default"/>
      </w:rPr>
    </w:lvl>
    <w:lvl w:ilvl="7">
      <w:start w:val="1"/>
      <w:numFmt w:val="decimal"/>
      <w:lvlText w:val="%1.%2.%3.%4.%5.%6.%7.%8"/>
      <w:lvlJc w:val="left"/>
      <w:pPr>
        <w:tabs>
          <w:tab w:val="num" w:pos="1710"/>
        </w:tabs>
        <w:ind w:left="1710" w:hanging="1080"/>
      </w:pPr>
      <w:rPr>
        <w:rFonts w:hint="default"/>
      </w:rPr>
    </w:lvl>
    <w:lvl w:ilvl="8">
      <w:start w:val="1"/>
      <w:numFmt w:val="decimal"/>
      <w:lvlText w:val="%1.%2.%3.%4.%5.%6.%7.%8.%9"/>
      <w:lvlJc w:val="left"/>
      <w:pPr>
        <w:tabs>
          <w:tab w:val="num" w:pos="1800"/>
        </w:tabs>
        <w:ind w:left="1800" w:hanging="1080"/>
      </w:pPr>
      <w:rPr>
        <w:rFonts w:hint="default"/>
      </w:rPr>
    </w:lvl>
  </w:abstractNum>
  <w:abstractNum w:abstractNumId="10" w15:restartNumberingAfterBreak="0">
    <w:nsid w:val="19F86C47"/>
    <w:multiLevelType w:val="singleLevel"/>
    <w:tmpl w:val="D8827A28"/>
    <w:lvl w:ilvl="0">
      <w:start w:val="1"/>
      <w:numFmt w:val="lowerLetter"/>
      <w:lvlText w:val="%1."/>
      <w:lvlJc w:val="left"/>
      <w:pPr>
        <w:tabs>
          <w:tab w:val="num" w:pos="0"/>
        </w:tabs>
        <w:ind w:left="1440" w:hanging="720"/>
      </w:pPr>
    </w:lvl>
  </w:abstractNum>
  <w:abstractNum w:abstractNumId="11" w15:restartNumberingAfterBreak="0">
    <w:nsid w:val="1F3C7B03"/>
    <w:multiLevelType w:val="hybridMultilevel"/>
    <w:tmpl w:val="F8E0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D2553"/>
    <w:multiLevelType w:val="hybridMultilevel"/>
    <w:tmpl w:val="291EB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B480B"/>
    <w:multiLevelType w:val="hybridMultilevel"/>
    <w:tmpl w:val="0BDA12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E835DB"/>
    <w:multiLevelType w:val="hybridMultilevel"/>
    <w:tmpl w:val="4DBEE0C2"/>
    <w:lvl w:ilvl="0" w:tplc="B4B0728E">
      <w:start w:val="3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043F8E"/>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30271644"/>
    <w:multiLevelType w:val="hybridMultilevel"/>
    <w:tmpl w:val="E1760A78"/>
    <w:lvl w:ilvl="0" w:tplc="0409000F">
      <w:start w:val="1"/>
      <w:numFmt w:val="decimal"/>
      <w:lvlText w:val="%1."/>
      <w:lvlJc w:val="left"/>
      <w:pPr>
        <w:ind w:left="775" w:hanging="360"/>
      </w:pPr>
      <w:rPr>
        <w:rFont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32B0370D"/>
    <w:multiLevelType w:val="hybridMultilevel"/>
    <w:tmpl w:val="3F98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8A7329"/>
    <w:multiLevelType w:val="hybridMultilevel"/>
    <w:tmpl w:val="6778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55007"/>
    <w:multiLevelType w:val="hybridMultilevel"/>
    <w:tmpl w:val="D356259E"/>
    <w:lvl w:ilvl="0" w:tplc="23DC0EB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3F0F19"/>
    <w:multiLevelType w:val="hybridMultilevel"/>
    <w:tmpl w:val="CFD82AF8"/>
    <w:lvl w:ilvl="0" w:tplc="1642636A">
      <w:start w:val="27"/>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66456"/>
    <w:multiLevelType w:val="multilevel"/>
    <w:tmpl w:val="0228F63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465"/>
        </w:tabs>
        <w:ind w:left="465" w:hanging="360"/>
      </w:pPr>
      <w:rPr>
        <w:rFonts w:hint="default"/>
      </w:rPr>
    </w:lvl>
    <w:lvl w:ilvl="2">
      <w:start w:val="1"/>
      <w:numFmt w:val="decimal"/>
      <w:lvlText w:val="%1.%2.%3"/>
      <w:lvlJc w:val="left"/>
      <w:pPr>
        <w:tabs>
          <w:tab w:val="num" w:pos="570"/>
        </w:tabs>
        <w:ind w:left="570" w:hanging="360"/>
      </w:pPr>
      <w:rPr>
        <w:rFonts w:hint="default"/>
      </w:rPr>
    </w:lvl>
    <w:lvl w:ilvl="3">
      <w:start w:val="1"/>
      <w:numFmt w:val="decimal"/>
      <w:lvlText w:val="%1.%2.%3.%4"/>
      <w:lvlJc w:val="left"/>
      <w:pPr>
        <w:tabs>
          <w:tab w:val="num" w:pos="1035"/>
        </w:tabs>
        <w:ind w:left="1035" w:hanging="720"/>
      </w:pPr>
      <w:rPr>
        <w:rFonts w:hint="default"/>
      </w:rPr>
    </w:lvl>
    <w:lvl w:ilvl="4">
      <w:start w:val="1"/>
      <w:numFmt w:val="decimal"/>
      <w:lvlText w:val="%1.%2.%3.%4.%5"/>
      <w:lvlJc w:val="left"/>
      <w:pPr>
        <w:tabs>
          <w:tab w:val="num" w:pos="1140"/>
        </w:tabs>
        <w:ind w:left="1140" w:hanging="720"/>
      </w:pPr>
      <w:rPr>
        <w:rFonts w:hint="default"/>
      </w:rPr>
    </w:lvl>
    <w:lvl w:ilvl="5">
      <w:start w:val="1"/>
      <w:numFmt w:val="decimal"/>
      <w:lvlText w:val="%1.%2.%3.%4.%5.%6"/>
      <w:lvlJc w:val="left"/>
      <w:pPr>
        <w:tabs>
          <w:tab w:val="num" w:pos="1245"/>
        </w:tabs>
        <w:ind w:left="1245" w:hanging="720"/>
      </w:pPr>
      <w:rPr>
        <w:rFonts w:hint="default"/>
      </w:rPr>
    </w:lvl>
    <w:lvl w:ilvl="6">
      <w:start w:val="1"/>
      <w:numFmt w:val="decimal"/>
      <w:lvlText w:val="%1.%2.%3.%4.%5.%6.%7"/>
      <w:lvlJc w:val="left"/>
      <w:pPr>
        <w:tabs>
          <w:tab w:val="num" w:pos="1350"/>
        </w:tabs>
        <w:ind w:left="1350" w:hanging="720"/>
      </w:pPr>
      <w:rPr>
        <w:rFonts w:hint="default"/>
      </w:rPr>
    </w:lvl>
    <w:lvl w:ilvl="7">
      <w:start w:val="1"/>
      <w:numFmt w:val="decimal"/>
      <w:lvlText w:val="%1.%2.%3.%4.%5.%6.%7.%8"/>
      <w:lvlJc w:val="left"/>
      <w:pPr>
        <w:tabs>
          <w:tab w:val="num" w:pos="1815"/>
        </w:tabs>
        <w:ind w:left="1815" w:hanging="1080"/>
      </w:pPr>
      <w:rPr>
        <w:rFonts w:hint="default"/>
      </w:rPr>
    </w:lvl>
    <w:lvl w:ilvl="8">
      <w:start w:val="1"/>
      <w:numFmt w:val="decimal"/>
      <w:lvlText w:val="%1.%2.%3.%4.%5.%6.%7.%8.%9"/>
      <w:lvlJc w:val="left"/>
      <w:pPr>
        <w:tabs>
          <w:tab w:val="num" w:pos="1920"/>
        </w:tabs>
        <w:ind w:left="1920" w:hanging="1080"/>
      </w:pPr>
      <w:rPr>
        <w:rFonts w:hint="default"/>
      </w:rPr>
    </w:lvl>
  </w:abstractNum>
  <w:abstractNum w:abstractNumId="22" w15:restartNumberingAfterBreak="0">
    <w:nsid w:val="41871484"/>
    <w:multiLevelType w:val="hybridMultilevel"/>
    <w:tmpl w:val="868A0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94B8C"/>
    <w:multiLevelType w:val="multilevel"/>
    <w:tmpl w:val="D98EA4F4"/>
    <w:lvl w:ilvl="0">
      <w:start w:val="8"/>
      <w:numFmt w:val="decimal"/>
      <w:lvlText w:val="%1"/>
      <w:lvlJc w:val="left"/>
      <w:pPr>
        <w:ind w:left="360" w:hanging="360"/>
      </w:pPr>
      <w:rPr>
        <w:rFonts w:hint="default"/>
      </w:rPr>
    </w:lvl>
    <w:lvl w:ilvl="1">
      <w:start w:val="3"/>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4" w15:restartNumberingAfterBreak="0">
    <w:nsid w:val="4F3A36C4"/>
    <w:multiLevelType w:val="hybridMultilevel"/>
    <w:tmpl w:val="6ADCFC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5515118"/>
    <w:multiLevelType w:val="hybridMultilevel"/>
    <w:tmpl w:val="A24C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A1B35"/>
    <w:multiLevelType w:val="hybridMultilevel"/>
    <w:tmpl w:val="D6E2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7E51"/>
    <w:multiLevelType w:val="multilevel"/>
    <w:tmpl w:val="6A6C0CE6"/>
    <w:lvl w:ilvl="0">
      <w:start w:val="4"/>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540" w:hanging="36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170" w:hanging="720"/>
      </w:pPr>
      <w:rPr>
        <w:rFonts w:hint="default"/>
      </w:rPr>
    </w:lvl>
    <w:lvl w:ilvl="6">
      <w:start w:val="1"/>
      <w:numFmt w:val="decimal"/>
      <w:lvlText w:val="%1.%2.%3.%4.%5.%6.%7"/>
      <w:lvlJc w:val="left"/>
      <w:pPr>
        <w:ind w:left="1260" w:hanging="720"/>
      </w:pPr>
      <w:rPr>
        <w:rFonts w:hint="default"/>
      </w:rPr>
    </w:lvl>
    <w:lvl w:ilvl="7">
      <w:start w:val="1"/>
      <w:numFmt w:val="decimal"/>
      <w:lvlText w:val="%1.%2.%3.%4.%5.%6.%7.%8"/>
      <w:lvlJc w:val="left"/>
      <w:pPr>
        <w:ind w:left="1710" w:hanging="1080"/>
      </w:pPr>
      <w:rPr>
        <w:rFonts w:hint="default"/>
      </w:rPr>
    </w:lvl>
    <w:lvl w:ilvl="8">
      <w:start w:val="1"/>
      <w:numFmt w:val="decimal"/>
      <w:lvlText w:val="%1.%2.%3.%4.%5.%6.%7.%8.%9"/>
      <w:lvlJc w:val="left"/>
      <w:pPr>
        <w:ind w:left="1800" w:hanging="1080"/>
      </w:pPr>
      <w:rPr>
        <w:rFonts w:hint="default"/>
      </w:rPr>
    </w:lvl>
  </w:abstractNum>
  <w:abstractNum w:abstractNumId="28" w15:restartNumberingAfterBreak="0">
    <w:nsid w:val="5A000970"/>
    <w:multiLevelType w:val="hybridMultilevel"/>
    <w:tmpl w:val="772677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C3230A"/>
    <w:multiLevelType w:val="multilevel"/>
    <w:tmpl w:val="C958D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56CE8"/>
    <w:multiLevelType w:val="hybridMultilevel"/>
    <w:tmpl w:val="F0CA3546"/>
    <w:lvl w:ilvl="0" w:tplc="8F6ED140">
      <w:start w:val="1"/>
      <w:numFmt w:val="decimal"/>
      <w:lvlText w:val="%1."/>
      <w:lvlJc w:val="left"/>
      <w:pPr>
        <w:tabs>
          <w:tab w:val="num" w:pos="900"/>
        </w:tabs>
        <w:ind w:left="90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CC313D"/>
    <w:multiLevelType w:val="hybridMultilevel"/>
    <w:tmpl w:val="66C03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547777"/>
    <w:multiLevelType w:val="hybridMultilevel"/>
    <w:tmpl w:val="DC42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C16E1B"/>
    <w:multiLevelType w:val="hybridMultilevel"/>
    <w:tmpl w:val="F1FE52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F244EB"/>
    <w:multiLevelType w:val="hybridMultilevel"/>
    <w:tmpl w:val="52BC595A"/>
    <w:lvl w:ilvl="0" w:tplc="B32ABEE4">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785C99"/>
    <w:multiLevelType w:val="hybridMultilevel"/>
    <w:tmpl w:val="552A97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07045"/>
    <w:multiLevelType w:val="hybridMultilevel"/>
    <w:tmpl w:val="8A12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DDA6D39"/>
    <w:multiLevelType w:val="hybridMultilevel"/>
    <w:tmpl w:val="C17A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4">
    <w:abstractNumId w:val="1"/>
  </w:num>
  <w:num w:numId="5">
    <w:abstractNumId w:val="18"/>
  </w:num>
  <w:num w:numId="6">
    <w:abstractNumId w:val="12"/>
  </w:num>
  <w:num w:numId="7">
    <w:abstractNumId w:val="7"/>
  </w:num>
  <w:num w:numId="8">
    <w:abstractNumId w:val="30"/>
  </w:num>
  <w:num w:numId="9">
    <w:abstractNumId w:val="19"/>
  </w:num>
  <w:num w:numId="10">
    <w:abstractNumId w:val="13"/>
  </w:num>
  <w:num w:numId="11">
    <w:abstractNumId w:val="35"/>
  </w:num>
  <w:num w:numId="12">
    <w:abstractNumId w:val="20"/>
  </w:num>
  <w:num w:numId="13">
    <w:abstractNumId w:val="22"/>
  </w:num>
  <w:num w:numId="14">
    <w:abstractNumId w:val="38"/>
  </w:num>
  <w:num w:numId="15">
    <w:abstractNumId w:val="6"/>
  </w:num>
  <w:num w:numId="16">
    <w:abstractNumId w:val="25"/>
  </w:num>
  <w:num w:numId="17">
    <w:abstractNumId w:val="5"/>
  </w:num>
  <w:num w:numId="18">
    <w:abstractNumId w:val="24"/>
  </w:num>
  <w:num w:numId="19">
    <w:abstractNumId w:val="29"/>
  </w:num>
  <w:num w:numId="20">
    <w:abstractNumId w:val="8"/>
  </w:num>
  <w:num w:numId="21">
    <w:abstractNumId w:val="34"/>
  </w:num>
  <w:num w:numId="22">
    <w:abstractNumId w:val="28"/>
  </w:num>
  <w:num w:numId="23">
    <w:abstractNumId w:val="4"/>
  </w:num>
  <w:num w:numId="24">
    <w:abstractNumId w:val="37"/>
  </w:num>
  <w:num w:numId="25">
    <w:abstractNumId w:val="15"/>
  </w:num>
  <w:num w:numId="26">
    <w:abstractNumId w:val="36"/>
  </w:num>
  <w:num w:numId="27">
    <w:abstractNumId w:val="16"/>
  </w:num>
  <w:num w:numId="28">
    <w:abstractNumId w:val="11"/>
  </w:num>
  <w:num w:numId="29">
    <w:abstractNumId w:val="33"/>
  </w:num>
  <w:num w:numId="30">
    <w:abstractNumId w:val="32"/>
  </w:num>
  <w:num w:numId="31">
    <w:abstractNumId w:val="17"/>
  </w:num>
  <w:num w:numId="32">
    <w:abstractNumId w:val="10"/>
  </w:num>
  <w:num w:numId="33">
    <w:abstractNumId w:val="14"/>
  </w:num>
  <w:num w:numId="34">
    <w:abstractNumId w:val="10"/>
    <w:lvlOverride w:ilvl="0">
      <w:startOverride w:val="1"/>
    </w:lvlOverride>
  </w:num>
  <w:num w:numId="35">
    <w:abstractNumId w:val="26"/>
  </w:num>
  <w:num w:numId="36">
    <w:abstractNumId w:val="9"/>
  </w:num>
  <w:num w:numId="37">
    <w:abstractNumId w:val="27"/>
  </w:num>
  <w:num w:numId="38">
    <w:abstractNumId w:val="21"/>
  </w:num>
  <w:num w:numId="39">
    <w:abstractNumId w:val="23"/>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2819"/>
    <w:rsid w:val="00003042"/>
    <w:rsid w:val="00004652"/>
    <w:rsid w:val="00006F5A"/>
    <w:rsid w:val="00007A85"/>
    <w:rsid w:val="00007F19"/>
    <w:rsid w:val="000133D4"/>
    <w:rsid w:val="00014346"/>
    <w:rsid w:val="000156CE"/>
    <w:rsid w:val="00016321"/>
    <w:rsid w:val="000223BF"/>
    <w:rsid w:val="00023A66"/>
    <w:rsid w:val="00025FA5"/>
    <w:rsid w:val="0002612F"/>
    <w:rsid w:val="00027F3C"/>
    <w:rsid w:val="00031E14"/>
    <w:rsid w:val="00034B2F"/>
    <w:rsid w:val="00034B77"/>
    <w:rsid w:val="00043046"/>
    <w:rsid w:val="000513F8"/>
    <w:rsid w:val="000558CB"/>
    <w:rsid w:val="00056827"/>
    <w:rsid w:val="000579B6"/>
    <w:rsid w:val="00061B00"/>
    <w:rsid w:val="0006223F"/>
    <w:rsid w:val="000622EB"/>
    <w:rsid w:val="00062300"/>
    <w:rsid w:val="00066073"/>
    <w:rsid w:val="00076D91"/>
    <w:rsid w:val="00077FE2"/>
    <w:rsid w:val="0008682C"/>
    <w:rsid w:val="00091380"/>
    <w:rsid w:val="0009149C"/>
    <w:rsid w:val="000916B4"/>
    <w:rsid w:val="00095623"/>
    <w:rsid w:val="000957F2"/>
    <w:rsid w:val="000967FA"/>
    <w:rsid w:val="000A6B33"/>
    <w:rsid w:val="000A7B78"/>
    <w:rsid w:val="000B1EC6"/>
    <w:rsid w:val="000B433A"/>
    <w:rsid w:val="000B7313"/>
    <w:rsid w:val="000C1720"/>
    <w:rsid w:val="000C7887"/>
    <w:rsid w:val="000D2B0F"/>
    <w:rsid w:val="000D6293"/>
    <w:rsid w:val="000D6AE8"/>
    <w:rsid w:val="000E0596"/>
    <w:rsid w:val="000E1131"/>
    <w:rsid w:val="000E16CA"/>
    <w:rsid w:val="000E2191"/>
    <w:rsid w:val="000E2259"/>
    <w:rsid w:val="000F08C6"/>
    <w:rsid w:val="000F1DC9"/>
    <w:rsid w:val="000F2F98"/>
    <w:rsid w:val="000F32A8"/>
    <w:rsid w:val="000F4025"/>
    <w:rsid w:val="000F727B"/>
    <w:rsid w:val="00104B00"/>
    <w:rsid w:val="001062A4"/>
    <w:rsid w:val="00111377"/>
    <w:rsid w:val="00114415"/>
    <w:rsid w:val="00114ABD"/>
    <w:rsid w:val="001168C6"/>
    <w:rsid w:val="0012320C"/>
    <w:rsid w:val="00125C33"/>
    <w:rsid w:val="00125E53"/>
    <w:rsid w:val="001275A7"/>
    <w:rsid w:val="00130775"/>
    <w:rsid w:val="00133830"/>
    <w:rsid w:val="0013539B"/>
    <w:rsid w:val="00136122"/>
    <w:rsid w:val="001404A5"/>
    <w:rsid w:val="0014357B"/>
    <w:rsid w:val="00155F0F"/>
    <w:rsid w:val="0016097E"/>
    <w:rsid w:val="001709F9"/>
    <w:rsid w:val="00181AC4"/>
    <w:rsid w:val="00184144"/>
    <w:rsid w:val="00185813"/>
    <w:rsid w:val="00185F98"/>
    <w:rsid w:val="00190E3A"/>
    <w:rsid w:val="001926A8"/>
    <w:rsid w:val="001937E1"/>
    <w:rsid w:val="00194B43"/>
    <w:rsid w:val="0019505A"/>
    <w:rsid w:val="00196462"/>
    <w:rsid w:val="001A108A"/>
    <w:rsid w:val="001A1A65"/>
    <w:rsid w:val="001A2F54"/>
    <w:rsid w:val="001A4EEE"/>
    <w:rsid w:val="001A591B"/>
    <w:rsid w:val="001A77D2"/>
    <w:rsid w:val="001B1F09"/>
    <w:rsid w:val="001B3138"/>
    <w:rsid w:val="001B7C92"/>
    <w:rsid w:val="001B7D39"/>
    <w:rsid w:val="001C06AD"/>
    <w:rsid w:val="001C07B6"/>
    <w:rsid w:val="001C18B2"/>
    <w:rsid w:val="001D2B0C"/>
    <w:rsid w:val="001D37EA"/>
    <w:rsid w:val="001E1249"/>
    <w:rsid w:val="001E2691"/>
    <w:rsid w:val="001E7FF1"/>
    <w:rsid w:val="001F0B7B"/>
    <w:rsid w:val="001F10F1"/>
    <w:rsid w:val="001F3CF4"/>
    <w:rsid w:val="001F46EB"/>
    <w:rsid w:val="001F60C8"/>
    <w:rsid w:val="001F675E"/>
    <w:rsid w:val="002027A3"/>
    <w:rsid w:val="0020396F"/>
    <w:rsid w:val="00203FF7"/>
    <w:rsid w:val="002046F5"/>
    <w:rsid w:val="00206181"/>
    <w:rsid w:val="00207731"/>
    <w:rsid w:val="0021189F"/>
    <w:rsid w:val="00211E60"/>
    <w:rsid w:val="002153EC"/>
    <w:rsid w:val="00217078"/>
    <w:rsid w:val="0022038C"/>
    <w:rsid w:val="00223B1B"/>
    <w:rsid w:val="00225663"/>
    <w:rsid w:val="00226D83"/>
    <w:rsid w:val="0022700A"/>
    <w:rsid w:val="00227687"/>
    <w:rsid w:val="00227C5B"/>
    <w:rsid w:val="00230E4B"/>
    <w:rsid w:val="00232018"/>
    <w:rsid w:val="00246359"/>
    <w:rsid w:val="002471B5"/>
    <w:rsid w:val="00247550"/>
    <w:rsid w:val="002501C8"/>
    <w:rsid w:val="0025341F"/>
    <w:rsid w:val="00253A36"/>
    <w:rsid w:val="00261273"/>
    <w:rsid w:val="00262175"/>
    <w:rsid w:val="00262F1B"/>
    <w:rsid w:val="002630E9"/>
    <w:rsid w:val="002652A2"/>
    <w:rsid w:val="002751EC"/>
    <w:rsid w:val="002778AB"/>
    <w:rsid w:val="00277D57"/>
    <w:rsid w:val="002831FB"/>
    <w:rsid w:val="00285C74"/>
    <w:rsid w:val="00286D67"/>
    <w:rsid w:val="00287CE2"/>
    <w:rsid w:val="00287E2F"/>
    <w:rsid w:val="00292DAF"/>
    <w:rsid w:val="00294D36"/>
    <w:rsid w:val="00295E92"/>
    <w:rsid w:val="002A1316"/>
    <w:rsid w:val="002A44FE"/>
    <w:rsid w:val="002B0B09"/>
    <w:rsid w:val="002B0FA4"/>
    <w:rsid w:val="002B5774"/>
    <w:rsid w:val="002B6ABA"/>
    <w:rsid w:val="002B7A39"/>
    <w:rsid w:val="002B7C6D"/>
    <w:rsid w:val="002B7ED8"/>
    <w:rsid w:val="002C0A8A"/>
    <w:rsid w:val="002C3FB7"/>
    <w:rsid w:val="002C4A62"/>
    <w:rsid w:val="002C677E"/>
    <w:rsid w:val="002C6C77"/>
    <w:rsid w:val="002D0B40"/>
    <w:rsid w:val="002D1716"/>
    <w:rsid w:val="002D1B21"/>
    <w:rsid w:val="002D3C80"/>
    <w:rsid w:val="002D70E6"/>
    <w:rsid w:val="002E2008"/>
    <w:rsid w:val="002F10DA"/>
    <w:rsid w:val="002F1277"/>
    <w:rsid w:val="002F6FF9"/>
    <w:rsid w:val="00304977"/>
    <w:rsid w:val="00304CEC"/>
    <w:rsid w:val="00310E9D"/>
    <w:rsid w:val="003148E8"/>
    <w:rsid w:val="00315BE0"/>
    <w:rsid w:val="0032313E"/>
    <w:rsid w:val="00323CC8"/>
    <w:rsid w:val="00325660"/>
    <w:rsid w:val="003325E9"/>
    <w:rsid w:val="00333FC0"/>
    <w:rsid w:val="0033643F"/>
    <w:rsid w:val="003415C3"/>
    <w:rsid w:val="00344529"/>
    <w:rsid w:val="0034544B"/>
    <w:rsid w:val="003459B3"/>
    <w:rsid w:val="0035188D"/>
    <w:rsid w:val="0035609F"/>
    <w:rsid w:val="00356461"/>
    <w:rsid w:val="00357190"/>
    <w:rsid w:val="0035794F"/>
    <w:rsid w:val="00360AB3"/>
    <w:rsid w:val="003610DC"/>
    <w:rsid w:val="003622AF"/>
    <w:rsid w:val="003633D4"/>
    <w:rsid w:val="00363FF4"/>
    <w:rsid w:val="00364B57"/>
    <w:rsid w:val="0037361C"/>
    <w:rsid w:val="00376E64"/>
    <w:rsid w:val="003772CB"/>
    <w:rsid w:val="003827A2"/>
    <w:rsid w:val="00382B4B"/>
    <w:rsid w:val="003836E7"/>
    <w:rsid w:val="00383B78"/>
    <w:rsid w:val="0038435C"/>
    <w:rsid w:val="0039379B"/>
    <w:rsid w:val="00393A16"/>
    <w:rsid w:val="0039600A"/>
    <w:rsid w:val="003970FB"/>
    <w:rsid w:val="003A000B"/>
    <w:rsid w:val="003A3F9A"/>
    <w:rsid w:val="003A44C1"/>
    <w:rsid w:val="003A69FE"/>
    <w:rsid w:val="003A6F64"/>
    <w:rsid w:val="003A76C2"/>
    <w:rsid w:val="003B12DE"/>
    <w:rsid w:val="003B71FE"/>
    <w:rsid w:val="003B72D6"/>
    <w:rsid w:val="003C0CD1"/>
    <w:rsid w:val="003C2045"/>
    <w:rsid w:val="003C3191"/>
    <w:rsid w:val="003C32AC"/>
    <w:rsid w:val="003D10BB"/>
    <w:rsid w:val="003D3AC0"/>
    <w:rsid w:val="003D405B"/>
    <w:rsid w:val="003D603A"/>
    <w:rsid w:val="003D6BC0"/>
    <w:rsid w:val="003E0496"/>
    <w:rsid w:val="003E756D"/>
    <w:rsid w:val="003E779C"/>
    <w:rsid w:val="003F0140"/>
    <w:rsid w:val="003F0BB8"/>
    <w:rsid w:val="003F172E"/>
    <w:rsid w:val="003F25C6"/>
    <w:rsid w:val="003F269D"/>
    <w:rsid w:val="0040093D"/>
    <w:rsid w:val="004030BF"/>
    <w:rsid w:val="0040337C"/>
    <w:rsid w:val="004042F3"/>
    <w:rsid w:val="00404AF2"/>
    <w:rsid w:val="00406C7D"/>
    <w:rsid w:val="00406D2E"/>
    <w:rsid w:val="00407093"/>
    <w:rsid w:val="004104C1"/>
    <w:rsid w:val="004132E1"/>
    <w:rsid w:val="004148C0"/>
    <w:rsid w:val="00415A96"/>
    <w:rsid w:val="00415FB8"/>
    <w:rsid w:val="0042071F"/>
    <w:rsid w:val="004208D8"/>
    <w:rsid w:val="00420DCD"/>
    <w:rsid w:val="00423D8B"/>
    <w:rsid w:val="00426EC1"/>
    <w:rsid w:val="00427B29"/>
    <w:rsid w:val="004310B0"/>
    <w:rsid w:val="00434970"/>
    <w:rsid w:val="00435DAC"/>
    <w:rsid w:val="0044022E"/>
    <w:rsid w:val="00440CD1"/>
    <w:rsid w:val="00440E15"/>
    <w:rsid w:val="004426CA"/>
    <w:rsid w:val="00443357"/>
    <w:rsid w:val="00443469"/>
    <w:rsid w:val="00443F74"/>
    <w:rsid w:val="0044452F"/>
    <w:rsid w:val="00445F88"/>
    <w:rsid w:val="00446244"/>
    <w:rsid w:val="004516AB"/>
    <w:rsid w:val="00452842"/>
    <w:rsid w:val="00455E1F"/>
    <w:rsid w:val="004667B8"/>
    <w:rsid w:val="00466C38"/>
    <w:rsid w:val="00470296"/>
    <w:rsid w:val="0047418D"/>
    <w:rsid w:val="004744E8"/>
    <w:rsid w:val="00481A74"/>
    <w:rsid w:val="004829CD"/>
    <w:rsid w:val="0048680B"/>
    <w:rsid w:val="00490996"/>
    <w:rsid w:val="00491CC0"/>
    <w:rsid w:val="0049397D"/>
    <w:rsid w:val="004953BB"/>
    <w:rsid w:val="0049733D"/>
    <w:rsid w:val="004A166E"/>
    <w:rsid w:val="004B33FE"/>
    <w:rsid w:val="004B51B6"/>
    <w:rsid w:val="004B6688"/>
    <w:rsid w:val="004C6A55"/>
    <w:rsid w:val="004C7BFD"/>
    <w:rsid w:val="004D11E9"/>
    <w:rsid w:val="004D271A"/>
    <w:rsid w:val="004D4855"/>
    <w:rsid w:val="004D7081"/>
    <w:rsid w:val="004D72BB"/>
    <w:rsid w:val="004E24A7"/>
    <w:rsid w:val="004E2BB9"/>
    <w:rsid w:val="004E328A"/>
    <w:rsid w:val="004E3B7D"/>
    <w:rsid w:val="004E4587"/>
    <w:rsid w:val="004E4ECC"/>
    <w:rsid w:val="004E78EA"/>
    <w:rsid w:val="004F21E9"/>
    <w:rsid w:val="004F2FCA"/>
    <w:rsid w:val="004F3421"/>
    <w:rsid w:val="004F3C36"/>
    <w:rsid w:val="004F4D98"/>
    <w:rsid w:val="004F5628"/>
    <w:rsid w:val="004F65DD"/>
    <w:rsid w:val="004F6E29"/>
    <w:rsid w:val="00502134"/>
    <w:rsid w:val="00503D82"/>
    <w:rsid w:val="005056CA"/>
    <w:rsid w:val="005067A0"/>
    <w:rsid w:val="00507A7F"/>
    <w:rsid w:val="00512588"/>
    <w:rsid w:val="005144EC"/>
    <w:rsid w:val="00521BFC"/>
    <w:rsid w:val="005235B5"/>
    <w:rsid w:val="00525845"/>
    <w:rsid w:val="00534071"/>
    <w:rsid w:val="00534466"/>
    <w:rsid w:val="005370FF"/>
    <w:rsid w:val="00537CBD"/>
    <w:rsid w:val="005405DF"/>
    <w:rsid w:val="00542FB8"/>
    <w:rsid w:val="0054517E"/>
    <w:rsid w:val="00550729"/>
    <w:rsid w:val="005517D4"/>
    <w:rsid w:val="00553400"/>
    <w:rsid w:val="005540DC"/>
    <w:rsid w:val="00555358"/>
    <w:rsid w:val="0055784F"/>
    <w:rsid w:val="00562444"/>
    <w:rsid w:val="00562CE9"/>
    <w:rsid w:val="0056731A"/>
    <w:rsid w:val="00567D58"/>
    <w:rsid w:val="0057022E"/>
    <w:rsid w:val="00570E34"/>
    <w:rsid w:val="00572446"/>
    <w:rsid w:val="00574954"/>
    <w:rsid w:val="00576C93"/>
    <w:rsid w:val="005816AE"/>
    <w:rsid w:val="00581881"/>
    <w:rsid w:val="0058222D"/>
    <w:rsid w:val="005853FD"/>
    <w:rsid w:val="00585FBB"/>
    <w:rsid w:val="00586146"/>
    <w:rsid w:val="005863FB"/>
    <w:rsid w:val="0058663E"/>
    <w:rsid w:val="00586DFC"/>
    <w:rsid w:val="00587849"/>
    <w:rsid w:val="005969C0"/>
    <w:rsid w:val="00597FC5"/>
    <w:rsid w:val="005A259E"/>
    <w:rsid w:val="005A3FFD"/>
    <w:rsid w:val="005B2809"/>
    <w:rsid w:val="005B54C5"/>
    <w:rsid w:val="005B6C12"/>
    <w:rsid w:val="005C12C8"/>
    <w:rsid w:val="005D0957"/>
    <w:rsid w:val="005D1546"/>
    <w:rsid w:val="005D1D61"/>
    <w:rsid w:val="005D4843"/>
    <w:rsid w:val="005D4AF8"/>
    <w:rsid w:val="005E15E0"/>
    <w:rsid w:val="005E201F"/>
    <w:rsid w:val="005E3875"/>
    <w:rsid w:val="005E7F26"/>
    <w:rsid w:val="005F00A3"/>
    <w:rsid w:val="005F254E"/>
    <w:rsid w:val="005F483B"/>
    <w:rsid w:val="005F5084"/>
    <w:rsid w:val="005F572D"/>
    <w:rsid w:val="005F5F98"/>
    <w:rsid w:val="00602341"/>
    <w:rsid w:val="00605AF7"/>
    <w:rsid w:val="00605B70"/>
    <w:rsid w:val="006071AC"/>
    <w:rsid w:val="00607CF6"/>
    <w:rsid w:val="00611765"/>
    <w:rsid w:val="00615FD8"/>
    <w:rsid w:val="006164E0"/>
    <w:rsid w:val="00616D35"/>
    <w:rsid w:val="00620E60"/>
    <w:rsid w:val="00624E04"/>
    <w:rsid w:val="00625439"/>
    <w:rsid w:val="00626152"/>
    <w:rsid w:val="0062673D"/>
    <w:rsid w:val="00626EC0"/>
    <w:rsid w:val="0062735C"/>
    <w:rsid w:val="00630368"/>
    <w:rsid w:val="00630816"/>
    <w:rsid w:val="00634598"/>
    <w:rsid w:val="00637C40"/>
    <w:rsid w:val="00637D7B"/>
    <w:rsid w:val="006410E6"/>
    <w:rsid w:val="00644B20"/>
    <w:rsid w:val="006450B7"/>
    <w:rsid w:val="00652BE8"/>
    <w:rsid w:val="00653F07"/>
    <w:rsid w:val="00654938"/>
    <w:rsid w:val="00656323"/>
    <w:rsid w:val="00657A3E"/>
    <w:rsid w:val="00663DAD"/>
    <w:rsid w:val="00664BCF"/>
    <w:rsid w:val="00671693"/>
    <w:rsid w:val="0067394D"/>
    <w:rsid w:val="00673ADE"/>
    <w:rsid w:val="006746AD"/>
    <w:rsid w:val="00676A9F"/>
    <w:rsid w:val="00682A16"/>
    <w:rsid w:val="00683F99"/>
    <w:rsid w:val="00684FF4"/>
    <w:rsid w:val="00686A58"/>
    <w:rsid w:val="00687114"/>
    <w:rsid w:val="006879E0"/>
    <w:rsid w:val="00690138"/>
    <w:rsid w:val="00691751"/>
    <w:rsid w:val="00691B62"/>
    <w:rsid w:val="006921AD"/>
    <w:rsid w:val="00696BC4"/>
    <w:rsid w:val="006A06BF"/>
    <w:rsid w:val="006A530E"/>
    <w:rsid w:val="006B0E6F"/>
    <w:rsid w:val="006B157D"/>
    <w:rsid w:val="006B2B51"/>
    <w:rsid w:val="006B37DD"/>
    <w:rsid w:val="006B3F2B"/>
    <w:rsid w:val="006B4FE2"/>
    <w:rsid w:val="006B5B32"/>
    <w:rsid w:val="006C0113"/>
    <w:rsid w:val="006C1164"/>
    <w:rsid w:val="006C3217"/>
    <w:rsid w:val="006C5A9D"/>
    <w:rsid w:val="006D1D3F"/>
    <w:rsid w:val="006D25C5"/>
    <w:rsid w:val="006D3A59"/>
    <w:rsid w:val="006D3F3A"/>
    <w:rsid w:val="006E7A10"/>
    <w:rsid w:val="006E7FB2"/>
    <w:rsid w:val="006F0789"/>
    <w:rsid w:val="006F0D70"/>
    <w:rsid w:val="006F0E76"/>
    <w:rsid w:val="006F1E31"/>
    <w:rsid w:val="006F4E1A"/>
    <w:rsid w:val="00701FCA"/>
    <w:rsid w:val="0070679E"/>
    <w:rsid w:val="00706B68"/>
    <w:rsid w:val="00707182"/>
    <w:rsid w:val="00710B40"/>
    <w:rsid w:val="00715743"/>
    <w:rsid w:val="007165EE"/>
    <w:rsid w:val="007170E1"/>
    <w:rsid w:val="00717332"/>
    <w:rsid w:val="00721C29"/>
    <w:rsid w:val="00722768"/>
    <w:rsid w:val="00724946"/>
    <w:rsid w:val="00724FD3"/>
    <w:rsid w:val="0072525D"/>
    <w:rsid w:val="00726E93"/>
    <w:rsid w:val="007306B9"/>
    <w:rsid w:val="007321B6"/>
    <w:rsid w:val="007326CE"/>
    <w:rsid w:val="0073343A"/>
    <w:rsid w:val="007341AE"/>
    <w:rsid w:val="007374DF"/>
    <w:rsid w:val="00742D6A"/>
    <w:rsid w:val="00745788"/>
    <w:rsid w:val="00746BD7"/>
    <w:rsid w:val="00751984"/>
    <w:rsid w:val="00751D2C"/>
    <w:rsid w:val="0075319C"/>
    <w:rsid w:val="00756AE3"/>
    <w:rsid w:val="007574AB"/>
    <w:rsid w:val="00760038"/>
    <w:rsid w:val="0076038A"/>
    <w:rsid w:val="00761440"/>
    <w:rsid w:val="0076148D"/>
    <w:rsid w:val="00773DFF"/>
    <w:rsid w:val="00774EEB"/>
    <w:rsid w:val="007767B8"/>
    <w:rsid w:val="00776B1B"/>
    <w:rsid w:val="007774AA"/>
    <w:rsid w:val="0078310B"/>
    <w:rsid w:val="00783B67"/>
    <w:rsid w:val="007862FA"/>
    <w:rsid w:val="007866D3"/>
    <w:rsid w:val="00793C65"/>
    <w:rsid w:val="00794B81"/>
    <w:rsid w:val="00795898"/>
    <w:rsid w:val="007976F5"/>
    <w:rsid w:val="007A1CC8"/>
    <w:rsid w:val="007B28B0"/>
    <w:rsid w:val="007B2B07"/>
    <w:rsid w:val="007B337D"/>
    <w:rsid w:val="007B3D62"/>
    <w:rsid w:val="007B4554"/>
    <w:rsid w:val="007C7E9D"/>
    <w:rsid w:val="007D7584"/>
    <w:rsid w:val="007E01D6"/>
    <w:rsid w:val="007E32B7"/>
    <w:rsid w:val="007E4C98"/>
    <w:rsid w:val="007E6289"/>
    <w:rsid w:val="007F0B99"/>
    <w:rsid w:val="007F0C96"/>
    <w:rsid w:val="007F1389"/>
    <w:rsid w:val="007F269F"/>
    <w:rsid w:val="007F3055"/>
    <w:rsid w:val="007F344C"/>
    <w:rsid w:val="007F410F"/>
    <w:rsid w:val="008027FB"/>
    <w:rsid w:val="00806852"/>
    <w:rsid w:val="0081344A"/>
    <w:rsid w:val="00814738"/>
    <w:rsid w:val="008159C6"/>
    <w:rsid w:val="00817D38"/>
    <w:rsid w:val="0082377F"/>
    <w:rsid w:val="00823FDE"/>
    <w:rsid w:val="00824C45"/>
    <w:rsid w:val="00825730"/>
    <w:rsid w:val="00826C65"/>
    <w:rsid w:val="00831800"/>
    <w:rsid w:val="00832F46"/>
    <w:rsid w:val="00841445"/>
    <w:rsid w:val="00842CD4"/>
    <w:rsid w:val="00844ACC"/>
    <w:rsid w:val="00845245"/>
    <w:rsid w:val="00847CB9"/>
    <w:rsid w:val="00856007"/>
    <w:rsid w:val="00860C4C"/>
    <w:rsid w:val="00874B39"/>
    <w:rsid w:val="008758B4"/>
    <w:rsid w:val="00882F59"/>
    <w:rsid w:val="008869A6"/>
    <w:rsid w:val="008876B5"/>
    <w:rsid w:val="0089540E"/>
    <w:rsid w:val="0089708B"/>
    <w:rsid w:val="008A1C85"/>
    <w:rsid w:val="008A2679"/>
    <w:rsid w:val="008A3471"/>
    <w:rsid w:val="008A7581"/>
    <w:rsid w:val="008B1EC0"/>
    <w:rsid w:val="008B5FC8"/>
    <w:rsid w:val="008B79FA"/>
    <w:rsid w:val="008C15FD"/>
    <w:rsid w:val="008C35F7"/>
    <w:rsid w:val="008C379E"/>
    <w:rsid w:val="008C3A60"/>
    <w:rsid w:val="008C56C4"/>
    <w:rsid w:val="008C59AA"/>
    <w:rsid w:val="008D0680"/>
    <w:rsid w:val="008D402F"/>
    <w:rsid w:val="008D490B"/>
    <w:rsid w:val="008E15F2"/>
    <w:rsid w:val="008E54DB"/>
    <w:rsid w:val="008E562C"/>
    <w:rsid w:val="008F0655"/>
    <w:rsid w:val="008F28AC"/>
    <w:rsid w:val="008F56DE"/>
    <w:rsid w:val="008F71F6"/>
    <w:rsid w:val="00900798"/>
    <w:rsid w:val="00911E43"/>
    <w:rsid w:val="009125C9"/>
    <w:rsid w:val="00914880"/>
    <w:rsid w:val="0091546F"/>
    <w:rsid w:val="00917080"/>
    <w:rsid w:val="00917DF2"/>
    <w:rsid w:val="009205A5"/>
    <w:rsid w:val="0092196B"/>
    <w:rsid w:val="00924367"/>
    <w:rsid w:val="009249B4"/>
    <w:rsid w:val="00926DEF"/>
    <w:rsid w:val="0092710B"/>
    <w:rsid w:val="00931391"/>
    <w:rsid w:val="00936B02"/>
    <w:rsid w:val="009375EF"/>
    <w:rsid w:val="009429B5"/>
    <w:rsid w:val="00942B3F"/>
    <w:rsid w:val="00943883"/>
    <w:rsid w:val="00952AC4"/>
    <w:rsid w:val="009541CD"/>
    <w:rsid w:val="00956144"/>
    <w:rsid w:val="009576B4"/>
    <w:rsid w:val="00957780"/>
    <w:rsid w:val="00957EF1"/>
    <w:rsid w:val="0096094E"/>
    <w:rsid w:val="0096189E"/>
    <w:rsid w:val="009621D6"/>
    <w:rsid w:val="00963E30"/>
    <w:rsid w:val="00972A11"/>
    <w:rsid w:val="00980638"/>
    <w:rsid w:val="00982BC6"/>
    <w:rsid w:val="009835E3"/>
    <w:rsid w:val="00984FA6"/>
    <w:rsid w:val="00986236"/>
    <w:rsid w:val="0098632A"/>
    <w:rsid w:val="00986D24"/>
    <w:rsid w:val="009915AF"/>
    <w:rsid w:val="009925FA"/>
    <w:rsid w:val="009A68F5"/>
    <w:rsid w:val="009B20EB"/>
    <w:rsid w:val="009B66F6"/>
    <w:rsid w:val="009C0C86"/>
    <w:rsid w:val="009C0D0A"/>
    <w:rsid w:val="009C27CC"/>
    <w:rsid w:val="009C702B"/>
    <w:rsid w:val="009D5ED4"/>
    <w:rsid w:val="009D5EE5"/>
    <w:rsid w:val="009E3617"/>
    <w:rsid w:val="009F43E6"/>
    <w:rsid w:val="009F55BC"/>
    <w:rsid w:val="00A06A21"/>
    <w:rsid w:val="00A103CC"/>
    <w:rsid w:val="00A11581"/>
    <w:rsid w:val="00A12195"/>
    <w:rsid w:val="00A15ACE"/>
    <w:rsid w:val="00A202AF"/>
    <w:rsid w:val="00A2114C"/>
    <w:rsid w:val="00A26297"/>
    <w:rsid w:val="00A27C22"/>
    <w:rsid w:val="00A30BB0"/>
    <w:rsid w:val="00A452C4"/>
    <w:rsid w:val="00A4720B"/>
    <w:rsid w:val="00A477C8"/>
    <w:rsid w:val="00A55385"/>
    <w:rsid w:val="00A562DA"/>
    <w:rsid w:val="00A63DC4"/>
    <w:rsid w:val="00A644DA"/>
    <w:rsid w:val="00A64C70"/>
    <w:rsid w:val="00A67237"/>
    <w:rsid w:val="00A67AAD"/>
    <w:rsid w:val="00A71270"/>
    <w:rsid w:val="00A747F8"/>
    <w:rsid w:val="00A74CC5"/>
    <w:rsid w:val="00A76FCC"/>
    <w:rsid w:val="00A81F38"/>
    <w:rsid w:val="00A82C39"/>
    <w:rsid w:val="00A916DA"/>
    <w:rsid w:val="00A91892"/>
    <w:rsid w:val="00A91904"/>
    <w:rsid w:val="00A92C59"/>
    <w:rsid w:val="00A948BF"/>
    <w:rsid w:val="00A969D6"/>
    <w:rsid w:val="00AA0986"/>
    <w:rsid w:val="00AA1684"/>
    <w:rsid w:val="00AA1DC0"/>
    <w:rsid w:val="00AA6691"/>
    <w:rsid w:val="00AA766B"/>
    <w:rsid w:val="00AB3254"/>
    <w:rsid w:val="00AB492E"/>
    <w:rsid w:val="00AC14AF"/>
    <w:rsid w:val="00AC3E92"/>
    <w:rsid w:val="00AC6C20"/>
    <w:rsid w:val="00AD2221"/>
    <w:rsid w:val="00AD3164"/>
    <w:rsid w:val="00AD4B22"/>
    <w:rsid w:val="00AE18AA"/>
    <w:rsid w:val="00AE2C5E"/>
    <w:rsid w:val="00AE4118"/>
    <w:rsid w:val="00AE4727"/>
    <w:rsid w:val="00AE6149"/>
    <w:rsid w:val="00AE6910"/>
    <w:rsid w:val="00AE74CF"/>
    <w:rsid w:val="00AE7BCD"/>
    <w:rsid w:val="00AF0DF8"/>
    <w:rsid w:val="00AF4776"/>
    <w:rsid w:val="00AF6948"/>
    <w:rsid w:val="00B0056E"/>
    <w:rsid w:val="00B04AE2"/>
    <w:rsid w:val="00B05699"/>
    <w:rsid w:val="00B10C19"/>
    <w:rsid w:val="00B118B3"/>
    <w:rsid w:val="00B1287B"/>
    <w:rsid w:val="00B15B0A"/>
    <w:rsid w:val="00B21BE0"/>
    <w:rsid w:val="00B23C0A"/>
    <w:rsid w:val="00B2586E"/>
    <w:rsid w:val="00B25E8D"/>
    <w:rsid w:val="00B26099"/>
    <w:rsid w:val="00B26E38"/>
    <w:rsid w:val="00B2727A"/>
    <w:rsid w:val="00B30CA0"/>
    <w:rsid w:val="00B31F1F"/>
    <w:rsid w:val="00B3441D"/>
    <w:rsid w:val="00B37195"/>
    <w:rsid w:val="00B375D0"/>
    <w:rsid w:val="00B378FA"/>
    <w:rsid w:val="00B436D6"/>
    <w:rsid w:val="00B44534"/>
    <w:rsid w:val="00B462A0"/>
    <w:rsid w:val="00B47741"/>
    <w:rsid w:val="00B50E54"/>
    <w:rsid w:val="00B515B6"/>
    <w:rsid w:val="00B55EBD"/>
    <w:rsid w:val="00B61A04"/>
    <w:rsid w:val="00B63BAD"/>
    <w:rsid w:val="00B63D4D"/>
    <w:rsid w:val="00B662D3"/>
    <w:rsid w:val="00B701E9"/>
    <w:rsid w:val="00B76E32"/>
    <w:rsid w:val="00B80B5A"/>
    <w:rsid w:val="00B82415"/>
    <w:rsid w:val="00B8262B"/>
    <w:rsid w:val="00B85987"/>
    <w:rsid w:val="00B973F7"/>
    <w:rsid w:val="00B97680"/>
    <w:rsid w:val="00BA08A3"/>
    <w:rsid w:val="00BA203B"/>
    <w:rsid w:val="00BA2F53"/>
    <w:rsid w:val="00BB56F6"/>
    <w:rsid w:val="00BB5939"/>
    <w:rsid w:val="00BB59CF"/>
    <w:rsid w:val="00BB6955"/>
    <w:rsid w:val="00BB7D75"/>
    <w:rsid w:val="00BC2101"/>
    <w:rsid w:val="00BC3DAD"/>
    <w:rsid w:val="00BD0215"/>
    <w:rsid w:val="00BD652E"/>
    <w:rsid w:val="00BD681C"/>
    <w:rsid w:val="00BD6843"/>
    <w:rsid w:val="00BE15B5"/>
    <w:rsid w:val="00BE442E"/>
    <w:rsid w:val="00BE513F"/>
    <w:rsid w:val="00BF119B"/>
    <w:rsid w:val="00BF351C"/>
    <w:rsid w:val="00BF3805"/>
    <w:rsid w:val="00BF51FD"/>
    <w:rsid w:val="00BF66E6"/>
    <w:rsid w:val="00BF7370"/>
    <w:rsid w:val="00BF7D3E"/>
    <w:rsid w:val="00C01086"/>
    <w:rsid w:val="00C021B3"/>
    <w:rsid w:val="00C04FA0"/>
    <w:rsid w:val="00C051DB"/>
    <w:rsid w:val="00C078D5"/>
    <w:rsid w:val="00C10573"/>
    <w:rsid w:val="00C121DF"/>
    <w:rsid w:val="00C16D40"/>
    <w:rsid w:val="00C16D72"/>
    <w:rsid w:val="00C22EA0"/>
    <w:rsid w:val="00C26B71"/>
    <w:rsid w:val="00C400EC"/>
    <w:rsid w:val="00C42B82"/>
    <w:rsid w:val="00C4690F"/>
    <w:rsid w:val="00C46ABB"/>
    <w:rsid w:val="00C513AD"/>
    <w:rsid w:val="00C57388"/>
    <w:rsid w:val="00C6142D"/>
    <w:rsid w:val="00C641C8"/>
    <w:rsid w:val="00C6544D"/>
    <w:rsid w:val="00C67927"/>
    <w:rsid w:val="00C72648"/>
    <w:rsid w:val="00C7303D"/>
    <w:rsid w:val="00C739C2"/>
    <w:rsid w:val="00C746F4"/>
    <w:rsid w:val="00C75C37"/>
    <w:rsid w:val="00C77637"/>
    <w:rsid w:val="00C77709"/>
    <w:rsid w:val="00C77F47"/>
    <w:rsid w:val="00C81B3F"/>
    <w:rsid w:val="00C81B94"/>
    <w:rsid w:val="00C85A89"/>
    <w:rsid w:val="00C85EC1"/>
    <w:rsid w:val="00C87424"/>
    <w:rsid w:val="00C9066D"/>
    <w:rsid w:val="00C93747"/>
    <w:rsid w:val="00C9390E"/>
    <w:rsid w:val="00C93990"/>
    <w:rsid w:val="00CA1132"/>
    <w:rsid w:val="00CA1364"/>
    <w:rsid w:val="00CA32D9"/>
    <w:rsid w:val="00CA39BF"/>
    <w:rsid w:val="00CA3C87"/>
    <w:rsid w:val="00CA4C0F"/>
    <w:rsid w:val="00CB182E"/>
    <w:rsid w:val="00CB4C7B"/>
    <w:rsid w:val="00CB5038"/>
    <w:rsid w:val="00CB7CFA"/>
    <w:rsid w:val="00CC08A5"/>
    <w:rsid w:val="00CC53AA"/>
    <w:rsid w:val="00CD3CCA"/>
    <w:rsid w:val="00CD3DFE"/>
    <w:rsid w:val="00CD44CE"/>
    <w:rsid w:val="00CD5F54"/>
    <w:rsid w:val="00CD6618"/>
    <w:rsid w:val="00CD6983"/>
    <w:rsid w:val="00CD6D30"/>
    <w:rsid w:val="00CD7546"/>
    <w:rsid w:val="00CE0852"/>
    <w:rsid w:val="00CE135A"/>
    <w:rsid w:val="00CE179F"/>
    <w:rsid w:val="00CE3801"/>
    <w:rsid w:val="00CE3B76"/>
    <w:rsid w:val="00CE47BA"/>
    <w:rsid w:val="00CE67DE"/>
    <w:rsid w:val="00CE751B"/>
    <w:rsid w:val="00CF0ACC"/>
    <w:rsid w:val="00CF0E78"/>
    <w:rsid w:val="00CF3750"/>
    <w:rsid w:val="00CF620B"/>
    <w:rsid w:val="00D0000A"/>
    <w:rsid w:val="00D02484"/>
    <w:rsid w:val="00D02E1F"/>
    <w:rsid w:val="00D03F02"/>
    <w:rsid w:val="00D0487A"/>
    <w:rsid w:val="00D1381D"/>
    <w:rsid w:val="00D14BAB"/>
    <w:rsid w:val="00D1585E"/>
    <w:rsid w:val="00D21513"/>
    <w:rsid w:val="00D21F23"/>
    <w:rsid w:val="00D3779B"/>
    <w:rsid w:val="00D40626"/>
    <w:rsid w:val="00D43CCC"/>
    <w:rsid w:val="00D447BA"/>
    <w:rsid w:val="00D506C4"/>
    <w:rsid w:val="00D52CA0"/>
    <w:rsid w:val="00D54286"/>
    <w:rsid w:val="00D54EC7"/>
    <w:rsid w:val="00D55A8D"/>
    <w:rsid w:val="00D561B4"/>
    <w:rsid w:val="00D56500"/>
    <w:rsid w:val="00D622A5"/>
    <w:rsid w:val="00D6379E"/>
    <w:rsid w:val="00D6393E"/>
    <w:rsid w:val="00D63D18"/>
    <w:rsid w:val="00D70398"/>
    <w:rsid w:val="00D72D33"/>
    <w:rsid w:val="00D72E84"/>
    <w:rsid w:val="00D76AD8"/>
    <w:rsid w:val="00D81757"/>
    <w:rsid w:val="00D85BEA"/>
    <w:rsid w:val="00D8733D"/>
    <w:rsid w:val="00D87E01"/>
    <w:rsid w:val="00D924B0"/>
    <w:rsid w:val="00D952DF"/>
    <w:rsid w:val="00D975FA"/>
    <w:rsid w:val="00DA019A"/>
    <w:rsid w:val="00DA1C46"/>
    <w:rsid w:val="00DA6A37"/>
    <w:rsid w:val="00DB0350"/>
    <w:rsid w:val="00DB2D99"/>
    <w:rsid w:val="00DC071A"/>
    <w:rsid w:val="00DC16E6"/>
    <w:rsid w:val="00DC58EE"/>
    <w:rsid w:val="00DC6D6E"/>
    <w:rsid w:val="00DD4484"/>
    <w:rsid w:val="00DD6020"/>
    <w:rsid w:val="00DD7033"/>
    <w:rsid w:val="00DE007D"/>
    <w:rsid w:val="00DE1262"/>
    <w:rsid w:val="00DF03E9"/>
    <w:rsid w:val="00DF3AEE"/>
    <w:rsid w:val="00DF407B"/>
    <w:rsid w:val="00E004D3"/>
    <w:rsid w:val="00E0215D"/>
    <w:rsid w:val="00E04EA6"/>
    <w:rsid w:val="00E04F80"/>
    <w:rsid w:val="00E06A24"/>
    <w:rsid w:val="00E077F0"/>
    <w:rsid w:val="00E11C19"/>
    <w:rsid w:val="00E136A0"/>
    <w:rsid w:val="00E13BDB"/>
    <w:rsid w:val="00E16305"/>
    <w:rsid w:val="00E20255"/>
    <w:rsid w:val="00E2462E"/>
    <w:rsid w:val="00E30ACC"/>
    <w:rsid w:val="00E30AFF"/>
    <w:rsid w:val="00E4276D"/>
    <w:rsid w:val="00E44EF1"/>
    <w:rsid w:val="00E462BE"/>
    <w:rsid w:val="00E4649D"/>
    <w:rsid w:val="00E464C2"/>
    <w:rsid w:val="00E52713"/>
    <w:rsid w:val="00E52EF1"/>
    <w:rsid w:val="00E538D3"/>
    <w:rsid w:val="00E55598"/>
    <w:rsid w:val="00E61732"/>
    <w:rsid w:val="00E61F77"/>
    <w:rsid w:val="00E6280C"/>
    <w:rsid w:val="00E63B38"/>
    <w:rsid w:val="00E65474"/>
    <w:rsid w:val="00E66895"/>
    <w:rsid w:val="00E718D9"/>
    <w:rsid w:val="00E777CC"/>
    <w:rsid w:val="00E81E4D"/>
    <w:rsid w:val="00E8378E"/>
    <w:rsid w:val="00E87BA8"/>
    <w:rsid w:val="00E90A65"/>
    <w:rsid w:val="00E94445"/>
    <w:rsid w:val="00EA102C"/>
    <w:rsid w:val="00EA2736"/>
    <w:rsid w:val="00EA541D"/>
    <w:rsid w:val="00EB2739"/>
    <w:rsid w:val="00EB5407"/>
    <w:rsid w:val="00EB603E"/>
    <w:rsid w:val="00EB6583"/>
    <w:rsid w:val="00EC0E83"/>
    <w:rsid w:val="00EC15C1"/>
    <w:rsid w:val="00EC4A02"/>
    <w:rsid w:val="00EC5BE8"/>
    <w:rsid w:val="00EC61F1"/>
    <w:rsid w:val="00ED5CAE"/>
    <w:rsid w:val="00ED7AC1"/>
    <w:rsid w:val="00EE1A17"/>
    <w:rsid w:val="00EE581C"/>
    <w:rsid w:val="00EE6CCD"/>
    <w:rsid w:val="00EF37F6"/>
    <w:rsid w:val="00EF5CEF"/>
    <w:rsid w:val="00EF720B"/>
    <w:rsid w:val="00F00395"/>
    <w:rsid w:val="00F01018"/>
    <w:rsid w:val="00F024CF"/>
    <w:rsid w:val="00F04F9A"/>
    <w:rsid w:val="00F051C2"/>
    <w:rsid w:val="00F05F13"/>
    <w:rsid w:val="00F065DA"/>
    <w:rsid w:val="00F10BC9"/>
    <w:rsid w:val="00F179AD"/>
    <w:rsid w:val="00F200D6"/>
    <w:rsid w:val="00F23552"/>
    <w:rsid w:val="00F27975"/>
    <w:rsid w:val="00F27CA3"/>
    <w:rsid w:val="00F35A76"/>
    <w:rsid w:val="00F35D44"/>
    <w:rsid w:val="00F367A9"/>
    <w:rsid w:val="00F36D97"/>
    <w:rsid w:val="00F42760"/>
    <w:rsid w:val="00F43753"/>
    <w:rsid w:val="00F43D53"/>
    <w:rsid w:val="00F44D98"/>
    <w:rsid w:val="00F45616"/>
    <w:rsid w:val="00F456F8"/>
    <w:rsid w:val="00F45D51"/>
    <w:rsid w:val="00F466D8"/>
    <w:rsid w:val="00F47307"/>
    <w:rsid w:val="00F5058B"/>
    <w:rsid w:val="00F50DDE"/>
    <w:rsid w:val="00F65D0B"/>
    <w:rsid w:val="00F665F1"/>
    <w:rsid w:val="00F6744C"/>
    <w:rsid w:val="00F71A4A"/>
    <w:rsid w:val="00F71EC6"/>
    <w:rsid w:val="00F723F1"/>
    <w:rsid w:val="00F72B0E"/>
    <w:rsid w:val="00F73853"/>
    <w:rsid w:val="00F77617"/>
    <w:rsid w:val="00F80134"/>
    <w:rsid w:val="00F85142"/>
    <w:rsid w:val="00F858B9"/>
    <w:rsid w:val="00F92A75"/>
    <w:rsid w:val="00F94F52"/>
    <w:rsid w:val="00F951D0"/>
    <w:rsid w:val="00F9686F"/>
    <w:rsid w:val="00FA044B"/>
    <w:rsid w:val="00FA596A"/>
    <w:rsid w:val="00FA6176"/>
    <w:rsid w:val="00FB08E3"/>
    <w:rsid w:val="00FB091E"/>
    <w:rsid w:val="00FB58B3"/>
    <w:rsid w:val="00FB6F92"/>
    <w:rsid w:val="00FB723D"/>
    <w:rsid w:val="00FC10FC"/>
    <w:rsid w:val="00FC1A56"/>
    <w:rsid w:val="00FC2C54"/>
    <w:rsid w:val="00FC406F"/>
    <w:rsid w:val="00FD3E1D"/>
    <w:rsid w:val="00FD4B10"/>
    <w:rsid w:val="00FD5CF7"/>
    <w:rsid w:val="00FD721C"/>
    <w:rsid w:val="00FE0E99"/>
    <w:rsid w:val="00FE1A53"/>
    <w:rsid w:val="00FE393E"/>
    <w:rsid w:val="00FE4A6B"/>
    <w:rsid w:val="00FE6561"/>
    <w:rsid w:val="00FE7FAA"/>
    <w:rsid w:val="00FF1017"/>
    <w:rsid w:val="00FF1783"/>
    <w:rsid w:val="00FF26D6"/>
    <w:rsid w:val="00FF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62DA"/>
    <w:rPr>
      <w:sz w:val="24"/>
      <w:szCs w:val="24"/>
    </w:rPr>
  </w:style>
  <w:style w:type="paragraph" w:styleId="Heading1">
    <w:name w:val="heading 1"/>
    <w:basedOn w:val="Normal"/>
    <w:next w:val="Normal"/>
    <w:link w:val="Heading1Char"/>
    <w:qFormat/>
    <w:rsid w:val="00223B1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qFormat/>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1"/>
      </w:numPr>
    </w:pPr>
    <w:rPr>
      <w:sz w:val="20"/>
      <w:szCs w:val="20"/>
    </w:rPr>
  </w:style>
  <w:style w:type="character" w:styleId="Strong">
    <w:name w:val="Strong"/>
    <w:uiPriority w:val="22"/>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uiPriority w:val="99"/>
    <w:rsid w:val="00184144"/>
    <w:rPr>
      <w:vertAlign w:val="superscript"/>
    </w:rPr>
  </w:style>
  <w:style w:type="paragraph" w:styleId="ListNumber3">
    <w:name w:val="List Number 3"/>
    <w:basedOn w:val="Normal"/>
    <w:rsid w:val="0034544B"/>
    <w:pPr>
      <w:numPr>
        <w:numId w:val="2"/>
      </w:numPr>
    </w:pPr>
  </w:style>
  <w:style w:type="paragraph" w:styleId="ListBullet2">
    <w:name w:val="List Bullet 2"/>
    <w:basedOn w:val="Normal"/>
    <w:autoRedefine/>
    <w:rsid w:val="0034544B"/>
    <w:pPr>
      <w:numPr>
        <w:numId w:val="3"/>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ListParagraph">
    <w:name w:val="List Paragraph"/>
    <w:basedOn w:val="Normal"/>
    <w:uiPriority w:val="34"/>
    <w:qFormat/>
    <w:rsid w:val="00356461"/>
    <w:pPr>
      <w:ind w:left="720"/>
      <w:contextualSpacing/>
    </w:pPr>
  </w:style>
  <w:style w:type="paragraph" w:styleId="BalloonText">
    <w:name w:val="Balloon Text"/>
    <w:basedOn w:val="Normal"/>
    <w:link w:val="BalloonTextChar"/>
    <w:semiHidden/>
    <w:unhideWhenUsed/>
    <w:rsid w:val="007B28B0"/>
    <w:rPr>
      <w:rFonts w:ascii="Segoe UI" w:hAnsi="Segoe UI" w:cs="Segoe UI"/>
      <w:sz w:val="18"/>
      <w:szCs w:val="18"/>
    </w:rPr>
  </w:style>
  <w:style w:type="character" w:customStyle="1" w:styleId="BalloonTextChar">
    <w:name w:val="Balloon Text Char"/>
    <w:basedOn w:val="DefaultParagraphFont"/>
    <w:link w:val="BalloonText"/>
    <w:semiHidden/>
    <w:rsid w:val="007B28B0"/>
    <w:rPr>
      <w:rFonts w:ascii="Segoe UI" w:hAnsi="Segoe UI" w:cs="Segoe UI"/>
      <w:sz w:val="18"/>
      <w:szCs w:val="18"/>
    </w:rPr>
  </w:style>
  <w:style w:type="table" w:styleId="TableGrid">
    <w:name w:val="Table Grid"/>
    <w:basedOn w:val="TableNormal"/>
    <w:rsid w:val="007B2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23B1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773DFF"/>
    <w:rPr>
      <w:sz w:val="16"/>
      <w:szCs w:val="16"/>
    </w:rPr>
  </w:style>
  <w:style w:type="paragraph" w:styleId="CommentText">
    <w:name w:val="annotation text"/>
    <w:basedOn w:val="Normal"/>
    <w:link w:val="CommentTextChar"/>
    <w:semiHidden/>
    <w:unhideWhenUsed/>
    <w:rsid w:val="00773DFF"/>
    <w:rPr>
      <w:sz w:val="20"/>
      <w:szCs w:val="20"/>
    </w:rPr>
  </w:style>
  <w:style w:type="character" w:customStyle="1" w:styleId="CommentTextChar">
    <w:name w:val="Comment Text Char"/>
    <w:basedOn w:val="DefaultParagraphFont"/>
    <w:link w:val="CommentText"/>
    <w:semiHidden/>
    <w:rsid w:val="00773DFF"/>
  </w:style>
  <w:style w:type="paragraph" w:styleId="CommentSubject">
    <w:name w:val="annotation subject"/>
    <w:basedOn w:val="CommentText"/>
    <w:next w:val="CommentText"/>
    <w:link w:val="CommentSubjectChar"/>
    <w:semiHidden/>
    <w:unhideWhenUsed/>
    <w:rsid w:val="00773DFF"/>
    <w:rPr>
      <w:b/>
      <w:bCs/>
    </w:rPr>
  </w:style>
  <w:style w:type="character" w:customStyle="1" w:styleId="CommentSubjectChar">
    <w:name w:val="Comment Subject Char"/>
    <w:basedOn w:val="CommentTextChar"/>
    <w:link w:val="CommentSubject"/>
    <w:semiHidden/>
    <w:rsid w:val="00773DFF"/>
    <w:rPr>
      <w:b/>
      <w:bCs/>
    </w:rPr>
  </w:style>
  <w:style w:type="character" w:customStyle="1" w:styleId="FootnoteTextChar">
    <w:name w:val="Footnote Text Char"/>
    <w:basedOn w:val="DefaultParagraphFont"/>
    <w:link w:val="FootnoteText"/>
    <w:rsid w:val="009F55BC"/>
  </w:style>
  <w:style w:type="paragraph" w:styleId="Revision">
    <w:name w:val="Revision"/>
    <w:hidden/>
    <w:uiPriority w:val="99"/>
    <w:semiHidden/>
    <w:rsid w:val="008F71F6"/>
    <w:rPr>
      <w:sz w:val="24"/>
      <w:szCs w:val="24"/>
    </w:rPr>
  </w:style>
  <w:style w:type="paragraph" w:styleId="NormalWeb">
    <w:name w:val="Normal (Web)"/>
    <w:basedOn w:val="Normal"/>
    <w:uiPriority w:val="99"/>
    <w:semiHidden/>
    <w:unhideWhenUsed/>
    <w:rsid w:val="004042F3"/>
    <w:pPr>
      <w:spacing w:before="100" w:beforeAutospacing="1" w:after="100" w:afterAutospacing="1"/>
    </w:pPr>
  </w:style>
  <w:style w:type="character" w:styleId="Emphasis">
    <w:name w:val="Emphasis"/>
    <w:basedOn w:val="DefaultParagraphFont"/>
    <w:uiPriority w:val="20"/>
    <w:qFormat/>
    <w:rsid w:val="004042F3"/>
    <w:rPr>
      <w:i/>
      <w:iCs/>
    </w:rPr>
  </w:style>
  <w:style w:type="character" w:styleId="UnresolvedMention">
    <w:name w:val="Unresolved Mention"/>
    <w:basedOn w:val="DefaultParagraphFont"/>
    <w:uiPriority w:val="99"/>
    <w:semiHidden/>
    <w:unhideWhenUsed/>
    <w:rsid w:val="00586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35841">
      <w:bodyDiv w:val="1"/>
      <w:marLeft w:val="0"/>
      <w:marRight w:val="0"/>
      <w:marTop w:val="0"/>
      <w:marBottom w:val="0"/>
      <w:divBdr>
        <w:top w:val="none" w:sz="0" w:space="0" w:color="auto"/>
        <w:left w:val="none" w:sz="0" w:space="0" w:color="auto"/>
        <w:bottom w:val="none" w:sz="0" w:space="0" w:color="auto"/>
        <w:right w:val="none" w:sz="0" w:space="0" w:color="auto"/>
      </w:divBdr>
    </w:div>
    <w:div w:id="1007244424">
      <w:bodyDiv w:val="1"/>
      <w:marLeft w:val="0"/>
      <w:marRight w:val="0"/>
      <w:marTop w:val="0"/>
      <w:marBottom w:val="0"/>
      <w:divBdr>
        <w:top w:val="none" w:sz="0" w:space="0" w:color="auto"/>
        <w:left w:val="none" w:sz="0" w:space="0" w:color="auto"/>
        <w:bottom w:val="none" w:sz="0" w:space="0" w:color="auto"/>
        <w:right w:val="none" w:sz="0" w:space="0" w:color="auto"/>
      </w:divBdr>
    </w:div>
    <w:div w:id="1204562162">
      <w:bodyDiv w:val="1"/>
      <w:marLeft w:val="0"/>
      <w:marRight w:val="0"/>
      <w:marTop w:val="0"/>
      <w:marBottom w:val="0"/>
      <w:divBdr>
        <w:top w:val="none" w:sz="0" w:space="0" w:color="auto"/>
        <w:left w:val="none" w:sz="0" w:space="0" w:color="auto"/>
        <w:bottom w:val="none" w:sz="0" w:space="0" w:color="auto"/>
        <w:right w:val="none" w:sz="0" w:space="0" w:color="auto"/>
      </w:divBdr>
    </w:div>
    <w:div w:id="1558739510">
      <w:bodyDiv w:val="1"/>
      <w:marLeft w:val="0"/>
      <w:marRight w:val="0"/>
      <w:marTop w:val="0"/>
      <w:marBottom w:val="0"/>
      <w:divBdr>
        <w:top w:val="none" w:sz="0" w:space="0" w:color="auto"/>
        <w:left w:val="none" w:sz="0" w:space="0" w:color="auto"/>
        <w:bottom w:val="none" w:sz="0" w:space="0" w:color="auto"/>
        <w:right w:val="none" w:sz="0" w:space="0" w:color="auto"/>
      </w:divBdr>
    </w:div>
    <w:div w:id="1727143914">
      <w:bodyDiv w:val="1"/>
      <w:marLeft w:val="0"/>
      <w:marRight w:val="0"/>
      <w:marTop w:val="0"/>
      <w:marBottom w:val="0"/>
      <w:divBdr>
        <w:top w:val="none" w:sz="0" w:space="0" w:color="auto"/>
        <w:left w:val="none" w:sz="0" w:space="0" w:color="auto"/>
        <w:bottom w:val="none" w:sz="0" w:space="0" w:color="auto"/>
        <w:right w:val="none" w:sz="0" w:space="0" w:color="auto"/>
      </w:divBdr>
      <w:divsChild>
        <w:div w:id="767821052">
          <w:marLeft w:val="0"/>
          <w:marRight w:val="0"/>
          <w:marTop w:val="0"/>
          <w:marBottom w:val="0"/>
          <w:divBdr>
            <w:top w:val="none" w:sz="0" w:space="0" w:color="auto"/>
            <w:left w:val="none" w:sz="0" w:space="0" w:color="auto"/>
            <w:bottom w:val="none" w:sz="0" w:space="0" w:color="auto"/>
            <w:right w:val="none" w:sz="0" w:space="0" w:color="auto"/>
          </w:divBdr>
        </w:div>
        <w:div w:id="800344679">
          <w:marLeft w:val="0"/>
          <w:marRight w:val="0"/>
          <w:marTop w:val="0"/>
          <w:marBottom w:val="0"/>
          <w:divBdr>
            <w:top w:val="none" w:sz="0" w:space="0" w:color="auto"/>
            <w:left w:val="none" w:sz="0" w:space="0" w:color="auto"/>
            <w:bottom w:val="none" w:sz="0" w:space="0" w:color="auto"/>
            <w:right w:val="none" w:sz="0" w:space="0" w:color="auto"/>
          </w:divBdr>
        </w:div>
      </w:divsChild>
    </w:div>
    <w:div w:id="1844776457">
      <w:bodyDiv w:val="1"/>
      <w:marLeft w:val="0"/>
      <w:marRight w:val="0"/>
      <w:marTop w:val="0"/>
      <w:marBottom w:val="0"/>
      <w:divBdr>
        <w:top w:val="none" w:sz="0" w:space="0" w:color="auto"/>
        <w:left w:val="none" w:sz="0" w:space="0" w:color="auto"/>
        <w:bottom w:val="none" w:sz="0" w:space="0" w:color="auto"/>
        <w:right w:val="none" w:sz="0" w:space="0" w:color="auto"/>
      </w:divBdr>
    </w:div>
    <w:div w:id="20626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BF79-D14D-4216-961B-8226529EA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1467</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32</cp:revision>
  <cp:lastPrinted>2020-02-25T14:56:00Z</cp:lastPrinted>
  <dcterms:created xsi:type="dcterms:W3CDTF">2020-10-22T13:57:00Z</dcterms:created>
  <dcterms:modified xsi:type="dcterms:W3CDTF">2020-11-16T14:14:00Z</dcterms:modified>
</cp:coreProperties>
</file>