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5EA1058D" w:rsidR="002A1316" w:rsidRPr="00420DCD" w:rsidRDefault="002A1316" w:rsidP="00B30CA0">
      <w:pPr>
        <w:pStyle w:val="Heading2"/>
        <w:rPr>
          <w:bCs/>
          <w:sz w:val="22"/>
          <w:szCs w:val="22"/>
        </w:rPr>
      </w:pPr>
      <w:r w:rsidRPr="00016321">
        <w:rPr>
          <w:b/>
          <w:sz w:val="22"/>
          <w:szCs w:val="22"/>
        </w:rPr>
        <w:t>Issue:</w:t>
      </w:r>
      <w:r w:rsidR="00684FF4">
        <w:rPr>
          <w:b/>
          <w:sz w:val="22"/>
          <w:szCs w:val="22"/>
        </w:rPr>
        <w:t xml:space="preserve"> </w:t>
      </w:r>
      <w:r w:rsidR="001E55AE">
        <w:rPr>
          <w:b/>
          <w:sz w:val="22"/>
          <w:szCs w:val="22"/>
        </w:rPr>
        <w:t>Pension Risk Transfer – Separate Account Disclosure</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28DC009B"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B8529C">
        <w:rPr>
          <w:sz w:val="22"/>
          <w:szCs w:val="22"/>
        </w:rPr>
        <w:fldChar w:fldCharType="begin">
          <w:ffData>
            <w:name w:val="Check1"/>
            <w:enabled/>
            <w:calcOnExit w:val="0"/>
            <w:checkBox>
              <w:sizeAuto/>
              <w:default w:val="0"/>
            </w:checkBox>
          </w:ffData>
        </w:fldChar>
      </w:r>
      <w:r w:rsidR="00B8529C">
        <w:rPr>
          <w:sz w:val="22"/>
          <w:szCs w:val="22"/>
        </w:rPr>
        <w:instrText xml:space="preserve"> </w:instrText>
      </w:r>
      <w:bookmarkStart w:id="0" w:name="Check1"/>
      <w:r w:rsidR="00B8529C">
        <w:rPr>
          <w:sz w:val="22"/>
          <w:szCs w:val="22"/>
        </w:rPr>
        <w:instrText xml:space="preserve">FORMCHECKBOX </w:instrText>
      </w:r>
      <w:r w:rsidR="003D2855">
        <w:rPr>
          <w:sz w:val="22"/>
          <w:szCs w:val="22"/>
        </w:rPr>
      </w:r>
      <w:r w:rsidR="003D2855">
        <w:rPr>
          <w:sz w:val="22"/>
          <w:szCs w:val="22"/>
        </w:rPr>
        <w:fldChar w:fldCharType="separate"/>
      </w:r>
      <w:r w:rsidR="00B8529C">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D2855">
        <w:rPr>
          <w:sz w:val="22"/>
          <w:szCs w:val="22"/>
        </w:rPr>
      </w:r>
      <w:r w:rsidR="003D2855">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6FAF16C" w14:textId="0CBF1A86" w:rsidR="002A1316" w:rsidRDefault="002A1316" w:rsidP="00B30CA0">
      <w:pPr>
        <w:pStyle w:val="BodyText2"/>
        <w:rPr>
          <w:bCs w:val="0"/>
          <w:szCs w:val="22"/>
        </w:rPr>
      </w:pPr>
      <w:r w:rsidRPr="00016321">
        <w:rPr>
          <w:bCs w:val="0"/>
          <w:szCs w:val="22"/>
        </w:rPr>
        <w:t>Description of Issue:</w:t>
      </w:r>
    </w:p>
    <w:p w14:paraId="52A5780B" w14:textId="15339D92" w:rsidR="00B62A51" w:rsidRDefault="006410E6" w:rsidP="00BA08A3">
      <w:pPr>
        <w:pStyle w:val="BodyText2"/>
        <w:rPr>
          <w:b w:val="0"/>
          <w:bCs w:val="0"/>
          <w:szCs w:val="22"/>
        </w:rPr>
      </w:pPr>
      <w:bookmarkStart w:id="1" w:name="_Hlk19262855"/>
      <w:bookmarkStart w:id="2" w:name="_Hlk33628480"/>
      <w:bookmarkStart w:id="3" w:name="_Hlk33627662"/>
      <w:bookmarkStart w:id="4" w:name="_Hlk33628926"/>
      <w:r>
        <w:rPr>
          <w:b w:val="0"/>
          <w:bCs w:val="0"/>
          <w:szCs w:val="22"/>
        </w:rPr>
        <w:t xml:space="preserve">This agenda item </w:t>
      </w:r>
      <w:r w:rsidR="00DE1262">
        <w:rPr>
          <w:b w:val="0"/>
          <w:bCs w:val="0"/>
          <w:szCs w:val="22"/>
        </w:rPr>
        <w:t>propose</w:t>
      </w:r>
      <w:r w:rsidR="005517D4">
        <w:rPr>
          <w:b w:val="0"/>
          <w:bCs w:val="0"/>
          <w:szCs w:val="22"/>
        </w:rPr>
        <w:t>s</w:t>
      </w:r>
      <w:r w:rsidR="00DE1262">
        <w:rPr>
          <w:b w:val="0"/>
          <w:bCs w:val="0"/>
          <w:szCs w:val="22"/>
        </w:rPr>
        <w:t xml:space="preserve"> </w:t>
      </w:r>
      <w:r w:rsidR="00574954">
        <w:rPr>
          <w:b w:val="0"/>
          <w:bCs w:val="0"/>
          <w:szCs w:val="22"/>
        </w:rPr>
        <w:t xml:space="preserve">increased product </w:t>
      </w:r>
      <w:r w:rsidR="00B62A51">
        <w:rPr>
          <w:b w:val="0"/>
          <w:bCs w:val="0"/>
          <w:szCs w:val="22"/>
        </w:rPr>
        <w:t xml:space="preserve">identification and disclosure of pension risk transfer (PRT) transactions in the separate account financial statements. At the request of regulators, in response to the recent growth of PRT, improved reporting </w:t>
      </w:r>
      <w:r w:rsidR="008C0849">
        <w:rPr>
          <w:b w:val="0"/>
          <w:bCs w:val="0"/>
          <w:szCs w:val="22"/>
        </w:rPr>
        <w:t xml:space="preserve">is sought </w:t>
      </w:r>
      <w:r w:rsidR="00B62A51">
        <w:rPr>
          <w:b w:val="0"/>
          <w:bCs w:val="0"/>
          <w:szCs w:val="22"/>
        </w:rPr>
        <w:t>so regulators can more readily identify</w:t>
      </w:r>
      <w:r w:rsidR="00502D1A">
        <w:rPr>
          <w:b w:val="0"/>
          <w:bCs w:val="0"/>
          <w:szCs w:val="22"/>
        </w:rPr>
        <w:t xml:space="preserve"> and analyze such transactions. Regulators request</w:t>
      </w:r>
      <w:r w:rsidR="008C0849">
        <w:rPr>
          <w:b w:val="0"/>
          <w:bCs w:val="0"/>
          <w:szCs w:val="22"/>
        </w:rPr>
        <w:t>ed</w:t>
      </w:r>
      <w:r w:rsidR="00502D1A">
        <w:rPr>
          <w:b w:val="0"/>
          <w:bCs w:val="0"/>
          <w:szCs w:val="22"/>
        </w:rPr>
        <w:t xml:space="preserve"> </w:t>
      </w:r>
      <w:r w:rsidR="00CA26A5">
        <w:rPr>
          <w:b w:val="0"/>
          <w:bCs w:val="0"/>
          <w:szCs w:val="22"/>
        </w:rPr>
        <w:t xml:space="preserve">several enhancements, including </w:t>
      </w:r>
      <w:r w:rsidR="00E46E77">
        <w:rPr>
          <w:b w:val="0"/>
          <w:bCs w:val="0"/>
          <w:szCs w:val="22"/>
        </w:rPr>
        <w:t xml:space="preserve">separated PRT reporting and </w:t>
      </w:r>
      <w:r w:rsidR="00CA26A5">
        <w:rPr>
          <w:b w:val="0"/>
          <w:bCs w:val="0"/>
          <w:szCs w:val="22"/>
        </w:rPr>
        <w:t>improved</w:t>
      </w:r>
      <w:r w:rsidR="00E46E77">
        <w:rPr>
          <w:b w:val="0"/>
          <w:bCs w:val="0"/>
          <w:szCs w:val="22"/>
        </w:rPr>
        <w:t xml:space="preserve"> PRT</w:t>
      </w:r>
      <w:r w:rsidR="00CA26A5">
        <w:rPr>
          <w:b w:val="0"/>
          <w:bCs w:val="0"/>
          <w:szCs w:val="22"/>
        </w:rPr>
        <w:t xml:space="preserve"> disclosure regarding </w:t>
      </w:r>
      <w:r w:rsidR="00E46E77">
        <w:rPr>
          <w:b w:val="0"/>
          <w:bCs w:val="0"/>
          <w:szCs w:val="22"/>
        </w:rPr>
        <w:t>r</w:t>
      </w:r>
      <w:r w:rsidR="00CA26A5">
        <w:rPr>
          <w:b w:val="0"/>
          <w:bCs w:val="0"/>
          <w:szCs w:val="22"/>
        </w:rPr>
        <w:t>eserves</w:t>
      </w:r>
      <w:r w:rsidR="00B62A51">
        <w:rPr>
          <w:b w:val="0"/>
          <w:bCs w:val="0"/>
          <w:szCs w:val="22"/>
        </w:rPr>
        <w:t xml:space="preserve">, associated </w:t>
      </w:r>
      <w:r w:rsidR="00CA26A5">
        <w:rPr>
          <w:b w:val="0"/>
          <w:bCs w:val="0"/>
          <w:szCs w:val="22"/>
        </w:rPr>
        <w:t>assets,</w:t>
      </w:r>
      <w:r w:rsidR="00B62A51">
        <w:rPr>
          <w:b w:val="0"/>
          <w:bCs w:val="0"/>
          <w:szCs w:val="22"/>
        </w:rPr>
        <w:t xml:space="preserve"> and </w:t>
      </w:r>
      <w:r w:rsidR="002E7F85">
        <w:rPr>
          <w:b w:val="0"/>
          <w:bCs w:val="0"/>
          <w:szCs w:val="22"/>
        </w:rPr>
        <w:t>general account exposur</w:t>
      </w:r>
      <w:r w:rsidR="00CA26A5">
        <w:rPr>
          <w:b w:val="0"/>
          <w:bCs w:val="0"/>
          <w:szCs w:val="22"/>
        </w:rPr>
        <w:t>e.</w:t>
      </w:r>
    </w:p>
    <w:p w14:paraId="1F8E8B95" w14:textId="77777777" w:rsidR="002E7F85" w:rsidRDefault="002E7F85" w:rsidP="002E7F85">
      <w:pPr>
        <w:pStyle w:val="BodyText2"/>
        <w:rPr>
          <w:b w:val="0"/>
          <w:bCs w:val="0"/>
          <w:szCs w:val="22"/>
        </w:rPr>
      </w:pPr>
    </w:p>
    <w:p w14:paraId="0BA88316" w14:textId="20D26229" w:rsidR="002E7F85" w:rsidRDefault="002E7F85" w:rsidP="002E7F85">
      <w:pPr>
        <w:pStyle w:val="BodyText2"/>
        <w:rPr>
          <w:b w:val="0"/>
          <w:bCs w:val="0"/>
          <w:szCs w:val="22"/>
        </w:rPr>
      </w:pPr>
      <w:r>
        <w:rPr>
          <w:b w:val="0"/>
          <w:bCs w:val="0"/>
          <w:szCs w:val="22"/>
        </w:rPr>
        <w:t>As a brief background, a pension risk transfer is when a defined-benefit pension provider seeks to remove some or all of its obligation to pay guaranteed retirement income to plan participants. In these transactions, the pension providers will generally transfer assets to an insurer, for which the insurer assumes the annuity risk for plan participants. According to AM Best, there were over 500 single premium pension contract buyouts totaling $28 billion in 2019. Due to organizations wanting to alleviate their pension liability, it is expected that PRT transactions will not subside in the near future</w:t>
      </w:r>
      <w:r w:rsidR="00502D1A">
        <w:rPr>
          <w:b w:val="0"/>
          <w:bCs w:val="0"/>
          <w:szCs w:val="22"/>
        </w:rPr>
        <w:t>.</w:t>
      </w:r>
      <w:r>
        <w:rPr>
          <w:b w:val="0"/>
          <w:bCs w:val="0"/>
          <w:szCs w:val="22"/>
        </w:rPr>
        <w:t xml:space="preserve"> </w:t>
      </w:r>
    </w:p>
    <w:p w14:paraId="2E0764CF" w14:textId="231BC298" w:rsidR="00B62A51" w:rsidRDefault="00B62A51" w:rsidP="00BA08A3">
      <w:pPr>
        <w:pStyle w:val="BodyText2"/>
        <w:rPr>
          <w:b w:val="0"/>
          <w:bCs w:val="0"/>
          <w:szCs w:val="22"/>
        </w:rPr>
      </w:pPr>
    </w:p>
    <w:p w14:paraId="1E6F6538" w14:textId="2EDCA675" w:rsidR="00570A3E" w:rsidRDefault="00502D1A" w:rsidP="00BA08A3">
      <w:pPr>
        <w:pStyle w:val="BodyText2"/>
        <w:rPr>
          <w:b w:val="0"/>
          <w:bCs w:val="0"/>
          <w:szCs w:val="22"/>
        </w:rPr>
      </w:pPr>
      <w:r>
        <w:rPr>
          <w:b w:val="0"/>
          <w:bCs w:val="0"/>
          <w:szCs w:val="22"/>
        </w:rPr>
        <w:t>Currently,</w:t>
      </w:r>
      <w:r w:rsidR="005A7D20">
        <w:rPr>
          <w:b w:val="0"/>
          <w:bCs w:val="0"/>
          <w:szCs w:val="22"/>
        </w:rPr>
        <w:t xml:space="preserve"> the most specific details concerning PRT</w:t>
      </w:r>
      <w:r>
        <w:rPr>
          <w:b w:val="0"/>
          <w:bCs w:val="0"/>
          <w:szCs w:val="22"/>
        </w:rPr>
        <w:t xml:space="preserve"> transactions are generally cap</w:t>
      </w:r>
      <w:r w:rsidR="005A7D20">
        <w:rPr>
          <w:b w:val="0"/>
          <w:bCs w:val="0"/>
          <w:szCs w:val="22"/>
        </w:rPr>
        <w:t xml:space="preserve">tured/disclosed in question 1.01 (product mix) of the separate account general interrogatories (GI 1.01). </w:t>
      </w:r>
      <w:r w:rsidR="00570A3E">
        <w:rPr>
          <w:b w:val="0"/>
          <w:bCs w:val="0"/>
          <w:szCs w:val="22"/>
        </w:rPr>
        <w:t>For reference, GI 1.01 is shown below:</w:t>
      </w:r>
    </w:p>
    <w:p w14:paraId="1520E59B" w14:textId="77777777" w:rsidR="00570A3E" w:rsidRDefault="00570A3E" w:rsidP="00BA08A3">
      <w:pPr>
        <w:pStyle w:val="BodyText2"/>
        <w:rPr>
          <w:b w:val="0"/>
          <w:bCs w:val="0"/>
          <w:szCs w:val="22"/>
        </w:rPr>
      </w:pPr>
    </w:p>
    <w:p w14:paraId="353CA1EA" w14:textId="420C7A9D" w:rsidR="00570A3E" w:rsidRPr="00F10BC9" w:rsidRDefault="00570A3E" w:rsidP="00F433CB">
      <w:pPr>
        <w:tabs>
          <w:tab w:val="left" w:pos="715"/>
        </w:tabs>
        <w:spacing w:before="60" w:after="60"/>
        <w:ind w:left="715"/>
        <w:jc w:val="both"/>
        <w:rPr>
          <w:rFonts w:ascii="Arial" w:hAnsi="Arial" w:cs="Arial"/>
          <w:sz w:val="20"/>
          <w:szCs w:val="20"/>
        </w:rPr>
      </w:pPr>
      <w:r w:rsidRPr="00F10BC9">
        <w:rPr>
          <w:rFonts w:ascii="Arial" w:hAnsi="Arial" w:cs="Arial"/>
          <w:sz w:val="20"/>
          <w:szCs w:val="20"/>
        </w:rPr>
        <w:t>1.01</w:t>
      </w:r>
      <w:r w:rsidRPr="00F10BC9">
        <w:rPr>
          <w:rFonts w:ascii="Arial" w:hAnsi="Arial" w:cs="Arial"/>
          <w:sz w:val="20"/>
          <w:szCs w:val="20"/>
        </w:rPr>
        <w:tab/>
        <w:t xml:space="preserve">Identify the product types in the separate account, quantify the assets associated with those products, indicate if there are any guarantees associated with those products, quantify seed money and quantify other fees and expenses due to the general account: </w:t>
      </w:r>
    </w:p>
    <w:p w14:paraId="44A3BA35" w14:textId="77777777" w:rsidR="00570A3E" w:rsidRPr="002546B4" w:rsidRDefault="00570A3E" w:rsidP="00570A3E">
      <w:pPr>
        <w:spacing w:before="60" w:after="60"/>
        <w:rPr>
          <w:sz w:val="14"/>
        </w:rPr>
      </w:pPr>
    </w:p>
    <w:tbl>
      <w:tblPr>
        <w:tblW w:w="7966" w:type="dxa"/>
        <w:tblInd w:w="576" w:type="dxa"/>
        <w:tblLayout w:type="fixed"/>
        <w:tblLook w:val="0000" w:firstRow="0" w:lastRow="0" w:firstColumn="0" w:lastColumn="0" w:noHBand="0" w:noVBand="0"/>
      </w:tblPr>
      <w:tblGrid>
        <w:gridCol w:w="1126"/>
        <w:gridCol w:w="1260"/>
        <w:gridCol w:w="1170"/>
        <w:gridCol w:w="1080"/>
        <w:gridCol w:w="990"/>
        <w:gridCol w:w="1170"/>
        <w:gridCol w:w="1170"/>
      </w:tblGrid>
      <w:tr w:rsidR="00570A3E" w:rsidRPr="002546B4" w14:paraId="39CF361B" w14:textId="77777777" w:rsidTr="00AC4708">
        <w:trPr>
          <w:cantSplit/>
          <w:trHeight w:val="120"/>
        </w:trPr>
        <w:tc>
          <w:tcPr>
            <w:tcW w:w="1126" w:type="dxa"/>
            <w:vMerge w:val="restart"/>
            <w:tcBorders>
              <w:top w:val="single" w:sz="6" w:space="0" w:color="auto"/>
              <w:left w:val="single" w:sz="6" w:space="0" w:color="auto"/>
              <w:right w:val="single" w:sz="6" w:space="0" w:color="auto"/>
            </w:tcBorders>
            <w:shd w:val="clear" w:color="auto" w:fill="auto"/>
          </w:tcPr>
          <w:p w14:paraId="582B4A36" w14:textId="77777777" w:rsidR="00570A3E" w:rsidRPr="00682A16" w:rsidRDefault="00570A3E" w:rsidP="00AC4708">
            <w:pPr>
              <w:jc w:val="center"/>
              <w:rPr>
                <w:rFonts w:ascii="Arial" w:hAnsi="Arial" w:cs="Arial"/>
                <w:sz w:val="14"/>
              </w:rPr>
            </w:pPr>
            <w:r w:rsidRPr="00682A16">
              <w:rPr>
                <w:rFonts w:ascii="Arial" w:hAnsi="Arial" w:cs="Arial"/>
                <w:sz w:val="14"/>
              </w:rPr>
              <w:t>1</w:t>
            </w:r>
          </w:p>
          <w:p w14:paraId="0FCAD3FC" w14:textId="77777777" w:rsidR="00570A3E" w:rsidRPr="00682A16" w:rsidRDefault="00570A3E" w:rsidP="00AC4708">
            <w:pPr>
              <w:jc w:val="center"/>
              <w:rPr>
                <w:rFonts w:ascii="Arial" w:hAnsi="Arial" w:cs="Arial"/>
                <w:sz w:val="14"/>
              </w:rPr>
            </w:pPr>
          </w:p>
          <w:p w14:paraId="73332045" w14:textId="77777777" w:rsidR="00570A3E" w:rsidRPr="00682A16" w:rsidRDefault="00570A3E" w:rsidP="00AC4708">
            <w:pPr>
              <w:jc w:val="center"/>
              <w:rPr>
                <w:rFonts w:ascii="Arial" w:hAnsi="Arial" w:cs="Arial"/>
                <w:sz w:val="14"/>
              </w:rPr>
            </w:pPr>
          </w:p>
          <w:p w14:paraId="0B69D9FA" w14:textId="77777777" w:rsidR="00570A3E" w:rsidRPr="00682A16" w:rsidRDefault="00570A3E" w:rsidP="00AC4708">
            <w:pPr>
              <w:jc w:val="center"/>
              <w:rPr>
                <w:rFonts w:ascii="Arial" w:hAnsi="Arial" w:cs="Arial"/>
                <w:sz w:val="14"/>
              </w:rPr>
            </w:pPr>
          </w:p>
          <w:p w14:paraId="76DBF64D" w14:textId="77777777" w:rsidR="00570A3E" w:rsidRPr="00682A16" w:rsidRDefault="00570A3E" w:rsidP="00AC4708">
            <w:pPr>
              <w:jc w:val="center"/>
              <w:rPr>
                <w:rFonts w:ascii="Arial" w:hAnsi="Arial" w:cs="Arial"/>
                <w:sz w:val="14"/>
              </w:rPr>
            </w:pPr>
            <w:r w:rsidRPr="00682A16">
              <w:rPr>
                <w:rFonts w:ascii="Arial" w:hAnsi="Arial" w:cs="Arial"/>
                <w:sz w:val="14"/>
              </w:rPr>
              <w:t>Product Identifier</w:t>
            </w:r>
          </w:p>
        </w:tc>
        <w:tc>
          <w:tcPr>
            <w:tcW w:w="2430" w:type="dxa"/>
            <w:gridSpan w:val="2"/>
            <w:tcBorders>
              <w:top w:val="single" w:sz="6" w:space="0" w:color="auto"/>
              <w:left w:val="single" w:sz="6" w:space="0" w:color="auto"/>
              <w:bottom w:val="single" w:sz="4" w:space="0" w:color="auto"/>
              <w:right w:val="single" w:sz="6" w:space="0" w:color="auto"/>
            </w:tcBorders>
            <w:shd w:val="clear" w:color="auto" w:fill="auto"/>
          </w:tcPr>
          <w:p w14:paraId="6F84E7CC" w14:textId="77777777" w:rsidR="00570A3E" w:rsidRPr="00682A16" w:rsidRDefault="00570A3E" w:rsidP="00AC4708">
            <w:pPr>
              <w:jc w:val="center"/>
              <w:rPr>
                <w:rFonts w:ascii="Arial" w:hAnsi="Arial" w:cs="Arial"/>
                <w:sz w:val="14"/>
              </w:rPr>
            </w:pPr>
            <w:r w:rsidRPr="00682A16">
              <w:rPr>
                <w:rFonts w:ascii="Arial" w:hAnsi="Arial" w:cs="Arial"/>
                <w:sz w:val="14"/>
              </w:rPr>
              <w:t>Separate Account Assets</w:t>
            </w:r>
          </w:p>
        </w:tc>
        <w:tc>
          <w:tcPr>
            <w:tcW w:w="1080" w:type="dxa"/>
            <w:vMerge w:val="restart"/>
            <w:tcBorders>
              <w:top w:val="single" w:sz="6" w:space="0" w:color="auto"/>
              <w:left w:val="single" w:sz="6" w:space="0" w:color="auto"/>
              <w:right w:val="single" w:sz="6" w:space="0" w:color="auto"/>
            </w:tcBorders>
            <w:shd w:val="clear" w:color="auto" w:fill="auto"/>
          </w:tcPr>
          <w:p w14:paraId="58BD78D1" w14:textId="77777777" w:rsidR="00570A3E" w:rsidRPr="00682A16" w:rsidRDefault="00570A3E" w:rsidP="00AC4708">
            <w:pPr>
              <w:jc w:val="center"/>
              <w:rPr>
                <w:rFonts w:ascii="Arial" w:hAnsi="Arial" w:cs="Arial"/>
                <w:sz w:val="14"/>
              </w:rPr>
            </w:pPr>
            <w:r w:rsidRPr="00682A16">
              <w:rPr>
                <w:rFonts w:ascii="Arial" w:hAnsi="Arial" w:cs="Arial"/>
                <w:sz w:val="14"/>
              </w:rPr>
              <w:t>4</w:t>
            </w:r>
          </w:p>
          <w:p w14:paraId="77D0BF91" w14:textId="77777777" w:rsidR="00570A3E" w:rsidRPr="00682A16" w:rsidRDefault="00570A3E" w:rsidP="00AC4708">
            <w:pPr>
              <w:jc w:val="center"/>
              <w:rPr>
                <w:rFonts w:ascii="Arial" w:hAnsi="Arial" w:cs="Arial"/>
                <w:sz w:val="14"/>
              </w:rPr>
            </w:pPr>
            <w:r w:rsidRPr="00682A16">
              <w:rPr>
                <w:rFonts w:ascii="Arial" w:hAnsi="Arial" w:cs="Arial"/>
                <w:sz w:val="14"/>
              </w:rPr>
              <w:t>Guarantees Associated with</w:t>
            </w:r>
          </w:p>
          <w:p w14:paraId="1E520F1F" w14:textId="77777777" w:rsidR="00570A3E" w:rsidRPr="00682A16" w:rsidRDefault="00570A3E" w:rsidP="00AC4708">
            <w:pPr>
              <w:jc w:val="center"/>
              <w:rPr>
                <w:rFonts w:ascii="Arial" w:hAnsi="Arial" w:cs="Arial"/>
                <w:sz w:val="14"/>
              </w:rPr>
            </w:pPr>
            <w:r w:rsidRPr="00682A16">
              <w:rPr>
                <w:rFonts w:ascii="Arial" w:hAnsi="Arial" w:cs="Arial"/>
                <w:sz w:val="14"/>
              </w:rPr>
              <w:t>the Product</w:t>
            </w:r>
          </w:p>
          <w:p w14:paraId="4D1ACC09" w14:textId="77777777" w:rsidR="00570A3E" w:rsidRPr="00682A16" w:rsidRDefault="00570A3E" w:rsidP="00AC4708">
            <w:pPr>
              <w:jc w:val="center"/>
              <w:rPr>
                <w:rFonts w:ascii="Arial" w:hAnsi="Arial" w:cs="Arial"/>
                <w:sz w:val="14"/>
              </w:rPr>
            </w:pPr>
            <w:r w:rsidRPr="00682A16">
              <w:rPr>
                <w:rFonts w:ascii="Arial" w:hAnsi="Arial" w:cs="Arial"/>
                <w:sz w:val="14"/>
              </w:rPr>
              <w:t>Yes/No</w:t>
            </w:r>
          </w:p>
        </w:tc>
        <w:tc>
          <w:tcPr>
            <w:tcW w:w="990" w:type="dxa"/>
            <w:vMerge w:val="restart"/>
            <w:tcBorders>
              <w:top w:val="single" w:sz="6" w:space="0" w:color="auto"/>
              <w:left w:val="single" w:sz="6" w:space="0" w:color="auto"/>
              <w:right w:val="single" w:sz="6" w:space="0" w:color="auto"/>
            </w:tcBorders>
            <w:shd w:val="clear" w:color="auto" w:fill="auto"/>
          </w:tcPr>
          <w:p w14:paraId="181262D1" w14:textId="77777777" w:rsidR="00570A3E" w:rsidRPr="00682A16" w:rsidRDefault="00570A3E" w:rsidP="00AC4708">
            <w:pPr>
              <w:jc w:val="center"/>
              <w:rPr>
                <w:rFonts w:ascii="Arial" w:hAnsi="Arial" w:cs="Arial"/>
                <w:sz w:val="14"/>
              </w:rPr>
            </w:pPr>
            <w:r w:rsidRPr="00682A16">
              <w:rPr>
                <w:rFonts w:ascii="Arial" w:hAnsi="Arial" w:cs="Arial"/>
                <w:sz w:val="14"/>
              </w:rPr>
              <w:t>5</w:t>
            </w:r>
          </w:p>
          <w:p w14:paraId="1465B4D6" w14:textId="77777777" w:rsidR="00570A3E" w:rsidRPr="00682A16" w:rsidRDefault="00570A3E" w:rsidP="00AC4708">
            <w:pPr>
              <w:jc w:val="center"/>
              <w:rPr>
                <w:rFonts w:ascii="Arial" w:hAnsi="Arial" w:cs="Arial"/>
                <w:sz w:val="14"/>
              </w:rPr>
            </w:pPr>
          </w:p>
          <w:p w14:paraId="1CD71F1B" w14:textId="77777777" w:rsidR="00570A3E" w:rsidRPr="00682A16" w:rsidRDefault="00570A3E" w:rsidP="00AC4708">
            <w:pPr>
              <w:jc w:val="center"/>
              <w:rPr>
                <w:rFonts w:ascii="Arial" w:hAnsi="Arial" w:cs="Arial"/>
                <w:sz w:val="14"/>
              </w:rPr>
            </w:pPr>
          </w:p>
          <w:p w14:paraId="03D10C7B" w14:textId="77777777" w:rsidR="00570A3E" w:rsidRPr="00682A16" w:rsidRDefault="00570A3E" w:rsidP="00AC4708">
            <w:pPr>
              <w:jc w:val="center"/>
              <w:rPr>
                <w:rFonts w:ascii="Arial" w:hAnsi="Arial" w:cs="Arial"/>
                <w:sz w:val="14"/>
              </w:rPr>
            </w:pPr>
          </w:p>
          <w:p w14:paraId="05D86A9B" w14:textId="77777777" w:rsidR="00570A3E" w:rsidRPr="00682A16" w:rsidRDefault="00570A3E" w:rsidP="00AC4708">
            <w:pPr>
              <w:jc w:val="center"/>
              <w:rPr>
                <w:rFonts w:ascii="Arial" w:hAnsi="Arial" w:cs="Arial"/>
                <w:sz w:val="14"/>
              </w:rPr>
            </w:pPr>
          </w:p>
          <w:p w14:paraId="5A7E7E52" w14:textId="77777777" w:rsidR="00570A3E" w:rsidRPr="00682A16" w:rsidRDefault="00570A3E" w:rsidP="00AC4708">
            <w:pPr>
              <w:jc w:val="center"/>
              <w:rPr>
                <w:rFonts w:ascii="Arial" w:hAnsi="Arial" w:cs="Arial"/>
                <w:sz w:val="14"/>
              </w:rPr>
            </w:pPr>
            <w:r w:rsidRPr="00682A16">
              <w:rPr>
                <w:rFonts w:ascii="Arial" w:hAnsi="Arial" w:cs="Arial"/>
                <w:sz w:val="14"/>
              </w:rPr>
              <w:t>Seed Money</w:t>
            </w:r>
          </w:p>
        </w:tc>
        <w:tc>
          <w:tcPr>
            <w:tcW w:w="1170" w:type="dxa"/>
            <w:vMerge w:val="restart"/>
            <w:tcBorders>
              <w:top w:val="single" w:sz="6" w:space="0" w:color="auto"/>
              <w:left w:val="single" w:sz="6" w:space="0" w:color="auto"/>
              <w:right w:val="single" w:sz="6" w:space="0" w:color="auto"/>
            </w:tcBorders>
            <w:shd w:val="clear" w:color="auto" w:fill="auto"/>
          </w:tcPr>
          <w:p w14:paraId="41C0EA9A" w14:textId="77777777" w:rsidR="00570A3E" w:rsidRPr="00682A16" w:rsidRDefault="00570A3E" w:rsidP="00AC4708">
            <w:pPr>
              <w:jc w:val="center"/>
              <w:rPr>
                <w:rFonts w:ascii="Arial" w:hAnsi="Arial" w:cs="Arial"/>
                <w:sz w:val="14"/>
              </w:rPr>
            </w:pPr>
            <w:r w:rsidRPr="00682A16">
              <w:rPr>
                <w:rFonts w:ascii="Arial" w:hAnsi="Arial" w:cs="Arial"/>
                <w:sz w:val="14"/>
              </w:rPr>
              <w:t>6</w:t>
            </w:r>
          </w:p>
          <w:p w14:paraId="20F4F57B" w14:textId="77777777" w:rsidR="00570A3E" w:rsidRPr="00682A16" w:rsidRDefault="00570A3E" w:rsidP="00AC4708">
            <w:pPr>
              <w:jc w:val="center"/>
              <w:rPr>
                <w:rFonts w:ascii="Arial" w:hAnsi="Arial" w:cs="Arial"/>
                <w:sz w:val="14"/>
              </w:rPr>
            </w:pPr>
          </w:p>
          <w:p w14:paraId="707A39DC" w14:textId="77777777" w:rsidR="00570A3E" w:rsidRPr="00682A16" w:rsidRDefault="00570A3E" w:rsidP="00AC4708">
            <w:pPr>
              <w:jc w:val="center"/>
              <w:rPr>
                <w:rFonts w:ascii="Arial" w:hAnsi="Arial" w:cs="Arial"/>
                <w:sz w:val="14"/>
              </w:rPr>
            </w:pPr>
            <w:r w:rsidRPr="00682A16">
              <w:rPr>
                <w:rFonts w:ascii="Arial" w:hAnsi="Arial" w:cs="Arial"/>
                <w:sz w:val="14"/>
              </w:rPr>
              <w:t>Fees and Expenses</w:t>
            </w:r>
          </w:p>
          <w:p w14:paraId="1C0AA662" w14:textId="77777777" w:rsidR="00570A3E" w:rsidRPr="00682A16" w:rsidRDefault="00570A3E" w:rsidP="00AC4708">
            <w:pPr>
              <w:jc w:val="center"/>
              <w:rPr>
                <w:rFonts w:ascii="Arial" w:hAnsi="Arial" w:cs="Arial"/>
                <w:sz w:val="14"/>
              </w:rPr>
            </w:pPr>
            <w:r w:rsidRPr="00682A16">
              <w:rPr>
                <w:rFonts w:ascii="Arial" w:hAnsi="Arial" w:cs="Arial"/>
                <w:sz w:val="14"/>
              </w:rPr>
              <w:t>Due to the</w:t>
            </w:r>
          </w:p>
          <w:p w14:paraId="5F9DC202" w14:textId="77777777" w:rsidR="00570A3E" w:rsidRPr="00682A16" w:rsidRDefault="00570A3E" w:rsidP="00AC4708">
            <w:pPr>
              <w:jc w:val="center"/>
              <w:rPr>
                <w:rFonts w:ascii="Arial" w:hAnsi="Arial" w:cs="Arial"/>
                <w:sz w:val="14"/>
              </w:rPr>
            </w:pPr>
            <w:r w:rsidRPr="00682A16">
              <w:rPr>
                <w:rFonts w:ascii="Arial" w:hAnsi="Arial" w:cs="Arial"/>
                <w:sz w:val="14"/>
              </w:rPr>
              <w:t>General Account</w:t>
            </w:r>
          </w:p>
        </w:tc>
        <w:tc>
          <w:tcPr>
            <w:tcW w:w="1170" w:type="dxa"/>
            <w:vMerge w:val="restart"/>
            <w:tcBorders>
              <w:top w:val="single" w:sz="6" w:space="0" w:color="auto"/>
              <w:left w:val="single" w:sz="6" w:space="0" w:color="auto"/>
              <w:right w:val="single" w:sz="6" w:space="0" w:color="auto"/>
            </w:tcBorders>
            <w:shd w:val="clear" w:color="auto" w:fill="auto"/>
          </w:tcPr>
          <w:p w14:paraId="4228C0B6" w14:textId="77777777" w:rsidR="00570A3E" w:rsidRPr="00682A16" w:rsidRDefault="00570A3E" w:rsidP="00AC4708">
            <w:pPr>
              <w:jc w:val="center"/>
              <w:rPr>
                <w:rFonts w:ascii="Arial" w:hAnsi="Arial" w:cs="Arial"/>
                <w:sz w:val="14"/>
              </w:rPr>
            </w:pPr>
            <w:r w:rsidRPr="00682A16">
              <w:rPr>
                <w:rFonts w:ascii="Arial" w:hAnsi="Arial" w:cs="Arial"/>
                <w:sz w:val="14"/>
              </w:rPr>
              <w:t>7</w:t>
            </w:r>
          </w:p>
          <w:p w14:paraId="3075D4DE" w14:textId="77777777" w:rsidR="00570A3E" w:rsidRPr="00682A16" w:rsidRDefault="00570A3E" w:rsidP="00AC4708">
            <w:pPr>
              <w:jc w:val="center"/>
              <w:rPr>
                <w:rFonts w:ascii="Arial" w:hAnsi="Arial" w:cs="Arial"/>
                <w:sz w:val="14"/>
              </w:rPr>
            </w:pPr>
          </w:p>
          <w:p w14:paraId="33741ED1" w14:textId="77777777" w:rsidR="00570A3E" w:rsidRPr="00682A16" w:rsidRDefault="00570A3E" w:rsidP="00AC4708">
            <w:pPr>
              <w:jc w:val="center"/>
              <w:rPr>
                <w:rFonts w:ascii="Arial" w:hAnsi="Arial" w:cs="Arial"/>
                <w:sz w:val="14"/>
              </w:rPr>
            </w:pPr>
            <w:r w:rsidRPr="00682A16">
              <w:rPr>
                <w:rFonts w:ascii="Arial" w:hAnsi="Arial" w:cs="Arial"/>
                <w:sz w:val="14"/>
              </w:rPr>
              <w:t>Additional</w:t>
            </w:r>
          </w:p>
          <w:p w14:paraId="08CF0D6C" w14:textId="77777777" w:rsidR="00570A3E" w:rsidRPr="00682A16" w:rsidRDefault="00570A3E" w:rsidP="00AC4708">
            <w:pPr>
              <w:jc w:val="center"/>
              <w:rPr>
                <w:rFonts w:ascii="Arial" w:hAnsi="Arial" w:cs="Arial"/>
                <w:sz w:val="14"/>
              </w:rPr>
            </w:pPr>
            <w:r w:rsidRPr="00682A16">
              <w:rPr>
                <w:rFonts w:ascii="Arial" w:hAnsi="Arial" w:cs="Arial"/>
                <w:sz w:val="14"/>
              </w:rPr>
              <w:t>Required Surplus</w:t>
            </w:r>
          </w:p>
          <w:p w14:paraId="0A42A561" w14:textId="77777777" w:rsidR="00570A3E" w:rsidRPr="00682A16" w:rsidRDefault="00570A3E" w:rsidP="00AC4708">
            <w:pPr>
              <w:jc w:val="center"/>
              <w:rPr>
                <w:rFonts w:ascii="Arial" w:hAnsi="Arial" w:cs="Arial"/>
                <w:sz w:val="14"/>
              </w:rPr>
            </w:pPr>
            <w:r w:rsidRPr="00682A16">
              <w:rPr>
                <w:rFonts w:ascii="Arial" w:hAnsi="Arial" w:cs="Arial"/>
                <w:sz w:val="14"/>
              </w:rPr>
              <w:t>Amounts</w:t>
            </w:r>
          </w:p>
        </w:tc>
      </w:tr>
      <w:tr w:rsidR="00570A3E" w:rsidRPr="002546B4" w14:paraId="41F1BACA" w14:textId="77777777" w:rsidTr="00AC4708">
        <w:trPr>
          <w:cantSplit/>
        </w:trPr>
        <w:tc>
          <w:tcPr>
            <w:tcW w:w="1126" w:type="dxa"/>
            <w:vMerge/>
            <w:tcBorders>
              <w:left w:val="single" w:sz="6" w:space="0" w:color="auto"/>
              <w:bottom w:val="single" w:sz="6" w:space="0" w:color="auto"/>
              <w:right w:val="single" w:sz="6" w:space="0" w:color="auto"/>
            </w:tcBorders>
            <w:shd w:val="clear" w:color="auto" w:fill="auto"/>
          </w:tcPr>
          <w:p w14:paraId="5D5B88AB" w14:textId="77777777" w:rsidR="00570A3E" w:rsidRPr="00682A16" w:rsidRDefault="00570A3E" w:rsidP="00AC4708">
            <w:pPr>
              <w:jc w:val="center"/>
              <w:rPr>
                <w:rFonts w:ascii="Arial" w:hAnsi="Arial" w:cs="Arial"/>
                <w:sz w:val="14"/>
              </w:rPr>
            </w:pPr>
          </w:p>
        </w:tc>
        <w:tc>
          <w:tcPr>
            <w:tcW w:w="1260" w:type="dxa"/>
            <w:tcBorders>
              <w:top w:val="single" w:sz="4" w:space="0" w:color="auto"/>
              <w:left w:val="single" w:sz="6" w:space="0" w:color="auto"/>
              <w:bottom w:val="single" w:sz="6" w:space="0" w:color="auto"/>
              <w:right w:val="single" w:sz="6" w:space="0" w:color="auto"/>
            </w:tcBorders>
            <w:shd w:val="clear" w:color="auto" w:fill="auto"/>
          </w:tcPr>
          <w:p w14:paraId="1B96E050" w14:textId="77777777" w:rsidR="00570A3E" w:rsidRPr="00682A16" w:rsidRDefault="00570A3E" w:rsidP="00AC4708">
            <w:pPr>
              <w:jc w:val="center"/>
              <w:rPr>
                <w:rFonts w:ascii="Arial" w:hAnsi="Arial" w:cs="Arial"/>
                <w:sz w:val="14"/>
              </w:rPr>
            </w:pPr>
            <w:r w:rsidRPr="00682A16">
              <w:rPr>
                <w:rFonts w:ascii="Arial" w:hAnsi="Arial" w:cs="Arial"/>
                <w:sz w:val="14"/>
              </w:rPr>
              <w:t>2</w:t>
            </w:r>
          </w:p>
          <w:p w14:paraId="06282EE3" w14:textId="77777777" w:rsidR="00570A3E" w:rsidRPr="00682A16" w:rsidRDefault="00570A3E" w:rsidP="00AC4708">
            <w:pPr>
              <w:jc w:val="center"/>
              <w:rPr>
                <w:rFonts w:ascii="Arial" w:hAnsi="Arial" w:cs="Arial"/>
                <w:sz w:val="14"/>
              </w:rPr>
            </w:pPr>
          </w:p>
          <w:p w14:paraId="4E9B7B6D" w14:textId="77777777" w:rsidR="00570A3E" w:rsidRPr="00682A16" w:rsidRDefault="00570A3E" w:rsidP="00AC4708">
            <w:pPr>
              <w:jc w:val="center"/>
              <w:rPr>
                <w:rFonts w:ascii="Arial" w:hAnsi="Arial" w:cs="Arial"/>
                <w:sz w:val="14"/>
              </w:rPr>
            </w:pPr>
          </w:p>
          <w:p w14:paraId="3DDAF0F2" w14:textId="77777777" w:rsidR="00570A3E" w:rsidRPr="00682A16" w:rsidRDefault="00570A3E" w:rsidP="00AC4708">
            <w:pPr>
              <w:jc w:val="center"/>
              <w:rPr>
                <w:rFonts w:ascii="Arial" w:hAnsi="Arial" w:cs="Arial"/>
                <w:sz w:val="14"/>
              </w:rPr>
            </w:pPr>
            <w:r w:rsidRPr="00682A16">
              <w:rPr>
                <w:rFonts w:ascii="Arial" w:hAnsi="Arial" w:cs="Arial"/>
                <w:sz w:val="14"/>
              </w:rPr>
              <w:t>Registered with SEC</w:t>
            </w:r>
          </w:p>
        </w:tc>
        <w:tc>
          <w:tcPr>
            <w:tcW w:w="1170" w:type="dxa"/>
            <w:tcBorders>
              <w:top w:val="single" w:sz="4" w:space="0" w:color="auto"/>
              <w:left w:val="single" w:sz="6" w:space="0" w:color="auto"/>
              <w:bottom w:val="single" w:sz="6" w:space="0" w:color="auto"/>
              <w:right w:val="single" w:sz="6" w:space="0" w:color="auto"/>
            </w:tcBorders>
            <w:shd w:val="clear" w:color="auto" w:fill="auto"/>
          </w:tcPr>
          <w:p w14:paraId="135A406B" w14:textId="77777777" w:rsidR="00570A3E" w:rsidRPr="00682A16" w:rsidRDefault="00570A3E" w:rsidP="00AC4708">
            <w:pPr>
              <w:jc w:val="center"/>
              <w:rPr>
                <w:rFonts w:ascii="Arial" w:hAnsi="Arial" w:cs="Arial"/>
                <w:sz w:val="14"/>
              </w:rPr>
            </w:pPr>
            <w:r w:rsidRPr="00682A16">
              <w:rPr>
                <w:rFonts w:ascii="Arial" w:hAnsi="Arial" w:cs="Arial"/>
                <w:sz w:val="14"/>
              </w:rPr>
              <w:t>3</w:t>
            </w:r>
          </w:p>
          <w:p w14:paraId="08660DCF" w14:textId="77777777" w:rsidR="00570A3E" w:rsidRPr="00682A16" w:rsidRDefault="00570A3E" w:rsidP="00AC4708">
            <w:pPr>
              <w:jc w:val="center"/>
              <w:rPr>
                <w:rFonts w:ascii="Arial" w:hAnsi="Arial" w:cs="Arial"/>
                <w:sz w:val="14"/>
              </w:rPr>
            </w:pPr>
          </w:p>
          <w:p w14:paraId="4E2C75DF" w14:textId="77777777" w:rsidR="00570A3E" w:rsidRPr="00682A16" w:rsidRDefault="00570A3E" w:rsidP="00AC4708">
            <w:pPr>
              <w:jc w:val="center"/>
              <w:rPr>
                <w:rFonts w:ascii="Arial" w:hAnsi="Arial" w:cs="Arial"/>
                <w:sz w:val="14"/>
              </w:rPr>
            </w:pPr>
          </w:p>
          <w:p w14:paraId="1AB2C448" w14:textId="77777777" w:rsidR="00570A3E" w:rsidRPr="00682A16" w:rsidRDefault="00570A3E" w:rsidP="00AC4708">
            <w:pPr>
              <w:jc w:val="center"/>
              <w:rPr>
                <w:rFonts w:ascii="Arial" w:hAnsi="Arial" w:cs="Arial"/>
                <w:sz w:val="14"/>
              </w:rPr>
            </w:pPr>
            <w:r w:rsidRPr="00682A16">
              <w:rPr>
                <w:rFonts w:ascii="Arial" w:hAnsi="Arial" w:cs="Arial"/>
                <w:sz w:val="14"/>
              </w:rPr>
              <w:t>Not Registered with SEC</w:t>
            </w:r>
          </w:p>
        </w:tc>
        <w:tc>
          <w:tcPr>
            <w:tcW w:w="1080" w:type="dxa"/>
            <w:vMerge/>
            <w:tcBorders>
              <w:left w:val="single" w:sz="6" w:space="0" w:color="auto"/>
              <w:bottom w:val="single" w:sz="6" w:space="0" w:color="auto"/>
              <w:right w:val="single" w:sz="6" w:space="0" w:color="auto"/>
            </w:tcBorders>
            <w:shd w:val="clear" w:color="auto" w:fill="auto"/>
          </w:tcPr>
          <w:p w14:paraId="5720B095" w14:textId="77777777" w:rsidR="00570A3E" w:rsidRPr="00682A16" w:rsidRDefault="00570A3E" w:rsidP="00AC4708">
            <w:pPr>
              <w:jc w:val="center"/>
              <w:rPr>
                <w:rFonts w:ascii="Arial" w:hAnsi="Arial" w:cs="Arial"/>
                <w:sz w:val="14"/>
              </w:rPr>
            </w:pPr>
          </w:p>
        </w:tc>
        <w:tc>
          <w:tcPr>
            <w:tcW w:w="990" w:type="dxa"/>
            <w:vMerge/>
            <w:tcBorders>
              <w:left w:val="single" w:sz="6" w:space="0" w:color="auto"/>
              <w:bottom w:val="single" w:sz="6" w:space="0" w:color="auto"/>
              <w:right w:val="single" w:sz="6" w:space="0" w:color="auto"/>
            </w:tcBorders>
            <w:shd w:val="clear" w:color="auto" w:fill="auto"/>
          </w:tcPr>
          <w:p w14:paraId="1C232756" w14:textId="77777777" w:rsidR="00570A3E" w:rsidRPr="00682A16" w:rsidRDefault="00570A3E" w:rsidP="00AC4708">
            <w:pPr>
              <w:jc w:val="center"/>
              <w:rPr>
                <w:rFonts w:ascii="Arial" w:hAnsi="Arial" w:cs="Arial"/>
                <w:sz w:val="14"/>
              </w:rPr>
            </w:pPr>
          </w:p>
        </w:tc>
        <w:tc>
          <w:tcPr>
            <w:tcW w:w="1170" w:type="dxa"/>
            <w:vMerge/>
            <w:tcBorders>
              <w:left w:val="single" w:sz="6" w:space="0" w:color="auto"/>
              <w:bottom w:val="single" w:sz="6" w:space="0" w:color="auto"/>
              <w:right w:val="single" w:sz="6" w:space="0" w:color="auto"/>
            </w:tcBorders>
            <w:shd w:val="clear" w:color="auto" w:fill="auto"/>
          </w:tcPr>
          <w:p w14:paraId="0BA8D49A" w14:textId="77777777" w:rsidR="00570A3E" w:rsidRPr="00682A16" w:rsidRDefault="00570A3E" w:rsidP="00AC4708">
            <w:pPr>
              <w:jc w:val="center"/>
              <w:rPr>
                <w:rFonts w:ascii="Arial" w:hAnsi="Arial" w:cs="Arial"/>
                <w:sz w:val="14"/>
              </w:rPr>
            </w:pPr>
          </w:p>
        </w:tc>
        <w:tc>
          <w:tcPr>
            <w:tcW w:w="1170" w:type="dxa"/>
            <w:vMerge/>
            <w:tcBorders>
              <w:left w:val="single" w:sz="6" w:space="0" w:color="auto"/>
              <w:bottom w:val="single" w:sz="6" w:space="0" w:color="auto"/>
              <w:right w:val="single" w:sz="6" w:space="0" w:color="auto"/>
            </w:tcBorders>
            <w:shd w:val="clear" w:color="auto" w:fill="auto"/>
          </w:tcPr>
          <w:p w14:paraId="66F0E0EC" w14:textId="77777777" w:rsidR="00570A3E" w:rsidRPr="00682A16" w:rsidRDefault="00570A3E" w:rsidP="00AC4708">
            <w:pPr>
              <w:jc w:val="center"/>
              <w:rPr>
                <w:rFonts w:ascii="Arial" w:hAnsi="Arial" w:cs="Arial"/>
                <w:sz w:val="14"/>
              </w:rPr>
            </w:pPr>
          </w:p>
        </w:tc>
      </w:tr>
      <w:tr w:rsidR="00570A3E" w:rsidRPr="002546B4" w14:paraId="40EE47C2" w14:textId="77777777" w:rsidTr="00AC4708">
        <w:trPr>
          <w:cantSplit/>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7197B74A" w14:textId="77777777" w:rsidR="00570A3E" w:rsidRPr="00682A16" w:rsidRDefault="00570A3E" w:rsidP="00AC4708">
            <w:pPr>
              <w:rPr>
                <w:rFonts w:ascii="Arial" w:hAnsi="Arial" w:cs="Arial"/>
                <w:sz w:val="1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45F7EE7" w14:textId="77777777" w:rsidR="00570A3E" w:rsidRPr="00682A16" w:rsidRDefault="00570A3E" w:rsidP="00AC4708">
            <w:pPr>
              <w:rPr>
                <w:rFonts w:ascii="Arial" w:hAnsi="Arial" w:cs="Arial"/>
                <w:sz w:val="14"/>
              </w:rPr>
            </w:pPr>
            <w:r w:rsidRPr="00682A16">
              <w:rPr>
                <w:rFonts w:ascii="Arial" w:hAnsi="Arial" w:cs="Arial"/>
                <w:sz w:val="14"/>
              </w:rPr>
              <w:t>$</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E9448D9" w14:textId="77777777" w:rsidR="00570A3E" w:rsidRPr="00682A16" w:rsidRDefault="00570A3E" w:rsidP="00AC4708">
            <w:pPr>
              <w:rPr>
                <w:rFonts w:ascii="Arial" w:hAnsi="Arial" w:cs="Arial"/>
                <w:sz w:val="14"/>
              </w:rPr>
            </w:pPr>
            <w:r w:rsidRPr="00682A16">
              <w:rPr>
                <w:rFonts w:ascii="Arial" w:hAnsi="Arial" w:cs="Arial"/>
                <w:sz w:val="14"/>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9BB7A02" w14:textId="77777777" w:rsidR="00570A3E" w:rsidRPr="00682A16" w:rsidRDefault="00570A3E" w:rsidP="00AC4708">
            <w:pPr>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447C04" w14:textId="77777777" w:rsidR="00570A3E" w:rsidRPr="00682A16" w:rsidRDefault="00570A3E" w:rsidP="00AC4708">
            <w:pPr>
              <w:rPr>
                <w:rFonts w:ascii="Arial" w:hAnsi="Arial" w:cs="Arial"/>
                <w:sz w:val="14"/>
              </w:rPr>
            </w:pPr>
            <w:r w:rsidRPr="00682A16">
              <w:rPr>
                <w:rFonts w:ascii="Arial" w:hAnsi="Arial" w:cs="Arial"/>
                <w:sz w:val="14"/>
              </w:rPr>
              <w:t>$</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6565E66" w14:textId="77777777" w:rsidR="00570A3E" w:rsidRPr="00682A16" w:rsidRDefault="00570A3E" w:rsidP="00AC4708">
            <w:pPr>
              <w:rPr>
                <w:rFonts w:ascii="Arial" w:hAnsi="Arial" w:cs="Arial"/>
                <w:sz w:val="14"/>
              </w:rPr>
            </w:pPr>
            <w:r w:rsidRPr="00682A16">
              <w:rPr>
                <w:rFonts w:ascii="Arial" w:hAnsi="Arial" w:cs="Arial"/>
                <w:sz w:val="14"/>
              </w:rPr>
              <w:t>$</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A704AB0" w14:textId="77777777" w:rsidR="00570A3E" w:rsidRPr="00682A16" w:rsidRDefault="00570A3E" w:rsidP="00AC4708">
            <w:pPr>
              <w:rPr>
                <w:rFonts w:ascii="Arial" w:hAnsi="Arial" w:cs="Arial"/>
                <w:sz w:val="14"/>
              </w:rPr>
            </w:pPr>
            <w:r w:rsidRPr="00682A16">
              <w:rPr>
                <w:rFonts w:ascii="Arial" w:hAnsi="Arial" w:cs="Arial"/>
                <w:sz w:val="14"/>
              </w:rPr>
              <w:t>$</w:t>
            </w:r>
          </w:p>
        </w:tc>
      </w:tr>
      <w:tr w:rsidR="00570A3E" w:rsidRPr="002546B4" w14:paraId="5F8B69BF" w14:textId="77777777" w:rsidTr="00AC4708">
        <w:trPr>
          <w:cantSplit/>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1043C734" w14:textId="77777777" w:rsidR="00570A3E" w:rsidRPr="00682A16" w:rsidRDefault="00570A3E" w:rsidP="00AC4708">
            <w:pPr>
              <w:rPr>
                <w:rFonts w:ascii="Arial" w:hAnsi="Arial" w:cs="Arial"/>
                <w:sz w:val="1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33DD4AF" w14:textId="77777777" w:rsidR="00570A3E" w:rsidRPr="00682A16" w:rsidRDefault="00570A3E" w:rsidP="00AC4708">
            <w:pPr>
              <w:rPr>
                <w:rFonts w:ascii="Arial" w:hAnsi="Arial" w:cs="Arial"/>
                <w:sz w:val="14"/>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614F94B" w14:textId="77777777" w:rsidR="00570A3E" w:rsidRPr="00682A16" w:rsidRDefault="00570A3E" w:rsidP="00AC4708">
            <w:pPr>
              <w:rPr>
                <w:rFonts w:ascii="Arial" w:hAnsi="Arial" w:cs="Arial"/>
                <w:sz w:val="1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DAC832C" w14:textId="77777777" w:rsidR="00570A3E" w:rsidRPr="00682A16" w:rsidRDefault="00570A3E" w:rsidP="00AC4708">
            <w:pPr>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E30E90E" w14:textId="77777777" w:rsidR="00570A3E" w:rsidRPr="00682A16" w:rsidRDefault="00570A3E" w:rsidP="00AC4708">
            <w:pPr>
              <w:rPr>
                <w:rFonts w:ascii="Arial" w:hAnsi="Arial" w:cs="Arial"/>
                <w:sz w:val="14"/>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5698F29" w14:textId="77777777" w:rsidR="00570A3E" w:rsidRPr="00682A16" w:rsidRDefault="00570A3E" w:rsidP="00AC4708">
            <w:pPr>
              <w:rPr>
                <w:rFonts w:ascii="Arial" w:hAnsi="Arial" w:cs="Arial"/>
                <w:sz w:val="14"/>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DA5DFE6" w14:textId="77777777" w:rsidR="00570A3E" w:rsidRPr="00682A16" w:rsidRDefault="00570A3E" w:rsidP="00AC4708">
            <w:pPr>
              <w:rPr>
                <w:rFonts w:ascii="Arial" w:hAnsi="Arial" w:cs="Arial"/>
                <w:sz w:val="14"/>
              </w:rPr>
            </w:pPr>
          </w:p>
        </w:tc>
      </w:tr>
      <w:tr w:rsidR="00570A3E" w:rsidRPr="002546B4" w14:paraId="384B2A9C" w14:textId="77777777" w:rsidTr="00AC4708">
        <w:trPr>
          <w:cantSplit/>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0264B382" w14:textId="77777777" w:rsidR="00570A3E" w:rsidRPr="00682A16" w:rsidRDefault="00570A3E" w:rsidP="00AC4708">
            <w:pPr>
              <w:rPr>
                <w:rFonts w:ascii="Arial" w:hAnsi="Arial" w:cs="Arial"/>
                <w:sz w:val="1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C474403" w14:textId="77777777" w:rsidR="00570A3E" w:rsidRPr="00682A16" w:rsidRDefault="00570A3E" w:rsidP="00AC4708">
            <w:pPr>
              <w:rPr>
                <w:rFonts w:ascii="Arial" w:hAnsi="Arial" w:cs="Arial"/>
                <w:sz w:val="14"/>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509135E" w14:textId="77777777" w:rsidR="00570A3E" w:rsidRPr="00682A16" w:rsidRDefault="00570A3E" w:rsidP="00AC4708">
            <w:pPr>
              <w:rPr>
                <w:rFonts w:ascii="Arial" w:hAnsi="Arial" w:cs="Arial"/>
                <w:sz w:val="1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838B352" w14:textId="77777777" w:rsidR="00570A3E" w:rsidRPr="00682A16" w:rsidRDefault="00570A3E" w:rsidP="00AC4708">
            <w:pPr>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443724" w14:textId="77777777" w:rsidR="00570A3E" w:rsidRPr="00682A16" w:rsidRDefault="00570A3E" w:rsidP="00AC4708">
            <w:pPr>
              <w:rPr>
                <w:rFonts w:ascii="Arial" w:hAnsi="Arial" w:cs="Arial"/>
                <w:sz w:val="14"/>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E043E90" w14:textId="77777777" w:rsidR="00570A3E" w:rsidRPr="00682A16" w:rsidRDefault="00570A3E" w:rsidP="00AC4708">
            <w:pPr>
              <w:rPr>
                <w:rFonts w:ascii="Arial" w:hAnsi="Arial" w:cs="Arial"/>
                <w:sz w:val="14"/>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3E0F607" w14:textId="77777777" w:rsidR="00570A3E" w:rsidRPr="00682A16" w:rsidRDefault="00570A3E" w:rsidP="00AC4708">
            <w:pPr>
              <w:rPr>
                <w:rFonts w:ascii="Arial" w:hAnsi="Arial" w:cs="Arial"/>
                <w:sz w:val="14"/>
              </w:rPr>
            </w:pPr>
          </w:p>
        </w:tc>
      </w:tr>
      <w:tr w:rsidR="00570A3E" w:rsidRPr="002546B4" w14:paraId="3E50AB9B" w14:textId="77777777" w:rsidTr="00AC4708">
        <w:trPr>
          <w:cantSplit/>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36AE61C3" w14:textId="77777777" w:rsidR="00570A3E" w:rsidRPr="00682A16" w:rsidRDefault="00570A3E" w:rsidP="00AC4708">
            <w:pPr>
              <w:jc w:val="right"/>
              <w:rPr>
                <w:rFonts w:ascii="Arial" w:hAnsi="Arial" w:cs="Arial"/>
                <w:sz w:val="14"/>
              </w:rPr>
            </w:pPr>
            <w:r w:rsidRPr="00682A16">
              <w:rPr>
                <w:rFonts w:ascii="Arial" w:hAnsi="Arial" w:cs="Arial"/>
                <w:sz w:val="14"/>
              </w:rPr>
              <w:t>Totals</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E94D6E" w14:textId="77777777" w:rsidR="00570A3E" w:rsidRPr="00682A16" w:rsidRDefault="00570A3E" w:rsidP="00AC4708">
            <w:pPr>
              <w:rPr>
                <w:rFonts w:ascii="Arial" w:hAnsi="Arial" w:cs="Arial"/>
                <w:sz w:val="14"/>
              </w:rPr>
            </w:pPr>
            <w:r w:rsidRPr="00682A16">
              <w:rPr>
                <w:rFonts w:ascii="Arial" w:hAnsi="Arial" w:cs="Arial"/>
                <w:sz w:val="14"/>
              </w:rPr>
              <w:t>$</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34C5BC3" w14:textId="77777777" w:rsidR="00570A3E" w:rsidRPr="00682A16" w:rsidRDefault="00570A3E" w:rsidP="00AC4708">
            <w:pPr>
              <w:rPr>
                <w:rFonts w:ascii="Arial" w:hAnsi="Arial" w:cs="Arial"/>
                <w:sz w:val="14"/>
              </w:rPr>
            </w:pPr>
            <w:r w:rsidRPr="00682A16">
              <w:rPr>
                <w:rFonts w:ascii="Arial" w:hAnsi="Arial" w:cs="Arial"/>
                <w:sz w:val="14"/>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36929C5" w14:textId="77777777" w:rsidR="00570A3E" w:rsidRPr="00682A16" w:rsidRDefault="00570A3E" w:rsidP="00AC4708">
            <w:pPr>
              <w:jc w:val="center"/>
              <w:rPr>
                <w:rFonts w:ascii="Arial" w:hAnsi="Arial" w:cs="Arial"/>
                <w:sz w:val="14"/>
              </w:rPr>
            </w:pPr>
            <w:r w:rsidRPr="00682A16">
              <w:rPr>
                <w:rFonts w:ascii="Arial" w:hAnsi="Arial" w:cs="Arial"/>
                <w:sz w:val="14"/>
              </w:rPr>
              <w:t>XXX</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47453EA" w14:textId="77777777" w:rsidR="00570A3E" w:rsidRPr="00682A16" w:rsidRDefault="00570A3E" w:rsidP="00AC4708">
            <w:pPr>
              <w:rPr>
                <w:rFonts w:ascii="Arial" w:hAnsi="Arial" w:cs="Arial"/>
                <w:sz w:val="14"/>
              </w:rPr>
            </w:pPr>
            <w:r w:rsidRPr="00682A16">
              <w:rPr>
                <w:rFonts w:ascii="Arial" w:hAnsi="Arial" w:cs="Arial"/>
                <w:sz w:val="14"/>
              </w:rPr>
              <w:t>$</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DC420B0" w14:textId="77777777" w:rsidR="00570A3E" w:rsidRPr="00682A16" w:rsidRDefault="00570A3E" w:rsidP="00AC4708">
            <w:pPr>
              <w:rPr>
                <w:rFonts w:ascii="Arial" w:hAnsi="Arial" w:cs="Arial"/>
                <w:sz w:val="14"/>
              </w:rPr>
            </w:pPr>
            <w:r w:rsidRPr="00682A16">
              <w:rPr>
                <w:rFonts w:ascii="Arial" w:hAnsi="Arial" w:cs="Arial"/>
                <w:sz w:val="14"/>
              </w:rPr>
              <w:t>$</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826A9E6" w14:textId="77777777" w:rsidR="00570A3E" w:rsidRPr="00682A16" w:rsidRDefault="00570A3E" w:rsidP="00AC4708">
            <w:pPr>
              <w:rPr>
                <w:rFonts w:ascii="Arial" w:hAnsi="Arial" w:cs="Arial"/>
                <w:sz w:val="14"/>
              </w:rPr>
            </w:pPr>
            <w:r w:rsidRPr="00682A16">
              <w:rPr>
                <w:rFonts w:ascii="Arial" w:hAnsi="Arial" w:cs="Arial"/>
                <w:sz w:val="14"/>
              </w:rPr>
              <w:t>$</w:t>
            </w:r>
          </w:p>
        </w:tc>
      </w:tr>
    </w:tbl>
    <w:p w14:paraId="081CAD41" w14:textId="77777777" w:rsidR="00570A3E" w:rsidRDefault="00570A3E" w:rsidP="00BA08A3">
      <w:pPr>
        <w:pStyle w:val="BodyText2"/>
        <w:rPr>
          <w:b w:val="0"/>
          <w:bCs w:val="0"/>
          <w:szCs w:val="22"/>
        </w:rPr>
      </w:pPr>
    </w:p>
    <w:p w14:paraId="7B04FB23" w14:textId="796A86F1" w:rsidR="00502D1A" w:rsidRDefault="0011443A" w:rsidP="00BA08A3">
      <w:pPr>
        <w:pStyle w:val="BodyText2"/>
        <w:rPr>
          <w:b w:val="0"/>
          <w:bCs w:val="0"/>
          <w:szCs w:val="22"/>
        </w:rPr>
      </w:pPr>
      <w:r>
        <w:rPr>
          <w:b w:val="0"/>
          <w:bCs w:val="0"/>
          <w:szCs w:val="22"/>
        </w:rPr>
        <w:t>U</w:t>
      </w:r>
      <w:r w:rsidR="005A7D20">
        <w:rPr>
          <w:b w:val="0"/>
          <w:bCs w:val="0"/>
          <w:szCs w:val="22"/>
        </w:rPr>
        <w:t xml:space="preserve">pon review of the 2019 separate account annual statements filed with the NAIC, it was found that </w:t>
      </w:r>
      <w:r w:rsidR="005A7D20" w:rsidRPr="00066073">
        <w:rPr>
          <w:b w:val="0"/>
          <w:bCs w:val="0"/>
          <w:szCs w:val="22"/>
        </w:rPr>
        <w:t xml:space="preserve">most entities </w:t>
      </w:r>
      <w:r w:rsidR="005A7D20">
        <w:rPr>
          <w:b w:val="0"/>
          <w:bCs w:val="0"/>
          <w:szCs w:val="22"/>
        </w:rPr>
        <w:t xml:space="preserve">did not </w:t>
      </w:r>
      <w:r w:rsidR="00570A3E">
        <w:rPr>
          <w:b w:val="0"/>
          <w:bCs w:val="0"/>
          <w:szCs w:val="22"/>
        </w:rPr>
        <w:t xml:space="preserve">individually detail PRT activity, but rather broadly combine this product into other product </w:t>
      </w:r>
      <w:r w:rsidR="005A7D20" w:rsidRPr="00066073">
        <w:rPr>
          <w:b w:val="0"/>
          <w:bCs w:val="0"/>
          <w:szCs w:val="22"/>
        </w:rPr>
        <w:t>categories</w:t>
      </w:r>
      <w:r w:rsidR="00570A3E">
        <w:rPr>
          <w:b w:val="0"/>
          <w:bCs w:val="0"/>
          <w:szCs w:val="22"/>
        </w:rPr>
        <w:t xml:space="preserve"> (i.e. group variable annuity)</w:t>
      </w:r>
      <w:r w:rsidR="005A7D20" w:rsidRPr="00066073">
        <w:rPr>
          <w:b w:val="0"/>
          <w:bCs w:val="0"/>
          <w:szCs w:val="22"/>
        </w:rPr>
        <w:t xml:space="preserve">. </w:t>
      </w:r>
    </w:p>
    <w:p w14:paraId="7F5A213B" w14:textId="3FB9C234" w:rsidR="00570A3E" w:rsidRDefault="00570A3E" w:rsidP="00BA08A3">
      <w:pPr>
        <w:pStyle w:val="BodyText2"/>
        <w:rPr>
          <w:b w:val="0"/>
          <w:bCs w:val="0"/>
          <w:szCs w:val="22"/>
        </w:rPr>
      </w:pPr>
    </w:p>
    <w:p w14:paraId="301BEAEE" w14:textId="7FEE272A" w:rsidR="00B62A51" w:rsidRDefault="00570A3E" w:rsidP="00BA08A3">
      <w:pPr>
        <w:pStyle w:val="BodyText2"/>
        <w:rPr>
          <w:b w:val="0"/>
          <w:bCs w:val="0"/>
          <w:szCs w:val="22"/>
        </w:rPr>
      </w:pPr>
      <w:r>
        <w:rPr>
          <w:b w:val="0"/>
          <w:bCs w:val="0"/>
          <w:szCs w:val="22"/>
        </w:rPr>
        <w:t>While other details of the broadly categorized products are captured in various other general interrogatories (</w:t>
      </w:r>
      <w:r w:rsidR="00E45D02">
        <w:rPr>
          <w:b w:val="0"/>
          <w:bCs w:val="0"/>
          <w:szCs w:val="22"/>
        </w:rPr>
        <w:t xml:space="preserve">as shown below in Existing Authoritative Literature), this agenda item, at the request of regulators, proposes enhanced detailed reporting requirements </w:t>
      </w:r>
      <w:r w:rsidR="007937C1">
        <w:rPr>
          <w:b w:val="0"/>
          <w:bCs w:val="0"/>
          <w:szCs w:val="22"/>
        </w:rPr>
        <w:t>for</w:t>
      </w:r>
      <w:r w:rsidR="00E45D02">
        <w:rPr>
          <w:b w:val="0"/>
          <w:bCs w:val="0"/>
          <w:szCs w:val="22"/>
        </w:rPr>
        <w:t xml:space="preserve"> pension risk transfer products and transactions in the scope of </w:t>
      </w:r>
      <w:r w:rsidR="00E45D02">
        <w:rPr>
          <w:b w:val="0"/>
          <w:bCs w:val="0"/>
          <w:i/>
          <w:iCs/>
          <w:szCs w:val="22"/>
        </w:rPr>
        <w:t>SSAP No. 56—Separate Accounts.</w:t>
      </w:r>
      <w:r w:rsidR="00E45D02">
        <w:rPr>
          <w:b w:val="0"/>
          <w:bCs w:val="0"/>
          <w:szCs w:val="22"/>
        </w:rPr>
        <w:t xml:space="preserve"> </w:t>
      </w:r>
    </w:p>
    <w:p w14:paraId="23E3AD57" w14:textId="48135B37" w:rsidR="00B62A51" w:rsidRDefault="00B62A51" w:rsidP="00BA08A3">
      <w:pPr>
        <w:pStyle w:val="BodyText2"/>
        <w:rPr>
          <w:b w:val="0"/>
          <w:bCs w:val="0"/>
          <w:szCs w:val="22"/>
        </w:rPr>
      </w:pPr>
    </w:p>
    <w:p w14:paraId="299F2134" w14:textId="58C981A9" w:rsidR="007937C1" w:rsidRDefault="007937C1" w:rsidP="00BA08A3">
      <w:pPr>
        <w:pStyle w:val="BodyText2"/>
        <w:rPr>
          <w:b w:val="0"/>
          <w:bCs w:val="0"/>
          <w:szCs w:val="22"/>
        </w:rPr>
      </w:pPr>
    </w:p>
    <w:p w14:paraId="45800BF5" w14:textId="77777777" w:rsidR="007937C1" w:rsidRDefault="007937C1" w:rsidP="00BA08A3">
      <w:pPr>
        <w:pStyle w:val="BodyText2"/>
        <w:rPr>
          <w:b w:val="0"/>
          <w:bCs w:val="0"/>
          <w:szCs w:val="22"/>
        </w:rPr>
      </w:pPr>
    </w:p>
    <w:p w14:paraId="1AE0C44C" w14:textId="3231027F" w:rsidR="00EA541D" w:rsidRDefault="00574954" w:rsidP="00B30CA0">
      <w:pPr>
        <w:pStyle w:val="BodyText2"/>
        <w:rPr>
          <w:bCs w:val="0"/>
          <w:szCs w:val="22"/>
        </w:rPr>
      </w:pPr>
      <w:r>
        <w:rPr>
          <w:b w:val="0"/>
          <w:bCs w:val="0"/>
          <w:szCs w:val="22"/>
        </w:rPr>
        <w:t xml:space="preserve"> </w:t>
      </w:r>
      <w:bookmarkEnd w:id="1"/>
      <w:bookmarkEnd w:id="2"/>
      <w:bookmarkEnd w:id="3"/>
      <w:bookmarkEnd w:id="4"/>
    </w:p>
    <w:p w14:paraId="6C6B67AF" w14:textId="72A0BB29" w:rsidR="002A1316" w:rsidRDefault="002A1316" w:rsidP="00B30CA0">
      <w:pPr>
        <w:pStyle w:val="BodyText2"/>
        <w:rPr>
          <w:bCs w:val="0"/>
          <w:szCs w:val="22"/>
        </w:rPr>
      </w:pPr>
      <w:r w:rsidRPr="00A81F38">
        <w:rPr>
          <w:bCs w:val="0"/>
          <w:szCs w:val="22"/>
        </w:rPr>
        <w:lastRenderedPageBreak/>
        <w:t>Existing Authoritative Literature:</w:t>
      </w:r>
    </w:p>
    <w:p w14:paraId="1B3904AA" w14:textId="7574AF78" w:rsidR="009370CC" w:rsidRDefault="009370CC" w:rsidP="00B30CA0">
      <w:pPr>
        <w:pStyle w:val="BodyText2"/>
        <w:rPr>
          <w:bCs w:val="0"/>
          <w:szCs w:val="22"/>
        </w:rPr>
      </w:pPr>
    </w:p>
    <w:p w14:paraId="187C73E6" w14:textId="25E1BD1E" w:rsidR="009370CC" w:rsidRPr="009370CC" w:rsidRDefault="009370CC" w:rsidP="00B30CA0">
      <w:pPr>
        <w:pStyle w:val="BodyText2"/>
        <w:rPr>
          <w:b w:val="0"/>
          <w:szCs w:val="22"/>
        </w:rPr>
      </w:pPr>
      <w:r w:rsidRPr="009370CC">
        <w:rPr>
          <w:b w:val="0"/>
          <w:szCs w:val="22"/>
        </w:rPr>
        <w:t xml:space="preserve">There are numerous disclosure elements in </w:t>
      </w:r>
      <w:r w:rsidRPr="009370CC">
        <w:rPr>
          <w:b w:val="0"/>
          <w:i/>
          <w:iCs/>
          <w:szCs w:val="22"/>
        </w:rPr>
        <w:t>SSAP No. 56—Separate Accounts</w:t>
      </w:r>
      <w:r w:rsidRPr="009370CC">
        <w:rPr>
          <w:b w:val="0"/>
          <w:szCs w:val="22"/>
        </w:rPr>
        <w:t xml:space="preserve"> </w:t>
      </w:r>
      <w:r w:rsidR="0011443A">
        <w:rPr>
          <w:b w:val="0"/>
          <w:szCs w:val="22"/>
        </w:rPr>
        <w:t>that</w:t>
      </w:r>
      <w:r w:rsidRPr="009370CC">
        <w:rPr>
          <w:b w:val="0"/>
          <w:szCs w:val="22"/>
        </w:rPr>
        <w:t xml:space="preserve"> would be applicable </w:t>
      </w:r>
      <w:r w:rsidR="0011443A">
        <w:rPr>
          <w:b w:val="0"/>
          <w:szCs w:val="22"/>
        </w:rPr>
        <w:t xml:space="preserve">for </w:t>
      </w:r>
      <w:r w:rsidRPr="009370CC">
        <w:rPr>
          <w:b w:val="0"/>
          <w:szCs w:val="22"/>
        </w:rPr>
        <w:t>PRT transactions</w:t>
      </w:r>
      <w:r w:rsidR="007937C1">
        <w:rPr>
          <w:b w:val="0"/>
          <w:szCs w:val="22"/>
        </w:rPr>
        <w:t xml:space="preserve"> (the most relevant </w:t>
      </w:r>
      <w:r w:rsidRPr="009370CC">
        <w:rPr>
          <w:b w:val="0"/>
          <w:szCs w:val="22"/>
        </w:rPr>
        <w:t>disclosures have been bolded below</w:t>
      </w:r>
      <w:r w:rsidR="007937C1">
        <w:rPr>
          <w:b w:val="0"/>
          <w:szCs w:val="22"/>
        </w:rPr>
        <w:t>)</w:t>
      </w:r>
      <w:r w:rsidRPr="009370CC">
        <w:rPr>
          <w:b w:val="0"/>
          <w:szCs w:val="22"/>
        </w:rPr>
        <w:t xml:space="preserve">. However </w:t>
      </w:r>
      <w:r>
        <w:rPr>
          <w:b w:val="0"/>
          <w:szCs w:val="22"/>
        </w:rPr>
        <w:t>as described above, PRTs are generally reported in a</w:t>
      </w:r>
      <w:r w:rsidR="009D554B">
        <w:rPr>
          <w:b w:val="0"/>
          <w:szCs w:val="22"/>
        </w:rPr>
        <w:t>n</w:t>
      </w:r>
      <w:r>
        <w:rPr>
          <w:b w:val="0"/>
          <w:szCs w:val="22"/>
        </w:rPr>
        <w:t xml:space="preserve"> </w:t>
      </w:r>
      <w:r w:rsidR="004F4D56">
        <w:rPr>
          <w:b w:val="0"/>
          <w:szCs w:val="22"/>
        </w:rPr>
        <w:t xml:space="preserve">aggregated </w:t>
      </w:r>
      <w:r>
        <w:rPr>
          <w:b w:val="0"/>
          <w:szCs w:val="22"/>
        </w:rPr>
        <w:t xml:space="preserve">manner with other similar products, thus the disclosures below </w:t>
      </w:r>
      <w:r w:rsidR="0011443A">
        <w:rPr>
          <w:b w:val="0"/>
          <w:szCs w:val="22"/>
        </w:rPr>
        <w:t xml:space="preserve">do </w:t>
      </w:r>
      <w:r>
        <w:rPr>
          <w:b w:val="0"/>
          <w:szCs w:val="22"/>
        </w:rPr>
        <w:t xml:space="preserve">not </w:t>
      </w:r>
      <w:r w:rsidR="0011443A">
        <w:rPr>
          <w:b w:val="0"/>
          <w:szCs w:val="22"/>
        </w:rPr>
        <w:t xml:space="preserve">currently </w:t>
      </w:r>
      <w:r>
        <w:rPr>
          <w:b w:val="0"/>
          <w:szCs w:val="22"/>
        </w:rPr>
        <w:t>provide the level of detail sought by regulators.</w:t>
      </w:r>
    </w:p>
    <w:p w14:paraId="3750A02F" w14:textId="77777777" w:rsidR="009370CC" w:rsidRPr="009370CC" w:rsidRDefault="009370CC" w:rsidP="009370CC">
      <w:pPr>
        <w:pStyle w:val="Heading3"/>
        <w:ind w:left="720"/>
        <w:rPr>
          <w:sz w:val="20"/>
          <w:szCs w:val="20"/>
        </w:rPr>
      </w:pPr>
      <w:bookmarkStart w:id="5" w:name="_Toc398184393"/>
      <w:bookmarkStart w:id="6" w:name="_Toc49348985"/>
      <w:r w:rsidRPr="009370CC">
        <w:rPr>
          <w:sz w:val="20"/>
          <w:szCs w:val="20"/>
        </w:rPr>
        <w:t>Disclosures</w:t>
      </w:r>
      <w:bookmarkEnd w:id="5"/>
      <w:bookmarkEnd w:id="6"/>
    </w:p>
    <w:p w14:paraId="3B0B3E09" w14:textId="77777777" w:rsidR="009370CC" w:rsidRPr="009370CC" w:rsidRDefault="009370CC" w:rsidP="00E616E9">
      <w:pPr>
        <w:pStyle w:val="ListContinue"/>
        <w:numPr>
          <w:ilvl w:val="0"/>
          <w:numId w:val="33"/>
        </w:numPr>
        <w:ind w:left="720" w:firstLine="0"/>
        <w:rPr>
          <w:rFonts w:ascii="Arial" w:hAnsi="Arial" w:cs="Arial"/>
          <w:sz w:val="20"/>
        </w:rPr>
      </w:pPr>
      <w:r w:rsidRPr="009370CC">
        <w:rPr>
          <w:rFonts w:ascii="Arial" w:hAnsi="Arial" w:cs="Arial"/>
          <w:sz w:val="20"/>
        </w:rPr>
        <w:t xml:space="preserve">The general account financial statement shall include detailed information on the reporting entity’s separate account activity. These disclosures shall include: </w:t>
      </w:r>
    </w:p>
    <w:p w14:paraId="3957AFAB" w14:textId="77777777" w:rsidR="009370CC" w:rsidRPr="009370CC" w:rsidRDefault="009370CC" w:rsidP="009370CC">
      <w:pPr>
        <w:pStyle w:val="ListContinue"/>
        <w:ind w:left="2160" w:hanging="720"/>
        <w:rPr>
          <w:rFonts w:ascii="Arial" w:hAnsi="Arial" w:cs="Arial"/>
          <w:b/>
          <w:bCs/>
          <w:sz w:val="20"/>
        </w:rPr>
      </w:pPr>
      <w:r w:rsidRPr="009370CC">
        <w:rPr>
          <w:rFonts w:ascii="Arial" w:hAnsi="Arial" w:cs="Arial"/>
          <w:sz w:val="20"/>
        </w:rPr>
        <w:t>a.</w:t>
      </w:r>
      <w:r w:rsidRPr="009370CC">
        <w:rPr>
          <w:rFonts w:ascii="Arial" w:hAnsi="Arial" w:cs="Arial"/>
          <w:sz w:val="20"/>
        </w:rPr>
        <w:tab/>
      </w:r>
      <w:r w:rsidRPr="009370CC">
        <w:rPr>
          <w:rFonts w:ascii="Arial" w:hAnsi="Arial" w:cs="Arial"/>
          <w:b/>
          <w:bCs/>
          <w:sz w:val="20"/>
        </w:rPr>
        <w:t xml:space="preserve">A narrative of the general nature of the reporting entity’s separate account business. </w:t>
      </w:r>
    </w:p>
    <w:p w14:paraId="73FB0923" w14:textId="77777777" w:rsidR="009370CC" w:rsidRPr="009370CC" w:rsidRDefault="009370CC" w:rsidP="009370CC">
      <w:pPr>
        <w:pStyle w:val="ListContinue"/>
        <w:ind w:left="2160" w:hanging="720"/>
        <w:rPr>
          <w:rFonts w:ascii="Arial" w:hAnsi="Arial" w:cs="Arial"/>
          <w:b/>
          <w:bCs/>
          <w:sz w:val="20"/>
        </w:rPr>
      </w:pPr>
      <w:r w:rsidRPr="009370CC">
        <w:rPr>
          <w:rFonts w:ascii="Arial" w:hAnsi="Arial" w:cs="Arial"/>
          <w:b/>
          <w:bCs/>
          <w:sz w:val="20"/>
        </w:rPr>
        <w:t>b.</w:t>
      </w:r>
      <w:r w:rsidRPr="009370CC">
        <w:rPr>
          <w:rFonts w:ascii="Arial" w:hAnsi="Arial" w:cs="Arial"/>
          <w:b/>
          <w:bCs/>
          <w:sz w:val="20"/>
        </w:rPr>
        <w:tab/>
        <w:t>Identification of the separate account assets that are legally insulated from the general account claims.</w:t>
      </w:r>
    </w:p>
    <w:p w14:paraId="009A71A4" w14:textId="77777777" w:rsidR="009370CC" w:rsidRPr="009370CC" w:rsidRDefault="009370CC" w:rsidP="009370CC">
      <w:pPr>
        <w:pStyle w:val="ListContinue"/>
        <w:ind w:left="2160" w:hanging="720"/>
        <w:rPr>
          <w:rFonts w:ascii="Arial" w:hAnsi="Arial" w:cs="Arial"/>
          <w:b/>
          <w:bCs/>
          <w:sz w:val="20"/>
        </w:rPr>
      </w:pPr>
      <w:r w:rsidRPr="009370CC">
        <w:rPr>
          <w:rFonts w:ascii="Arial" w:hAnsi="Arial" w:cs="Arial"/>
          <w:sz w:val="20"/>
        </w:rPr>
        <w:t>c.</w:t>
      </w:r>
      <w:r w:rsidRPr="009370CC">
        <w:rPr>
          <w:rFonts w:ascii="Arial" w:hAnsi="Arial" w:cs="Arial"/>
          <w:sz w:val="20"/>
        </w:rPr>
        <w:tab/>
      </w:r>
      <w:r w:rsidRPr="009370CC">
        <w:rPr>
          <w:rFonts w:ascii="Arial" w:hAnsi="Arial" w:cs="Arial"/>
          <w:b/>
          <w:bCs/>
          <w:sz w:val="20"/>
        </w:rPr>
        <w:t>Identification of the separate account products that have guarantees backed by the general account. This shall include:</w:t>
      </w:r>
    </w:p>
    <w:p w14:paraId="40063FAC" w14:textId="5493EC38" w:rsidR="009370CC" w:rsidRPr="009370CC" w:rsidRDefault="009370CC" w:rsidP="009370CC">
      <w:pPr>
        <w:pStyle w:val="ListContinue"/>
        <w:ind w:left="2880" w:hanging="720"/>
        <w:rPr>
          <w:rFonts w:ascii="Arial" w:hAnsi="Arial" w:cs="Arial"/>
          <w:b/>
          <w:bCs/>
          <w:sz w:val="20"/>
        </w:rPr>
      </w:pPr>
      <w:r w:rsidRPr="009370CC">
        <w:rPr>
          <w:rFonts w:ascii="Arial" w:hAnsi="Arial" w:cs="Arial"/>
          <w:b/>
          <w:bCs/>
          <w:sz w:val="20"/>
        </w:rPr>
        <w:t>i.</w:t>
      </w:r>
      <w:r w:rsidRPr="009370CC">
        <w:rPr>
          <w:rFonts w:ascii="Arial" w:hAnsi="Arial" w:cs="Arial"/>
          <w:b/>
          <w:bCs/>
          <w:sz w:val="20"/>
        </w:rPr>
        <w:tab/>
        <w:t>Amount of risk charges paid by the separate account to the general account for the past five (5) years as compensation for the risk taken by the general account; and</w:t>
      </w:r>
    </w:p>
    <w:p w14:paraId="4AC591EF" w14:textId="77777777" w:rsidR="009370CC" w:rsidRPr="009370CC" w:rsidRDefault="009370CC" w:rsidP="009370CC">
      <w:pPr>
        <w:pStyle w:val="ListContinue"/>
        <w:ind w:left="2880" w:hanging="720"/>
        <w:rPr>
          <w:rFonts w:ascii="Arial" w:hAnsi="Arial" w:cs="Arial"/>
          <w:b/>
          <w:bCs/>
          <w:sz w:val="20"/>
        </w:rPr>
      </w:pPr>
      <w:r w:rsidRPr="009370CC">
        <w:rPr>
          <w:rFonts w:ascii="Arial" w:hAnsi="Arial" w:cs="Arial"/>
          <w:b/>
          <w:bCs/>
          <w:sz w:val="20"/>
        </w:rPr>
        <w:t>ii.</w:t>
      </w:r>
      <w:r w:rsidRPr="009370CC">
        <w:rPr>
          <w:rFonts w:ascii="Arial" w:hAnsi="Arial" w:cs="Arial"/>
          <w:b/>
          <w:bCs/>
          <w:sz w:val="20"/>
        </w:rPr>
        <w:tab/>
        <w:t xml:space="preserve">Amount paid by the general account due to separate account guarantees during the past five (5) years. </w:t>
      </w:r>
    </w:p>
    <w:p w14:paraId="187C6B13" w14:textId="77777777" w:rsidR="009370CC" w:rsidRPr="009370CC" w:rsidRDefault="009370CC" w:rsidP="009370CC">
      <w:pPr>
        <w:pStyle w:val="ListContinue"/>
        <w:ind w:left="2160" w:hanging="720"/>
        <w:rPr>
          <w:rFonts w:ascii="Arial" w:hAnsi="Arial" w:cs="Arial"/>
          <w:sz w:val="20"/>
        </w:rPr>
      </w:pPr>
      <w:r w:rsidRPr="009370CC">
        <w:rPr>
          <w:rFonts w:ascii="Arial" w:hAnsi="Arial" w:cs="Arial"/>
          <w:sz w:val="20"/>
        </w:rPr>
        <w:t>d.</w:t>
      </w:r>
      <w:r w:rsidRPr="009370CC">
        <w:rPr>
          <w:rFonts w:ascii="Arial" w:hAnsi="Arial" w:cs="Arial"/>
          <w:sz w:val="20"/>
        </w:rPr>
        <w:tab/>
        <w:t>Discussion of securities lending transactions within the separate account, separately including the amount of any loaned securities within the separate account, and if policy and procedures for the separate account differ from the general account.</w:t>
      </w:r>
    </w:p>
    <w:p w14:paraId="782464EE" w14:textId="77777777" w:rsidR="009370CC" w:rsidRPr="009370CC" w:rsidRDefault="009370CC" w:rsidP="009370CC">
      <w:pPr>
        <w:pStyle w:val="ListContinue"/>
        <w:numPr>
          <w:ilvl w:val="0"/>
          <w:numId w:val="33"/>
        </w:numPr>
        <w:ind w:left="720" w:firstLine="0"/>
        <w:rPr>
          <w:rFonts w:ascii="Arial" w:hAnsi="Arial" w:cs="Arial"/>
          <w:sz w:val="20"/>
        </w:rPr>
      </w:pPr>
      <w:r w:rsidRPr="009370CC">
        <w:rPr>
          <w:rFonts w:ascii="Arial" w:hAnsi="Arial" w:cs="Arial"/>
          <w:sz w:val="20"/>
        </w:rPr>
        <w:t>For each grouping (as detailed in paragraph 33), the following shall be disclosed:</w:t>
      </w:r>
    </w:p>
    <w:p w14:paraId="27410509" w14:textId="77777777" w:rsidR="009370CC" w:rsidRPr="009370CC" w:rsidRDefault="009370CC" w:rsidP="009370CC">
      <w:pPr>
        <w:pStyle w:val="ListNumber2"/>
        <w:numPr>
          <w:ilvl w:val="0"/>
          <w:numId w:val="41"/>
        </w:numPr>
        <w:spacing w:after="220"/>
        <w:ind w:left="2160"/>
        <w:jc w:val="both"/>
        <w:rPr>
          <w:rFonts w:ascii="Arial" w:hAnsi="Arial" w:cs="Arial"/>
        </w:rPr>
      </w:pPr>
      <w:r w:rsidRPr="009370CC">
        <w:rPr>
          <w:rFonts w:ascii="Arial" w:hAnsi="Arial" w:cs="Arial"/>
        </w:rPr>
        <w:t>Premiums, considerations or deposits received during the year;</w:t>
      </w:r>
    </w:p>
    <w:p w14:paraId="046AE671" w14:textId="77777777" w:rsidR="009370CC" w:rsidRPr="009370CC" w:rsidRDefault="009370CC" w:rsidP="009370CC">
      <w:pPr>
        <w:pStyle w:val="ListNumber2"/>
        <w:numPr>
          <w:ilvl w:val="0"/>
          <w:numId w:val="41"/>
        </w:numPr>
        <w:spacing w:after="220"/>
        <w:ind w:left="2160"/>
        <w:jc w:val="both"/>
        <w:rPr>
          <w:rFonts w:ascii="Arial" w:hAnsi="Arial" w:cs="Arial"/>
          <w:b/>
          <w:bCs/>
        </w:rPr>
      </w:pPr>
      <w:r w:rsidRPr="009370CC">
        <w:rPr>
          <w:rFonts w:ascii="Arial" w:hAnsi="Arial" w:cs="Arial"/>
          <w:b/>
          <w:bCs/>
        </w:rPr>
        <w:t>Reserves by the valuation basis of the investments supporting the reserves at the financial statement date. List reserves for separate accounts whose assets are carried at fair value separately from those whose assets are carried at amortized cost/book value;</w:t>
      </w:r>
    </w:p>
    <w:p w14:paraId="14172B0F" w14:textId="77777777" w:rsidR="009370CC" w:rsidRPr="009370CC" w:rsidRDefault="009370CC" w:rsidP="009370CC">
      <w:pPr>
        <w:pStyle w:val="ListNumber2"/>
        <w:numPr>
          <w:ilvl w:val="0"/>
          <w:numId w:val="41"/>
        </w:numPr>
        <w:spacing w:after="220"/>
        <w:ind w:left="2160"/>
        <w:jc w:val="both"/>
        <w:rPr>
          <w:rFonts w:ascii="Arial" w:hAnsi="Arial" w:cs="Arial"/>
        </w:rPr>
      </w:pPr>
      <w:r w:rsidRPr="009370CC">
        <w:rPr>
          <w:rFonts w:ascii="Arial" w:hAnsi="Arial" w:cs="Arial"/>
          <w:b/>
          <w:bCs/>
        </w:rPr>
        <w:t>Reserves by withdrawal characteristics</w:t>
      </w:r>
      <w:r w:rsidRPr="009370CC">
        <w:rPr>
          <w:rFonts w:ascii="Arial" w:hAnsi="Arial" w:cs="Arial"/>
        </w:rPr>
        <w:t>, including whether or not the separate account is subject to discretionary withdrawal. For reserves subject to discretionary withdrawal, the below categories are included if applicable:</w:t>
      </w:r>
    </w:p>
    <w:p w14:paraId="57DBA628" w14:textId="77777777" w:rsidR="009370CC" w:rsidRPr="009370CC" w:rsidRDefault="009370CC" w:rsidP="009370CC">
      <w:pPr>
        <w:pStyle w:val="ListNumber2"/>
        <w:numPr>
          <w:ilvl w:val="0"/>
          <w:numId w:val="43"/>
        </w:numPr>
        <w:spacing w:after="220"/>
        <w:ind w:left="2880" w:hanging="720"/>
        <w:jc w:val="both"/>
        <w:rPr>
          <w:rFonts w:ascii="Arial" w:hAnsi="Arial" w:cs="Arial"/>
        </w:rPr>
      </w:pPr>
      <w:r w:rsidRPr="009370CC">
        <w:rPr>
          <w:rFonts w:ascii="Arial" w:hAnsi="Arial" w:cs="Arial"/>
        </w:rPr>
        <w:t>With market value adjustment;</w:t>
      </w:r>
    </w:p>
    <w:p w14:paraId="20821FDB" w14:textId="77777777" w:rsidR="009370CC" w:rsidRPr="009370CC" w:rsidRDefault="009370CC" w:rsidP="009370CC">
      <w:pPr>
        <w:pStyle w:val="ListNumber2"/>
        <w:numPr>
          <w:ilvl w:val="0"/>
          <w:numId w:val="43"/>
        </w:numPr>
        <w:spacing w:after="220"/>
        <w:ind w:left="2880" w:hanging="720"/>
        <w:jc w:val="both"/>
        <w:rPr>
          <w:rFonts w:ascii="Arial" w:hAnsi="Arial" w:cs="Arial"/>
        </w:rPr>
      </w:pPr>
      <w:r w:rsidRPr="009370CC">
        <w:rPr>
          <w:rFonts w:ascii="Arial" w:hAnsi="Arial" w:cs="Arial"/>
        </w:rPr>
        <w:t>at book value without market value adjustment and with surrender charge of 5% or more;</w:t>
      </w:r>
    </w:p>
    <w:p w14:paraId="3B0CC76F" w14:textId="77777777" w:rsidR="009370CC" w:rsidRPr="009370CC" w:rsidRDefault="009370CC" w:rsidP="009370CC">
      <w:pPr>
        <w:pStyle w:val="ListNumber2"/>
        <w:numPr>
          <w:ilvl w:val="0"/>
          <w:numId w:val="43"/>
        </w:numPr>
        <w:spacing w:after="220"/>
        <w:ind w:left="2880" w:hanging="720"/>
        <w:jc w:val="both"/>
        <w:rPr>
          <w:rFonts w:ascii="Arial" w:hAnsi="Arial" w:cs="Arial"/>
        </w:rPr>
      </w:pPr>
      <w:r w:rsidRPr="009370CC">
        <w:rPr>
          <w:rFonts w:ascii="Arial" w:hAnsi="Arial" w:cs="Arial"/>
        </w:rPr>
        <w:t>at fair value;</w:t>
      </w:r>
    </w:p>
    <w:p w14:paraId="744BD3F9" w14:textId="77777777" w:rsidR="009370CC" w:rsidRPr="009370CC" w:rsidRDefault="009370CC" w:rsidP="009370CC">
      <w:pPr>
        <w:pStyle w:val="ListNumber2"/>
        <w:numPr>
          <w:ilvl w:val="0"/>
          <w:numId w:val="43"/>
        </w:numPr>
        <w:spacing w:after="220"/>
        <w:ind w:left="2880" w:hanging="720"/>
        <w:jc w:val="both"/>
        <w:rPr>
          <w:rFonts w:ascii="Arial" w:hAnsi="Arial" w:cs="Arial"/>
        </w:rPr>
      </w:pPr>
      <w:r w:rsidRPr="009370CC">
        <w:rPr>
          <w:rFonts w:ascii="Arial" w:hAnsi="Arial" w:cs="Arial"/>
        </w:rPr>
        <w:t>at book value without market value adjustment and with surrender charge of less than 5%;</w:t>
      </w:r>
    </w:p>
    <w:p w14:paraId="1C0FF1D1" w14:textId="77777777" w:rsidR="009370CC" w:rsidRPr="009370CC" w:rsidRDefault="009370CC" w:rsidP="009370CC">
      <w:pPr>
        <w:pStyle w:val="ListNumber2"/>
        <w:numPr>
          <w:ilvl w:val="0"/>
          <w:numId w:val="41"/>
        </w:numPr>
        <w:spacing w:after="220"/>
        <w:ind w:left="2160"/>
        <w:jc w:val="both"/>
        <w:rPr>
          <w:rFonts w:ascii="Arial" w:hAnsi="Arial" w:cs="Arial"/>
        </w:rPr>
      </w:pPr>
      <w:r w:rsidRPr="009370CC">
        <w:rPr>
          <w:rFonts w:ascii="Arial" w:hAnsi="Arial" w:cs="Arial"/>
        </w:rPr>
        <w:t>Reserves for asset default risk, as described in paragraph 18.b., that are recorded in lieu of AVR.</w:t>
      </w:r>
    </w:p>
    <w:p w14:paraId="2ABCAA3B" w14:textId="77777777" w:rsidR="009370CC" w:rsidRPr="009370CC" w:rsidRDefault="009370CC" w:rsidP="009370CC">
      <w:pPr>
        <w:pStyle w:val="ListContinue"/>
        <w:numPr>
          <w:ilvl w:val="0"/>
          <w:numId w:val="33"/>
        </w:numPr>
        <w:ind w:left="720" w:firstLine="0"/>
        <w:rPr>
          <w:rFonts w:ascii="Arial" w:hAnsi="Arial" w:cs="Arial"/>
          <w:sz w:val="20"/>
        </w:rPr>
      </w:pPr>
      <w:r w:rsidRPr="009370CC">
        <w:rPr>
          <w:rFonts w:ascii="Arial" w:hAnsi="Arial" w:cs="Arial"/>
          <w:sz w:val="20"/>
        </w:rPr>
        <w:t>For the disclosures required in paragraph 32, separate accounts shall be addressed in the following groupings (which are the same as those used for risk-based capital):</w:t>
      </w:r>
    </w:p>
    <w:p w14:paraId="1945D952" w14:textId="77777777" w:rsidR="00E616E9" w:rsidRDefault="009370CC" w:rsidP="00E616E9">
      <w:pPr>
        <w:pStyle w:val="ListNumber2"/>
        <w:numPr>
          <w:ilvl w:val="0"/>
          <w:numId w:val="34"/>
        </w:numPr>
        <w:tabs>
          <w:tab w:val="clear" w:pos="0"/>
          <w:tab w:val="num" w:pos="1440"/>
        </w:tabs>
        <w:spacing w:after="220"/>
        <w:ind w:left="2160"/>
        <w:jc w:val="both"/>
        <w:rPr>
          <w:rFonts w:ascii="Arial" w:hAnsi="Arial" w:cs="Arial"/>
        </w:rPr>
      </w:pPr>
      <w:r w:rsidRPr="00E616E9">
        <w:rPr>
          <w:rFonts w:ascii="Arial" w:hAnsi="Arial" w:cs="Arial"/>
          <w:b/>
          <w:bCs/>
        </w:rPr>
        <w:lastRenderedPageBreak/>
        <w:t>Separate Accounts with Guarantees</w:t>
      </w:r>
      <w:r w:rsidRPr="009370CC">
        <w:rPr>
          <w:rFonts w:ascii="Arial" w:hAnsi="Arial" w:cs="Arial"/>
        </w:rPr>
        <w:t>:</w:t>
      </w:r>
    </w:p>
    <w:p w14:paraId="554A13FA" w14:textId="404C5433" w:rsidR="009370CC" w:rsidRPr="00E616E9" w:rsidRDefault="009370CC" w:rsidP="00E616E9">
      <w:pPr>
        <w:pStyle w:val="ListNumber2"/>
        <w:numPr>
          <w:ilvl w:val="0"/>
          <w:numId w:val="44"/>
        </w:numPr>
        <w:spacing w:after="220"/>
        <w:ind w:left="2880" w:hanging="720"/>
        <w:jc w:val="both"/>
        <w:rPr>
          <w:rFonts w:ascii="Arial" w:hAnsi="Arial" w:cs="Arial"/>
        </w:rPr>
      </w:pPr>
      <w:r w:rsidRPr="00E616E9">
        <w:rPr>
          <w:rFonts w:ascii="Arial" w:hAnsi="Arial" w:cs="Arial"/>
        </w:rPr>
        <w:t>Indexed separate accounts, which are invested to mirror an established index which is the basis of the guarantee;</w:t>
      </w:r>
    </w:p>
    <w:p w14:paraId="15ED3018" w14:textId="45878E8F" w:rsidR="009370CC" w:rsidRPr="009370CC" w:rsidRDefault="00E616E9" w:rsidP="00E616E9">
      <w:pPr>
        <w:pStyle w:val="Indent0"/>
        <w:ind w:left="2880" w:hanging="720"/>
        <w:rPr>
          <w:rFonts w:ascii="Arial" w:hAnsi="Arial" w:cs="Arial"/>
          <w:sz w:val="20"/>
        </w:rPr>
      </w:pPr>
      <w:r>
        <w:rPr>
          <w:rFonts w:ascii="Arial" w:hAnsi="Arial" w:cs="Arial"/>
          <w:sz w:val="20"/>
        </w:rPr>
        <w:t>ii.</w:t>
      </w:r>
      <w:r>
        <w:rPr>
          <w:rFonts w:ascii="Arial" w:hAnsi="Arial" w:cs="Arial"/>
          <w:sz w:val="20"/>
        </w:rPr>
        <w:tab/>
      </w:r>
      <w:r w:rsidR="009370CC" w:rsidRPr="009370CC">
        <w:rPr>
          <w:rFonts w:ascii="Arial" w:hAnsi="Arial" w:cs="Arial"/>
          <w:sz w:val="20"/>
        </w:rPr>
        <w:t>Nonindexed separate accounts, with reserve interest rate at no greater than 4% and/or fund long-term interest guarantee in excess of a year that does not exceed 4%;</w:t>
      </w:r>
    </w:p>
    <w:p w14:paraId="475ACD21" w14:textId="79C03A96" w:rsidR="009370CC" w:rsidRPr="009370CC" w:rsidRDefault="00E616E9" w:rsidP="00E616E9">
      <w:pPr>
        <w:pStyle w:val="Indent0"/>
        <w:ind w:left="2880" w:hanging="720"/>
        <w:rPr>
          <w:rFonts w:ascii="Arial" w:hAnsi="Arial" w:cs="Arial"/>
          <w:sz w:val="20"/>
        </w:rPr>
      </w:pPr>
      <w:r>
        <w:rPr>
          <w:rFonts w:ascii="Arial" w:hAnsi="Arial" w:cs="Arial"/>
          <w:sz w:val="20"/>
        </w:rPr>
        <w:t>iii.</w:t>
      </w:r>
      <w:r>
        <w:rPr>
          <w:rFonts w:ascii="Arial" w:hAnsi="Arial" w:cs="Arial"/>
          <w:sz w:val="20"/>
        </w:rPr>
        <w:tab/>
      </w:r>
      <w:r w:rsidR="009370CC" w:rsidRPr="009370CC">
        <w:rPr>
          <w:rFonts w:ascii="Arial" w:hAnsi="Arial" w:cs="Arial"/>
          <w:sz w:val="20"/>
        </w:rPr>
        <w:t>Nonindexed separate accounts, with reserve interest rate at greater than 4% and/or fund long-term interest guarantee in excess of a year that exceeds 4%.</w:t>
      </w:r>
    </w:p>
    <w:p w14:paraId="017C3E9D" w14:textId="77777777" w:rsidR="009370CC" w:rsidRPr="009370CC" w:rsidRDefault="009370CC" w:rsidP="009370CC">
      <w:pPr>
        <w:pStyle w:val="ListNumber2"/>
        <w:numPr>
          <w:ilvl w:val="0"/>
          <w:numId w:val="32"/>
        </w:numPr>
        <w:tabs>
          <w:tab w:val="clear" w:pos="0"/>
          <w:tab w:val="num" w:pos="1440"/>
        </w:tabs>
        <w:spacing w:after="220"/>
        <w:ind w:left="2160"/>
        <w:jc w:val="both"/>
        <w:rPr>
          <w:rFonts w:ascii="Arial" w:hAnsi="Arial" w:cs="Arial"/>
        </w:rPr>
      </w:pPr>
      <w:r w:rsidRPr="009370CC">
        <w:rPr>
          <w:rFonts w:ascii="Arial" w:hAnsi="Arial" w:cs="Arial"/>
        </w:rPr>
        <w:t>Nonguaranteed Separate Accounts—Variable separate accounts, where the benefit is determined by the performance and/or fair value of the investments held in the separate account. Include variable accounts with incidental risks, nominal expense, and minimum death benefit guarantees.</w:t>
      </w:r>
    </w:p>
    <w:p w14:paraId="167AB56D" w14:textId="77777777" w:rsidR="009370CC" w:rsidRPr="009370CC" w:rsidRDefault="009370CC" w:rsidP="009370CC">
      <w:pPr>
        <w:pStyle w:val="ListContinue"/>
        <w:numPr>
          <w:ilvl w:val="0"/>
          <w:numId w:val="33"/>
        </w:numPr>
        <w:ind w:left="720" w:firstLine="0"/>
        <w:rPr>
          <w:rFonts w:ascii="Arial" w:hAnsi="Arial" w:cs="Arial"/>
          <w:sz w:val="20"/>
        </w:rPr>
      </w:pPr>
      <w:r w:rsidRPr="00E616E9">
        <w:rPr>
          <w:rFonts w:ascii="Arial" w:hAnsi="Arial" w:cs="Arial"/>
          <w:b/>
          <w:bCs/>
          <w:sz w:val="20"/>
        </w:rPr>
        <w:t>Provide a reconciliation of the amount reported as transfers to and from separate accounts in the Summary of Operations of the separate accounts statement and the amount reported as net transfers to or from separate accounts in the Summary of Operations of the general accounts statement</w:t>
      </w:r>
      <w:r w:rsidRPr="009370CC">
        <w:rPr>
          <w:rFonts w:ascii="Arial" w:hAnsi="Arial" w:cs="Arial"/>
          <w:sz w:val="20"/>
        </w:rPr>
        <w:t>.</w:t>
      </w:r>
    </w:p>
    <w:p w14:paraId="7C8EC666" w14:textId="77777777" w:rsidR="009370CC" w:rsidRPr="009370CC" w:rsidRDefault="009370CC" w:rsidP="009370CC">
      <w:pPr>
        <w:pStyle w:val="ListContinue"/>
        <w:numPr>
          <w:ilvl w:val="0"/>
          <w:numId w:val="33"/>
        </w:numPr>
        <w:ind w:left="720" w:firstLine="0"/>
        <w:rPr>
          <w:rFonts w:ascii="Arial" w:hAnsi="Arial" w:cs="Arial"/>
          <w:sz w:val="20"/>
        </w:rPr>
      </w:pPr>
      <w:r w:rsidRPr="009370CC">
        <w:rPr>
          <w:rFonts w:ascii="Arial" w:hAnsi="Arial" w:cs="Arial"/>
          <w:sz w:val="20"/>
        </w:rPr>
        <w:t xml:space="preserve">The disclosures in </w:t>
      </w:r>
      <w:r w:rsidRPr="009370CC">
        <w:rPr>
          <w:rFonts w:ascii="Arial" w:hAnsi="Arial" w:cs="Arial"/>
          <w:i/>
          <w:iCs/>
          <w:sz w:val="20"/>
        </w:rPr>
        <w:t>SSAP No. 51R—Life Contracts</w:t>
      </w:r>
      <w:r w:rsidRPr="009370CC">
        <w:rPr>
          <w:rFonts w:ascii="Arial" w:hAnsi="Arial" w:cs="Arial"/>
          <w:sz w:val="20"/>
        </w:rPr>
        <w:t xml:space="preserve">, and </w:t>
      </w:r>
      <w:r w:rsidRPr="009370CC">
        <w:rPr>
          <w:rFonts w:ascii="Arial" w:hAnsi="Arial" w:cs="Arial"/>
          <w:i/>
          <w:iCs/>
          <w:sz w:val="20"/>
        </w:rPr>
        <w:t>SSAP No. 61R—Life, Deposit-Type and Accident and Health Reinsurance</w:t>
      </w:r>
      <w:r w:rsidRPr="009370CC">
        <w:rPr>
          <w:rFonts w:ascii="Arial" w:hAnsi="Arial" w:cs="Arial"/>
          <w:sz w:val="20"/>
        </w:rPr>
        <w:t xml:space="preserve"> related to the withdrawal characteristics of products include separate account products and shall be completed in the general account disclosures.</w:t>
      </w:r>
    </w:p>
    <w:p w14:paraId="0C5E3E6B" w14:textId="77777777" w:rsidR="009370CC" w:rsidRPr="009370CC" w:rsidRDefault="009370CC" w:rsidP="009370CC">
      <w:pPr>
        <w:pStyle w:val="ListContinue"/>
        <w:numPr>
          <w:ilvl w:val="0"/>
          <w:numId w:val="33"/>
        </w:numPr>
        <w:ind w:left="720" w:firstLine="0"/>
        <w:rPr>
          <w:rFonts w:ascii="Arial" w:hAnsi="Arial" w:cs="Arial"/>
          <w:sz w:val="20"/>
        </w:rPr>
      </w:pPr>
      <w:r w:rsidRPr="009370CC">
        <w:rPr>
          <w:rFonts w:ascii="Arial" w:hAnsi="Arial" w:cs="Arial"/>
          <w:sz w:val="20"/>
        </w:rPr>
        <w:t>The Separate Account Annual Statement Blank shall include detailed information on the characteristics of the separate account assets, specifically categorizing separate account assets in accordance with the following characteristics:</w:t>
      </w:r>
    </w:p>
    <w:p w14:paraId="168D346A" w14:textId="77777777" w:rsidR="009370CC" w:rsidRPr="009370CC" w:rsidRDefault="009370CC" w:rsidP="009370CC">
      <w:pPr>
        <w:pStyle w:val="ListNumber2"/>
        <w:numPr>
          <w:ilvl w:val="0"/>
          <w:numId w:val="42"/>
        </w:numPr>
        <w:tabs>
          <w:tab w:val="clear" w:pos="0"/>
          <w:tab w:val="num" w:pos="1440"/>
        </w:tabs>
        <w:spacing w:after="220"/>
        <w:ind w:left="2160"/>
        <w:jc w:val="both"/>
        <w:rPr>
          <w:rFonts w:ascii="Arial" w:hAnsi="Arial" w:cs="Arial"/>
        </w:rPr>
      </w:pPr>
      <w:r w:rsidRPr="00E616E9">
        <w:rPr>
          <w:rFonts w:ascii="Arial" w:hAnsi="Arial" w:cs="Arial"/>
          <w:b/>
          <w:bCs/>
        </w:rPr>
        <w:t>Identification of separate account assets that are legally insulated from the general account and those which are not legally insulated</w:t>
      </w:r>
      <w:r w:rsidRPr="009370CC">
        <w:rPr>
          <w:rFonts w:ascii="Arial" w:hAnsi="Arial" w:cs="Arial"/>
        </w:rPr>
        <w:t>.</w:t>
      </w:r>
    </w:p>
    <w:p w14:paraId="42207A0F" w14:textId="23ABF10A" w:rsidR="009370CC" w:rsidRPr="00E616E9" w:rsidRDefault="009370CC" w:rsidP="009370CC">
      <w:pPr>
        <w:pStyle w:val="ListNumber2"/>
        <w:numPr>
          <w:ilvl w:val="0"/>
          <w:numId w:val="32"/>
        </w:numPr>
        <w:tabs>
          <w:tab w:val="clear" w:pos="0"/>
          <w:tab w:val="num" w:pos="1440"/>
        </w:tabs>
        <w:spacing w:after="220"/>
        <w:ind w:left="2160"/>
        <w:jc w:val="both"/>
        <w:rPr>
          <w:rFonts w:ascii="Arial" w:hAnsi="Arial" w:cs="Arial"/>
          <w:b/>
          <w:bCs/>
        </w:rPr>
      </w:pPr>
      <w:r w:rsidRPr="00E616E9">
        <w:rPr>
          <w:rFonts w:ascii="Arial" w:hAnsi="Arial" w:cs="Arial"/>
          <w:b/>
          <w:bCs/>
        </w:rPr>
        <w:t>Aggregation of separate account assets from products registered with the SEC and separate account assets from products excluded from registration. In addition to the overall aggregation, this disclosure shall specifically identify separate account assets from private placement variable annuities (PPVA) and private placement life insurance (PPLI). The disclosures in this paragraph (36.b.) are effective December 31, 2018.</w:t>
      </w:r>
    </w:p>
    <w:p w14:paraId="72F76A16" w14:textId="7A6CEB61" w:rsidR="009370CC" w:rsidRPr="009370CC" w:rsidRDefault="009370CC" w:rsidP="009370CC">
      <w:pPr>
        <w:pStyle w:val="ListNumber2"/>
        <w:numPr>
          <w:ilvl w:val="0"/>
          <w:numId w:val="32"/>
        </w:numPr>
        <w:tabs>
          <w:tab w:val="clear" w:pos="0"/>
          <w:tab w:val="num" w:pos="1440"/>
        </w:tabs>
        <w:spacing w:after="220"/>
        <w:ind w:left="2160"/>
        <w:jc w:val="both"/>
        <w:rPr>
          <w:rFonts w:ascii="Arial" w:hAnsi="Arial" w:cs="Arial"/>
        </w:rPr>
      </w:pPr>
      <w:r w:rsidRPr="009370CC">
        <w:rPr>
          <w:rFonts w:ascii="Arial" w:hAnsi="Arial" w:cs="Arial"/>
        </w:rPr>
        <w:t>Amount of separate account assets that represent seed money, other fees and expenses due to the general account, and additional required surplus amounts. This disclosure shall include the amount of seed money and other fees and expenses currently included in the separate account, as well as the amount of seed money received and repaid to the general account during the current year. This disclosure shall also include information on insulation (if applicable), the time duration for which seed money and other fees and expenses due the general account are retained in the separate account, and information on how whether seed money is invested pursuant to general account directives or in accordance with stated policies and procedures.</w:t>
      </w:r>
    </w:p>
    <w:p w14:paraId="18ADC9A0" w14:textId="77777777" w:rsidR="009370CC" w:rsidRPr="009370CC" w:rsidRDefault="009370CC" w:rsidP="009370CC">
      <w:pPr>
        <w:pStyle w:val="ListNumber2"/>
        <w:numPr>
          <w:ilvl w:val="0"/>
          <w:numId w:val="32"/>
        </w:numPr>
        <w:tabs>
          <w:tab w:val="clear" w:pos="0"/>
          <w:tab w:val="num" w:pos="720"/>
        </w:tabs>
        <w:spacing w:after="220"/>
        <w:ind w:left="2160"/>
        <w:jc w:val="both"/>
        <w:rPr>
          <w:rFonts w:ascii="Arial" w:hAnsi="Arial" w:cs="Arial"/>
        </w:rPr>
      </w:pPr>
      <w:r w:rsidRPr="009370CC">
        <w:rPr>
          <w:rFonts w:ascii="Arial" w:hAnsi="Arial" w:cs="Arial"/>
        </w:rPr>
        <w:t xml:space="preserve">Identification of the separate account assets in which the investment directive is not determined by a contractholder. (In most instances, having multiple investment choices at the option of a contractholder would be considered a situation in which the investment directive is determined by a contractholder. This is not true for situations in which the asset is invested in a manner that mirrors the investment directives of the general account.) Situations in which the investment directive is not determined by the contractholder (and situations in which the reporting entity is the contractholder) shall include disclosure regarding whether the investments of the respective separate account assets, if included </w:t>
      </w:r>
      <w:r w:rsidRPr="009370CC">
        <w:rPr>
          <w:rFonts w:ascii="Arial" w:hAnsi="Arial" w:cs="Arial"/>
        </w:rPr>
        <w:lastRenderedPageBreak/>
        <w:t>within the general account investments, would have resulted with the reporting entity exceeding any investment limitations imposed on the general account.</w:t>
      </w:r>
    </w:p>
    <w:p w14:paraId="5E1CCDE0" w14:textId="77777777" w:rsidR="009370CC" w:rsidRPr="009370CC" w:rsidRDefault="009370CC" w:rsidP="009370CC">
      <w:pPr>
        <w:pStyle w:val="ListNumber2"/>
        <w:numPr>
          <w:ilvl w:val="0"/>
          <w:numId w:val="32"/>
        </w:numPr>
        <w:tabs>
          <w:tab w:val="clear" w:pos="0"/>
          <w:tab w:val="num" w:pos="720"/>
        </w:tabs>
        <w:spacing w:after="220"/>
        <w:ind w:left="2160"/>
        <w:jc w:val="both"/>
        <w:rPr>
          <w:rFonts w:ascii="Arial" w:hAnsi="Arial" w:cs="Arial"/>
        </w:rPr>
      </w:pPr>
      <w:r w:rsidRPr="009370CC">
        <w:rPr>
          <w:rFonts w:ascii="Arial" w:hAnsi="Arial" w:cs="Arial"/>
        </w:rPr>
        <w:t xml:space="preserve">Identification of the separate account assets in which less than 100% of investment proceeds are attributed to a contractholder. This shall include identification of the separate account investment income attributed to the reporting entity during the reporting period and whether such income was transferred to the general account or reinvested within the separate account. Instances in which such income is reinvested within the separate account shall include disclosure on whether the subsequent investments, if categorized with investments in the general account, would have exceeded investment limitations imposed on the general account.    </w:t>
      </w:r>
    </w:p>
    <w:p w14:paraId="1212E08C" w14:textId="77777777" w:rsidR="009370CC" w:rsidRPr="009370CC" w:rsidRDefault="009370CC" w:rsidP="009370CC">
      <w:pPr>
        <w:pStyle w:val="ListContinue"/>
        <w:numPr>
          <w:ilvl w:val="0"/>
          <w:numId w:val="33"/>
        </w:numPr>
        <w:ind w:left="720" w:firstLine="0"/>
        <w:rPr>
          <w:rFonts w:ascii="Arial" w:hAnsi="Arial" w:cs="Arial"/>
          <w:sz w:val="20"/>
        </w:rPr>
      </w:pPr>
      <w:r w:rsidRPr="009370CC">
        <w:rPr>
          <w:rFonts w:ascii="Arial" w:hAnsi="Arial" w:cs="Arial"/>
          <w:sz w:val="20"/>
        </w:rPr>
        <w:t xml:space="preserve">For all separate account assets not reported at fair value, indicate the measurement basis (amortized cost or other method) for each asset (or asset class) and whether the measurement method was grandfathered in under the transition guidance in this SSAP, or whether the measurement method is allowed under a prescribed or permitted practice. This disclosure shall include a comparison of the assets’ reported value to fair value with identification of the resulting unrealized gain/loss that would have been recorded if the assets had been reported at fair value. </w:t>
      </w:r>
    </w:p>
    <w:p w14:paraId="793D09FC" w14:textId="77777777" w:rsidR="009370CC" w:rsidRPr="009370CC" w:rsidRDefault="009370CC" w:rsidP="009370CC">
      <w:pPr>
        <w:pStyle w:val="ListContinue"/>
        <w:numPr>
          <w:ilvl w:val="0"/>
          <w:numId w:val="33"/>
        </w:numPr>
        <w:ind w:left="720" w:firstLine="0"/>
        <w:rPr>
          <w:rFonts w:ascii="Arial" w:hAnsi="Arial" w:cs="Arial"/>
          <w:sz w:val="20"/>
        </w:rPr>
      </w:pPr>
      <w:r w:rsidRPr="009370CC">
        <w:rPr>
          <w:rFonts w:ascii="Arial" w:eastAsia="MS Mincho" w:hAnsi="Arial" w:cs="Arial"/>
          <w:sz w:val="20"/>
          <w:lang w:eastAsia="ja-JP"/>
        </w:rPr>
        <w:t>For all separate accounts that include securities lending transactions, disclose the reporting entity’s use and policy of securities lending within the separate accoun</w:t>
      </w:r>
      <w:r w:rsidRPr="009370CC">
        <w:rPr>
          <w:rFonts w:ascii="Arial" w:eastAsia="MS Mincho" w:hAnsi="Arial" w:cs="Arial"/>
          <w:color w:val="000000"/>
          <w:sz w:val="20"/>
          <w:lang w:eastAsia="ja-JP"/>
        </w:rPr>
        <w:t xml:space="preserve">t, including the amount of </w:t>
      </w:r>
      <w:r w:rsidRPr="009370CC">
        <w:rPr>
          <w:rFonts w:ascii="Arial" w:hAnsi="Arial" w:cs="Arial"/>
          <w:sz w:val="20"/>
        </w:rPr>
        <w:t>loaned</w:t>
      </w:r>
      <w:r w:rsidRPr="009370CC">
        <w:rPr>
          <w:rFonts w:ascii="Arial" w:eastAsia="MS Mincho" w:hAnsi="Arial" w:cs="Arial"/>
          <w:color w:val="000000"/>
          <w:sz w:val="20"/>
          <w:lang w:eastAsia="ja-JP"/>
        </w:rPr>
        <w:t xml:space="preserve"> securities from the separate account at the reporting date, the percentage of separate account assets lent as of that date, a description for which type of accounts (e.g., book value accounts, market value account accounts) are </w:t>
      </w:r>
      <w:r w:rsidRPr="009370CC">
        <w:rPr>
          <w:rFonts w:ascii="Arial" w:hAnsi="Arial" w:cs="Arial"/>
          <w:sz w:val="20"/>
        </w:rPr>
        <w:t>lent</w:t>
      </w:r>
      <w:r w:rsidRPr="009370CC">
        <w:rPr>
          <w:rFonts w:ascii="Arial" w:eastAsia="MS Mincho" w:hAnsi="Arial" w:cs="Arial"/>
          <w:color w:val="000000"/>
          <w:sz w:val="20"/>
          <w:lang w:eastAsia="ja-JP"/>
        </w:rPr>
        <w:t xml:space="preserve">, if </w:t>
      </w:r>
      <w:r w:rsidRPr="009370CC">
        <w:rPr>
          <w:rFonts w:ascii="Arial" w:eastAsia="MS Mincho" w:hAnsi="Arial" w:cs="Arial"/>
          <w:sz w:val="20"/>
          <w:lang w:eastAsia="ja-JP"/>
        </w:rPr>
        <w:t>the separate account policyholder is notified or approves of such practices, the policy for requiring collateral, whether the collateral is restricted and the amount of collateral for transactions that extend beyond one year from the reporting date. This disclosure requires the entity to provide the following information as of the date of the statement of financial position: (1) the aggregate amount of contractually obligated open collateral positions (aggregate amount of securities at current fair value or cash received for which the borrower may request the return of on demand) and the aggregate amount of contractually obligated collateral positions under 30-day, 60-day, 90-day, and greater than 90-day terms, (2) the aggregate fair value of all securities acquired from the sale, trade and use of the accepted collateral (reinvested collateral), and (3) information about the sources and uses of that collateral.</w:t>
      </w:r>
    </w:p>
    <w:p w14:paraId="5DF3D8CB" w14:textId="547C9936" w:rsidR="00CD6983" w:rsidRPr="00E616E9" w:rsidRDefault="009370CC" w:rsidP="00E616E9">
      <w:pPr>
        <w:pStyle w:val="ListContinue"/>
        <w:numPr>
          <w:ilvl w:val="0"/>
          <w:numId w:val="33"/>
        </w:numPr>
        <w:ind w:left="720" w:firstLine="0"/>
        <w:rPr>
          <w:rFonts w:ascii="Arial" w:hAnsi="Arial" w:cs="Arial"/>
          <w:sz w:val="20"/>
        </w:rPr>
      </w:pPr>
      <w:r w:rsidRPr="009370CC">
        <w:rPr>
          <w:rFonts w:ascii="Arial" w:hAnsi="Arial" w:cs="Arial"/>
          <w:sz w:val="20"/>
        </w:rPr>
        <w:t>Identify all products reported as a separate account product under statutory accounting principles and identify whether each product was classified differently under GAAP. For products that resulted with different classifications between GAAP and SAP, identify the characteristic(s) of the product that prevented it from receiving a separate account classification under GAAP. This disclosure is applicable for all reporting entities. Thus, if GAAP financial statements were not filed, the reporting entity should complete this disclosure as if GAAP financials had been completed.</w:t>
      </w:r>
      <w:r w:rsidR="00611765" w:rsidRPr="00E616E9">
        <w:rPr>
          <w:rFonts w:ascii="Arial" w:hAnsi="Arial" w:cs="Arial"/>
          <w:b/>
          <w:bCs/>
        </w:rPr>
        <w:t xml:space="preserve"> </w:t>
      </w:r>
    </w:p>
    <w:tbl>
      <w:tblPr>
        <w:tblW w:w="10728" w:type="dxa"/>
        <w:tblInd w:w="-288" w:type="dxa"/>
        <w:tblLayout w:type="fixed"/>
        <w:tblLook w:val="0000" w:firstRow="0" w:lastRow="0" w:firstColumn="0" w:lastColumn="0" w:noHBand="0" w:noVBand="0"/>
      </w:tblPr>
      <w:tblGrid>
        <w:gridCol w:w="10728"/>
      </w:tblGrid>
      <w:tr w:rsidR="00682A16" w:rsidRPr="002546B4" w14:paraId="2F0E8899" w14:textId="77777777" w:rsidTr="00682A16">
        <w:trPr>
          <w:trHeight w:val="1710"/>
        </w:trPr>
        <w:tc>
          <w:tcPr>
            <w:tcW w:w="10728" w:type="dxa"/>
            <w:shd w:val="clear" w:color="auto" w:fill="auto"/>
          </w:tcPr>
          <w:p w14:paraId="7E2F4BB1" w14:textId="24E6B188" w:rsidR="00682A16" w:rsidRDefault="00E616E9" w:rsidP="00682A16">
            <w:pPr>
              <w:tabs>
                <w:tab w:val="left" w:pos="0"/>
              </w:tabs>
              <w:spacing w:before="60" w:after="60"/>
              <w:jc w:val="both"/>
              <w:rPr>
                <w:rFonts w:ascii="Arial" w:hAnsi="Arial" w:cs="Arial"/>
                <w:sz w:val="20"/>
                <w:szCs w:val="20"/>
              </w:rPr>
            </w:pPr>
            <w:r>
              <w:rPr>
                <w:rFonts w:ascii="Arial" w:hAnsi="Arial" w:cs="Arial"/>
                <w:sz w:val="20"/>
                <w:szCs w:val="20"/>
              </w:rPr>
              <w:t xml:space="preserve">As previously shown, GI 1.01 is the primary interrogatory which capture PRT transactions, however additional details are captured in the following tables. </w:t>
            </w:r>
          </w:p>
          <w:p w14:paraId="4135664E" w14:textId="77777777" w:rsidR="004F4D56" w:rsidRPr="00682A16" w:rsidRDefault="004F4D56" w:rsidP="00682A16">
            <w:pPr>
              <w:tabs>
                <w:tab w:val="left" w:pos="0"/>
              </w:tabs>
              <w:spacing w:before="60" w:after="60"/>
              <w:jc w:val="both"/>
              <w:rPr>
                <w:rFonts w:ascii="Arial" w:hAnsi="Arial" w:cs="Arial"/>
                <w:b/>
                <w:bCs/>
                <w:sz w:val="20"/>
                <w:szCs w:val="20"/>
              </w:rPr>
            </w:pPr>
          </w:p>
          <w:p w14:paraId="0B6820E1" w14:textId="3C52DB52" w:rsidR="00682A16" w:rsidRPr="00682A16" w:rsidRDefault="00682A16" w:rsidP="00682A16">
            <w:pPr>
              <w:tabs>
                <w:tab w:val="left" w:pos="625"/>
              </w:tabs>
              <w:spacing w:before="60" w:after="60"/>
              <w:ind w:left="625"/>
              <w:jc w:val="both"/>
              <w:rPr>
                <w:rFonts w:ascii="Arial" w:hAnsi="Arial" w:cs="Arial"/>
                <w:sz w:val="20"/>
                <w:szCs w:val="20"/>
              </w:rPr>
            </w:pPr>
            <w:r w:rsidRPr="00682A16">
              <w:rPr>
                <w:rFonts w:ascii="Arial" w:hAnsi="Arial" w:cs="Arial"/>
                <w:sz w:val="20"/>
                <w:szCs w:val="20"/>
              </w:rPr>
              <w:t>1.01A</w:t>
            </w:r>
            <w:r>
              <w:rPr>
                <w:rFonts w:ascii="Arial" w:hAnsi="Arial" w:cs="Arial"/>
                <w:sz w:val="20"/>
                <w:szCs w:val="20"/>
              </w:rPr>
              <w:t xml:space="preserve">   </w:t>
            </w:r>
            <w:r w:rsidRPr="00682A16">
              <w:rPr>
                <w:rFonts w:ascii="Arial" w:hAnsi="Arial" w:cs="Arial"/>
                <w:sz w:val="20"/>
                <w:szCs w:val="20"/>
              </w:rPr>
              <w:tab/>
              <w:t>For the products (and related assets) that are not registered with the SEC, identify whether the products are considered private placement variable annuity products or private placement life insurance.</w:t>
            </w:r>
          </w:p>
          <w:p w14:paraId="496D9133" w14:textId="77F5A6A5" w:rsidR="00682A16" w:rsidRDefault="00682A16" w:rsidP="00682A16">
            <w:pPr>
              <w:tabs>
                <w:tab w:val="left" w:pos="0"/>
              </w:tabs>
              <w:spacing w:before="60" w:after="60"/>
              <w:jc w:val="both"/>
              <w:rPr>
                <w:rFonts w:ascii="Arial" w:hAnsi="Arial" w:cs="Arial"/>
                <w:b/>
                <w:bCs/>
                <w:sz w:val="20"/>
                <w:szCs w:val="20"/>
              </w:rPr>
            </w:pPr>
          </w:p>
          <w:tbl>
            <w:tblPr>
              <w:tblW w:w="7966" w:type="dxa"/>
              <w:tblInd w:w="576" w:type="dxa"/>
              <w:tblLayout w:type="fixed"/>
              <w:tblLook w:val="0000" w:firstRow="0" w:lastRow="0" w:firstColumn="0" w:lastColumn="0" w:noHBand="0" w:noVBand="0"/>
            </w:tblPr>
            <w:tblGrid>
              <w:gridCol w:w="2116"/>
              <w:gridCol w:w="2165"/>
              <w:gridCol w:w="2010"/>
              <w:gridCol w:w="1675"/>
            </w:tblGrid>
            <w:tr w:rsidR="00682A16" w:rsidRPr="00924278" w14:paraId="31353BB7" w14:textId="77777777" w:rsidTr="00766C43">
              <w:trPr>
                <w:cantSplit/>
                <w:trHeight w:val="120"/>
              </w:trPr>
              <w:tc>
                <w:tcPr>
                  <w:tcW w:w="2116" w:type="dxa"/>
                  <w:vMerge w:val="restart"/>
                  <w:tcBorders>
                    <w:top w:val="single" w:sz="6" w:space="0" w:color="auto"/>
                    <w:left w:val="single" w:sz="6" w:space="0" w:color="auto"/>
                    <w:right w:val="single" w:sz="6" w:space="0" w:color="auto"/>
                  </w:tcBorders>
                  <w:shd w:val="clear" w:color="auto" w:fill="auto"/>
                </w:tcPr>
                <w:p w14:paraId="75C4F14A" w14:textId="77777777" w:rsidR="00682A16" w:rsidRPr="00682A16" w:rsidRDefault="00682A16" w:rsidP="00682A16">
                  <w:pPr>
                    <w:jc w:val="center"/>
                    <w:rPr>
                      <w:rFonts w:ascii="Arial" w:hAnsi="Arial" w:cs="Arial"/>
                      <w:sz w:val="14"/>
                    </w:rPr>
                  </w:pPr>
                  <w:r w:rsidRPr="00682A16">
                    <w:rPr>
                      <w:rFonts w:ascii="Arial" w:hAnsi="Arial" w:cs="Arial"/>
                      <w:sz w:val="14"/>
                    </w:rPr>
                    <w:t>1</w:t>
                  </w:r>
                </w:p>
                <w:p w14:paraId="1F698AD6" w14:textId="77777777" w:rsidR="00682A16" w:rsidRPr="00682A16" w:rsidRDefault="00682A16" w:rsidP="00682A16">
                  <w:pPr>
                    <w:jc w:val="center"/>
                    <w:rPr>
                      <w:rFonts w:ascii="Arial" w:hAnsi="Arial" w:cs="Arial"/>
                      <w:sz w:val="14"/>
                    </w:rPr>
                  </w:pPr>
                </w:p>
                <w:p w14:paraId="2EFFFD66" w14:textId="77777777" w:rsidR="00682A16" w:rsidRPr="00682A16" w:rsidRDefault="00682A16" w:rsidP="00682A16">
                  <w:pPr>
                    <w:jc w:val="center"/>
                    <w:rPr>
                      <w:rFonts w:ascii="Arial" w:hAnsi="Arial" w:cs="Arial"/>
                      <w:sz w:val="14"/>
                    </w:rPr>
                  </w:pPr>
                </w:p>
                <w:p w14:paraId="2DA8FABD" w14:textId="77777777" w:rsidR="00682A16" w:rsidRPr="00682A16" w:rsidRDefault="00682A16" w:rsidP="00682A16">
                  <w:pPr>
                    <w:jc w:val="center"/>
                    <w:rPr>
                      <w:rFonts w:ascii="Arial" w:hAnsi="Arial" w:cs="Arial"/>
                      <w:sz w:val="14"/>
                    </w:rPr>
                  </w:pPr>
                  <w:r w:rsidRPr="00682A16">
                    <w:rPr>
                      <w:rFonts w:ascii="Arial" w:hAnsi="Arial" w:cs="Arial"/>
                      <w:sz w:val="14"/>
                    </w:rPr>
                    <w:t>Product Identifier</w:t>
                  </w:r>
                </w:p>
              </w:tc>
              <w:tc>
                <w:tcPr>
                  <w:tcW w:w="5850" w:type="dxa"/>
                  <w:gridSpan w:val="3"/>
                  <w:tcBorders>
                    <w:top w:val="single" w:sz="6" w:space="0" w:color="auto"/>
                    <w:left w:val="single" w:sz="6" w:space="0" w:color="auto"/>
                    <w:bottom w:val="single" w:sz="4" w:space="0" w:color="auto"/>
                    <w:right w:val="single" w:sz="6" w:space="0" w:color="auto"/>
                  </w:tcBorders>
                  <w:shd w:val="clear" w:color="auto" w:fill="auto"/>
                </w:tcPr>
                <w:p w14:paraId="46A7DF7B" w14:textId="77777777" w:rsidR="00682A16" w:rsidRPr="00682A16" w:rsidRDefault="00682A16" w:rsidP="00682A16">
                  <w:pPr>
                    <w:jc w:val="center"/>
                    <w:rPr>
                      <w:rFonts w:ascii="Arial" w:hAnsi="Arial" w:cs="Arial"/>
                      <w:sz w:val="14"/>
                    </w:rPr>
                  </w:pPr>
                  <w:r w:rsidRPr="00682A16">
                    <w:rPr>
                      <w:rFonts w:ascii="Arial" w:hAnsi="Arial" w:cs="Arial"/>
                      <w:sz w:val="14"/>
                    </w:rPr>
                    <w:t>Not Registered with SEC</w:t>
                  </w:r>
                </w:p>
              </w:tc>
            </w:tr>
            <w:tr w:rsidR="00682A16" w:rsidRPr="00924278" w14:paraId="3F4CEC5B" w14:textId="77777777" w:rsidTr="00766C43">
              <w:trPr>
                <w:cantSplit/>
              </w:trPr>
              <w:tc>
                <w:tcPr>
                  <w:tcW w:w="2116" w:type="dxa"/>
                  <w:vMerge/>
                  <w:tcBorders>
                    <w:left w:val="single" w:sz="6" w:space="0" w:color="auto"/>
                    <w:bottom w:val="single" w:sz="6" w:space="0" w:color="auto"/>
                    <w:right w:val="single" w:sz="6" w:space="0" w:color="auto"/>
                  </w:tcBorders>
                  <w:shd w:val="clear" w:color="auto" w:fill="auto"/>
                  <w:vAlign w:val="bottom"/>
                </w:tcPr>
                <w:p w14:paraId="6240A0A3" w14:textId="77777777" w:rsidR="00682A16" w:rsidRPr="00682A16" w:rsidRDefault="00682A16" w:rsidP="00682A16">
                  <w:pPr>
                    <w:jc w:val="center"/>
                    <w:rPr>
                      <w:rFonts w:ascii="Arial" w:hAnsi="Arial" w:cs="Arial"/>
                      <w:sz w:val="14"/>
                    </w:rPr>
                  </w:pPr>
                </w:p>
              </w:tc>
              <w:tc>
                <w:tcPr>
                  <w:tcW w:w="2165" w:type="dxa"/>
                  <w:tcBorders>
                    <w:top w:val="single" w:sz="4" w:space="0" w:color="auto"/>
                    <w:left w:val="single" w:sz="6" w:space="0" w:color="auto"/>
                    <w:bottom w:val="single" w:sz="6" w:space="0" w:color="auto"/>
                    <w:right w:val="single" w:sz="6" w:space="0" w:color="auto"/>
                  </w:tcBorders>
                  <w:shd w:val="clear" w:color="auto" w:fill="auto"/>
                </w:tcPr>
                <w:p w14:paraId="645F8027" w14:textId="77777777" w:rsidR="00682A16" w:rsidRPr="00682A16" w:rsidRDefault="00682A16" w:rsidP="00682A16">
                  <w:pPr>
                    <w:jc w:val="center"/>
                    <w:rPr>
                      <w:rFonts w:ascii="Arial" w:hAnsi="Arial" w:cs="Arial"/>
                      <w:sz w:val="14"/>
                    </w:rPr>
                  </w:pPr>
                  <w:r w:rsidRPr="00682A16">
                    <w:rPr>
                      <w:rFonts w:ascii="Arial" w:hAnsi="Arial" w:cs="Arial"/>
                      <w:sz w:val="14"/>
                    </w:rPr>
                    <w:t>2</w:t>
                  </w:r>
                </w:p>
                <w:p w14:paraId="3EC44A6F" w14:textId="77777777" w:rsidR="00682A16" w:rsidRPr="00682A16" w:rsidRDefault="00682A16" w:rsidP="00682A16">
                  <w:pPr>
                    <w:jc w:val="center"/>
                    <w:rPr>
                      <w:rFonts w:ascii="Arial" w:hAnsi="Arial" w:cs="Arial"/>
                      <w:sz w:val="14"/>
                    </w:rPr>
                  </w:pPr>
                  <w:r w:rsidRPr="00682A16">
                    <w:rPr>
                      <w:rFonts w:ascii="Arial" w:hAnsi="Arial" w:cs="Arial"/>
                      <w:sz w:val="14"/>
                      <w:szCs w:val="14"/>
                    </w:rPr>
                    <w:t>Private Placement Variable Annuity</w:t>
                  </w:r>
                </w:p>
              </w:tc>
              <w:tc>
                <w:tcPr>
                  <w:tcW w:w="2010" w:type="dxa"/>
                  <w:tcBorders>
                    <w:top w:val="single" w:sz="4" w:space="0" w:color="auto"/>
                    <w:left w:val="single" w:sz="6" w:space="0" w:color="auto"/>
                    <w:bottom w:val="single" w:sz="6" w:space="0" w:color="auto"/>
                    <w:right w:val="single" w:sz="6" w:space="0" w:color="auto"/>
                  </w:tcBorders>
                  <w:shd w:val="clear" w:color="auto" w:fill="auto"/>
                </w:tcPr>
                <w:p w14:paraId="0B685E3E" w14:textId="77777777" w:rsidR="00682A16" w:rsidRPr="00682A16" w:rsidRDefault="00682A16" w:rsidP="00682A16">
                  <w:pPr>
                    <w:jc w:val="center"/>
                    <w:rPr>
                      <w:rFonts w:ascii="Arial" w:hAnsi="Arial" w:cs="Arial"/>
                      <w:sz w:val="14"/>
                    </w:rPr>
                  </w:pPr>
                  <w:r w:rsidRPr="00682A16">
                    <w:rPr>
                      <w:rFonts w:ascii="Arial" w:hAnsi="Arial" w:cs="Arial"/>
                      <w:sz w:val="14"/>
                    </w:rPr>
                    <w:t>3</w:t>
                  </w:r>
                </w:p>
                <w:p w14:paraId="3DF422CD" w14:textId="77777777" w:rsidR="00682A16" w:rsidRPr="00682A16" w:rsidRDefault="00682A16" w:rsidP="00682A16">
                  <w:pPr>
                    <w:jc w:val="center"/>
                    <w:rPr>
                      <w:rFonts w:ascii="Arial" w:hAnsi="Arial" w:cs="Arial"/>
                      <w:sz w:val="14"/>
                    </w:rPr>
                  </w:pPr>
                  <w:r w:rsidRPr="00682A16">
                    <w:rPr>
                      <w:rFonts w:ascii="Arial" w:hAnsi="Arial" w:cs="Arial"/>
                      <w:sz w:val="14"/>
                      <w:szCs w:val="14"/>
                    </w:rPr>
                    <w:t>Private Placement Life Insurance</w:t>
                  </w:r>
                </w:p>
              </w:tc>
              <w:tc>
                <w:tcPr>
                  <w:tcW w:w="1675" w:type="dxa"/>
                  <w:tcBorders>
                    <w:top w:val="single" w:sz="4" w:space="0" w:color="auto"/>
                    <w:left w:val="single" w:sz="6" w:space="0" w:color="auto"/>
                    <w:bottom w:val="single" w:sz="6" w:space="0" w:color="auto"/>
                    <w:right w:val="single" w:sz="6" w:space="0" w:color="auto"/>
                  </w:tcBorders>
                  <w:shd w:val="clear" w:color="auto" w:fill="auto"/>
                </w:tcPr>
                <w:p w14:paraId="59E7E7BD" w14:textId="77777777" w:rsidR="00682A16" w:rsidRPr="00682A16" w:rsidRDefault="00682A16" w:rsidP="00682A16">
                  <w:pPr>
                    <w:jc w:val="center"/>
                    <w:rPr>
                      <w:rFonts w:ascii="Arial" w:hAnsi="Arial" w:cs="Arial"/>
                      <w:sz w:val="14"/>
                    </w:rPr>
                  </w:pPr>
                  <w:r w:rsidRPr="00682A16">
                    <w:rPr>
                      <w:rFonts w:ascii="Arial" w:hAnsi="Arial" w:cs="Arial"/>
                      <w:sz w:val="14"/>
                    </w:rPr>
                    <w:t>4</w:t>
                  </w:r>
                </w:p>
                <w:p w14:paraId="30B232A0" w14:textId="77777777" w:rsidR="00682A16" w:rsidRPr="00682A16" w:rsidRDefault="00682A16" w:rsidP="00682A16">
                  <w:pPr>
                    <w:jc w:val="center"/>
                    <w:rPr>
                      <w:rFonts w:ascii="Arial" w:hAnsi="Arial" w:cs="Arial"/>
                      <w:sz w:val="14"/>
                    </w:rPr>
                  </w:pPr>
                  <w:r w:rsidRPr="00682A16">
                    <w:rPr>
                      <w:rFonts w:ascii="Arial" w:hAnsi="Arial" w:cs="Arial"/>
                      <w:sz w:val="14"/>
                    </w:rPr>
                    <w:t>Other (Not PPVA or PPLI)</w:t>
                  </w:r>
                </w:p>
              </w:tc>
            </w:tr>
            <w:tr w:rsidR="00682A16" w:rsidRPr="00924278" w14:paraId="6129EB87" w14:textId="77777777" w:rsidTr="00766C43">
              <w:trPr>
                <w:cantSplit/>
              </w:trPr>
              <w:tc>
                <w:tcPr>
                  <w:tcW w:w="2116" w:type="dxa"/>
                  <w:tcBorders>
                    <w:top w:val="single" w:sz="6" w:space="0" w:color="auto"/>
                    <w:left w:val="single" w:sz="6" w:space="0" w:color="auto"/>
                    <w:bottom w:val="single" w:sz="6" w:space="0" w:color="auto"/>
                    <w:right w:val="single" w:sz="6" w:space="0" w:color="auto"/>
                  </w:tcBorders>
                  <w:shd w:val="clear" w:color="auto" w:fill="auto"/>
                </w:tcPr>
                <w:p w14:paraId="05143CCC" w14:textId="77777777" w:rsidR="00682A16" w:rsidRPr="00682A16" w:rsidRDefault="00682A16" w:rsidP="00682A16">
                  <w:pPr>
                    <w:rPr>
                      <w:rFonts w:ascii="Arial" w:hAnsi="Arial" w:cs="Arial"/>
                      <w:sz w:val="14"/>
                    </w:rPr>
                  </w:pPr>
                </w:p>
              </w:tc>
              <w:tc>
                <w:tcPr>
                  <w:tcW w:w="2165" w:type="dxa"/>
                  <w:tcBorders>
                    <w:top w:val="single" w:sz="6" w:space="0" w:color="auto"/>
                    <w:left w:val="single" w:sz="6" w:space="0" w:color="auto"/>
                    <w:bottom w:val="single" w:sz="6" w:space="0" w:color="auto"/>
                    <w:right w:val="single" w:sz="6" w:space="0" w:color="auto"/>
                  </w:tcBorders>
                  <w:shd w:val="clear" w:color="auto" w:fill="auto"/>
                </w:tcPr>
                <w:p w14:paraId="746D1A80" w14:textId="77777777" w:rsidR="00682A16" w:rsidRPr="00682A16" w:rsidRDefault="00682A16" w:rsidP="00682A16">
                  <w:pPr>
                    <w:rPr>
                      <w:rFonts w:ascii="Arial" w:hAnsi="Arial" w:cs="Arial"/>
                      <w:sz w:val="14"/>
                    </w:rPr>
                  </w:pPr>
                  <w:r w:rsidRPr="00682A16">
                    <w:rPr>
                      <w:rFonts w:ascii="Arial" w:hAnsi="Arial" w:cs="Arial"/>
                      <w:sz w:val="14"/>
                    </w:rPr>
                    <w:t>$</w:t>
                  </w: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189E89C7" w14:textId="77777777" w:rsidR="00682A16" w:rsidRPr="00682A16" w:rsidRDefault="00682A16" w:rsidP="00682A16">
                  <w:pPr>
                    <w:rPr>
                      <w:rFonts w:ascii="Arial" w:hAnsi="Arial" w:cs="Arial"/>
                      <w:sz w:val="14"/>
                    </w:rPr>
                  </w:pP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51852B7" w14:textId="77777777" w:rsidR="00682A16" w:rsidRPr="00682A16" w:rsidRDefault="00682A16" w:rsidP="00682A16">
                  <w:pPr>
                    <w:rPr>
                      <w:rFonts w:ascii="Arial" w:hAnsi="Arial" w:cs="Arial"/>
                      <w:sz w:val="14"/>
                    </w:rPr>
                  </w:pPr>
                </w:p>
              </w:tc>
            </w:tr>
            <w:tr w:rsidR="00682A16" w:rsidRPr="00924278" w14:paraId="42E5D5BA" w14:textId="77777777" w:rsidTr="00766C43">
              <w:trPr>
                <w:cantSplit/>
              </w:trPr>
              <w:tc>
                <w:tcPr>
                  <w:tcW w:w="2116" w:type="dxa"/>
                  <w:tcBorders>
                    <w:top w:val="single" w:sz="6" w:space="0" w:color="auto"/>
                    <w:left w:val="single" w:sz="6" w:space="0" w:color="auto"/>
                    <w:bottom w:val="single" w:sz="6" w:space="0" w:color="auto"/>
                    <w:right w:val="single" w:sz="6" w:space="0" w:color="auto"/>
                  </w:tcBorders>
                  <w:shd w:val="clear" w:color="auto" w:fill="auto"/>
                </w:tcPr>
                <w:p w14:paraId="203D8AF6" w14:textId="77777777" w:rsidR="00682A16" w:rsidRPr="00682A16" w:rsidRDefault="00682A16" w:rsidP="00682A16">
                  <w:pPr>
                    <w:rPr>
                      <w:rFonts w:ascii="Arial" w:hAnsi="Arial" w:cs="Arial"/>
                      <w:sz w:val="14"/>
                    </w:rPr>
                  </w:pPr>
                </w:p>
              </w:tc>
              <w:tc>
                <w:tcPr>
                  <w:tcW w:w="2165" w:type="dxa"/>
                  <w:tcBorders>
                    <w:top w:val="single" w:sz="6" w:space="0" w:color="auto"/>
                    <w:left w:val="single" w:sz="6" w:space="0" w:color="auto"/>
                    <w:bottom w:val="single" w:sz="6" w:space="0" w:color="auto"/>
                    <w:right w:val="single" w:sz="6" w:space="0" w:color="auto"/>
                  </w:tcBorders>
                  <w:shd w:val="clear" w:color="auto" w:fill="auto"/>
                </w:tcPr>
                <w:p w14:paraId="7408CEF0" w14:textId="77777777" w:rsidR="00682A16" w:rsidRPr="00682A16" w:rsidRDefault="00682A16" w:rsidP="00682A16">
                  <w:pPr>
                    <w:rPr>
                      <w:rFonts w:ascii="Arial" w:hAnsi="Arial" w:cs="Arial"/>
                      <w:sz w:val="14"/>
                    </w:rPr>
                  </w:pP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10F7C9A6" w14:textId="77777777" w:rsidR="00682A16" w:rsidRPr="00682A16" w:rsidRDefault="00682A16" w:rsidP="00682A16">
                  <w:pPr>
                    <w:rPr>
                      <w:rFonts w:ascii="Arial" w:hAnsi="Arial" w:cs="Arial"/>
                      <w:sz w:val="14"/>
                    </w:rPr>
                  </w:pP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CFF8D8B" w14:textId="77777777" w:rsidR="00682A16" w:rsidRPr="00682A16" w:rsidRDefault="00682A16" w:rsidP="00682A16">
                  <w:pPr>
                    <w:rPr>
                      <w:rFonts w:ascii="Arial" w:hAnsi="Arial" w:cs="Arial"/>
                      <w:sz w:val="14"/>
                    </w:rPr>
                  </w:pPr>
                </w:p>
              </w:tc>
            </w:tr>
            <w:tr w:rsidR="00682A16" w:rsidRPr="00924278" w14:paraId="3EAADC9C" w14:textId="77777777" w:rsidTr="00766C43">
              <w:trPr>
                <w:cantSplit/>
              </w:trPr>
              <w:tc>
                <w:tcPr>
                  <w:tcW w:w="2116" w:type="dxa"/>
                  <w:tcBorders>
                    <w:top w:val="single" w:sz="6" w:space="0" w:color="auto"/>
                    <w:left w:val="single" w:sz="6" w:space="0" w:color="auto"/>
                    <w:bottom w:val="single" w:sz="6" w:space="0" w:color="auto"/>
                    <w:right w:val="single" w:sz="6" w:space="0" w:color="auto"/>
                  </w:tcBorders>
                  <w:shd w:val="clear" w:color="auto" w:fill="auto"/>
                </w:tcPr>
                <w:p w14:paraId="06451E4F" w14:textId="77777777" w:rsidR="00682A16" w:rsidRPr="00682A16" w:rsidRDefault="00682A16" w:rsidP="00682A16">
                  <w:pPr>
                    <w:rPr>
                      <w:rFonts w:ascii="Arial" w:hAnsi="Arial" w:cs="Arial"/>
                      <w:sz w:val="14"/>
                    </w:rPr>
                  </w:pPr>
                </w:p>
              </w:tc>
              <w:tc>
                <w:tcPr>
                  <w:tcW w:w="2165" w:type="dxa"/>
                  <w:tcBorders>
                    <w:top w:val="single" w:sz="6" w:space="0" w:color="auto"/>
                    <w:left w:val="single" w:sz="6" w:space="0" w:color="auto"/>
                    <w:bottom w:val="single" w:sz="6" w:space="0" w:color="auto"/>
                    <w:right w:val="single" w:sz="6" w:space="0" w:color="auto"/>
                  </w:tcBorders>
                  <w:shd w:val="clear" w:color="auto" w:fill="auto"/>
                </w:tcPr>
                <w:p w14:paraId="24A87918" w14:textId="77777777" w:rsidR="00682A16" w:rsidRPr="00682A16" w:rsidRDefault="00682A16" w:rsidP="00682A16">
                  <w:pPr>
                    <w:rPr>
                      <w:rFonts w:ascii="Arial" w:hAnsi="Arial" w:cs="Arial"/>
                      <w:sz w:val="14"/>
                    </w:rPr>
                  </w:pP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6E3A50A1" w14:textId="77777777" w:rsidR="00682A16" w:rsidRPr="00682A16" w:rsidRDefault="00682A16" w:rsidP="00682A16">
                  <w:pPr>
                    <w:rPr>
                      <w:rFonts w:ascii="Arial" w:hAnsi="Arial" w:cs="Arial"/>
                      <w:sz w:val="14"/>
                    </w:rPr>
                  </w:pP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4E341232" w14:textId="77777777" w:rsidR="00682A16" w:rsidRPr="00682A16" w:rsidRDefault="00682A16" w:rsidP="00682A16">
                  <w:pPr>
                    <w:rPr>
                      <w:rFonts w:ascii="Arial" w:hAnsi="Arial" w:cs="Arial"/>
                      <w:sz w:val="14"/>
                    </w:rPr>
                  </w:pPr>
                </w:p>
              </w:tc>
            </w:tr>
            <w:tr w:rsidR="00682A16" w:rsidRPr="002546B4" w14:paraId="60731ABD" w14:textId="77777777" w:rsidTr="00766C43">
              <w:trPr>
                <w:cantSplit/>
              </w:trPr>
              <w:tc>
                <w:tcPr>
                  <w:tcW w:w="2116" w:type="dxa"/>
                  <w:tcBorders>
                    <w:top w:val="single" w:sz="6" w:space="0" w:color="auto"/>
                    <w:left w:val="single" w:sz="6" w:space="0" w:color="auto"/>
                    <w:bottom w:val="single" w:sz="6" w:space="0" w:color="auto"/>
                    <w:right w:val="single" w:sz="6" w:space="0" w:color="auto"/>
                  </w:tcBorders>
                  <w:shd w:val="clear" w:color="auto" w:fill="auto"/>
                </w:tcPr>
                <w:p w14:paraId="3BDE1B59" w14:textId="77777777" w:rsidR="00682A16" w:rsidRPr="00682A16" w:rsidRDefault="00682A16" w:rsidP="00682A16">
                  <w:pPr>
                    <w:jc w:val="right"/>
                    <w:rPr>
                      <w:rFonts w:ascii="Arial" w:hAnsi="Arial" w:cs="Arial"/>
                      <w:sz w:val="14"/>
                    </w:rPr>
                  </w:pPr>
                  <w:r w:rsidRPr="00682A16">
                    <w:rPr>
                      <w:rFonts w:ascii="Arial" w:hAnsi="Arial" w:cs="Arial"/>
                      <w:sz w:val="14"/>
                    </w:rPr>
                    <w:t>Totals</w:t>
                  </w:r>
                </w:p>
              </w:tc>
              <w:tc>
                <w:tcPr>
                  <w:tcW w:w="2165" w:type="dxa"/>
                  <w:tcBorders>
                    <w:top w:val="single" w:sz="6" w:space="0" w:color="auto"/>
                    <w:left w:val="single" w:sz="6" w:space="0" w:color="auto"/>
                    <w:bottom w:val="single" w:sz="6" w:space="0" w:color="auto"/>
                    <w:right w:val="single" w:sz="6" w:space="0" w:color="auto"/>
                  </w:tcBorders>
                  <w:shd w:val="clear" w:color="auto" w:fill="auto"/>
                </w:tcPr>
                <w:p w14:paraId="52CBF488" w14:textId="77777777" w:rsidR="00682A16" w:rsidRPr="00682A16" w:rsidRDefault="00682A16" w:rsidP="00682A16">
                  <w:pPr>
                    <w:rPr>
                      <w:rFonts w:ascii="Arial" w:hAnsi="Arial" w:cs="Arial"/>
                      <w:sz w:val="14"/>
                    </w:rPr>
                  </w:pPr>
                  <w:r w:rsidRPr="00682A16">
                    <w:rPr>
                      <w:rFonts w:ascii="Arial" w:hAnsi="Arial" w:cs="Arial"/>
                      <w:sz w:val="14"/>
                    </w:rPr>
                    <w:t>$</w:t>
                  </w: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7570DF04" w14:textId="77777777" w:rsidR="00682A16" w:rsidRPr="00682A16" w:rsidRDefault="00682A16" w:rsidP="00682A16">
                  <w:pPr>
                    <w:jc w:val="center"/>
                    <w:rPr>
                      <w:rFonts w:ascii="Arial" w:hAnsi="Arial" w:cs="Arial"/>
                      <w:sz w:val="14"/>
                    </w:rPr>
                  </w:pP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628A5F3" w14:textId="77777777" w:rsidR="00682A16" w:rsidRPr="00682A16" w:rsidRDefault="00682A16" w:rsidP="00682A16">
                  <w:pPr>
                    <w:jc w:val="center"/>
                    <w:rPr>
                      <w:rFonts w:ascii="Arial" w:hAnsi="Arial" w:cs="Arial"/>
                      <w:sz w:val="14"/>
                    </w:rPr>
                  </w:pPr>
                </w:p>
              </w:tc>
            </w:tr>
          </w:tbl>
          <w:p w14:paraId="2607012D" w14:textId="1DE17AC2" w:rsidR="00682A16" w:rsidRDefault="00682A16" w:rsidP="00682A16">
            <w:pPr>
              <w:tabs>
                <w:tab w:val="left" w:pos="0"/>
              </w:tabs>
              <w:spacing w:before="60" w:after="60"/>
              <w:jc w:val="both"/>
              <w:rPr>
                <w:rFonts w:ascii="Arial" w:hAnsi="Arial" w:cs="Arial"/>
                <w:b/>
                <w:bCs/>
                <w:sz w:val="20"/>
                <w:szCs w:val="20"/>
              </w:rPr>
            </w:pPr>
          </w:p>
          <w:p w14:paraId="6ECE2AB5" w14:textId="0701A61C" w:rsidR="00682A16" w:rsidRPr="00682A16" w:rsidRDefault="00682A16" w:rsidP="00682A16">
            <w:pPr>
              <w:tabs>
                <w:tab w:val="left" w:pos="715"/>
              </w:tabs>
              <w:spacing w:before="60" w:after="60"/>
              <w:ind w:left="715"/>
              <w:jc w:val="both"/>
              <w:rPr>
                <w:rFonts w:ascii="Arial" w:hAnsi="Arial" w:cs="Arial"/>
                <w:b/>
                <w:sz w:val="20"/>
                <w:szCs w:val="20"/>
              </w:rPr>
            </w:pPr>
            <w:r w:rsidRPr="00682A16">
              <w:rPr>
                <w:rFonts w:ascii="Arial" w:hAnsi="Arial" w:cs="Arial"/>
                <w:b/>
                <w:sz w:val="20"/>
                <w:szCs w:val="20"/>
              </w:rPr>
              <w:t>Allocation of Investment Proceeds of Separate Account Activity</w:t>
            </w:r>
          </w:p>
          <w:p w14:paraId="55079357" w14:textId="777F01B5" w:rsidR="00682A16" w:rsidRPr="00682A16" w:rsidRDefault="00682A16" w:rsidP="00682A16">
            <w:pPr>
              <w:tabs>
                <w:tab w:val="left" w:pos="715"/>
              </w:tabs>
              <w:spacing w:before="60" w:after="60"/>
              <w:ind w:left="715"/>
              <w:jc w:val="both"/>
              <w:rPr>
                <w:rFonts w:ascii="Arial" w:hAnsi="Arial" w:cs="Arial"/>
                <w:sz w:val="20"/>
                <w:szCs w:val="20"/>
              </w:rPr>
            </w:pPr>
            <w:r w:rsidRPr="00682A16">
              <w:rPr>
                <w:rFonts w:ascii="Arial" w:hAnsi="Arial" w:cs="Arial"/>
                <w:sz w:val="20"/>
                <w:szCs w:val="20"/>
              </w:rPr>
              <w:lastRenderedPageBreak/>
              <w:t>4.1       Does the reporting entity have separate account assets in which less than 100% of investment proceeds (net of contract fees and assessments) are attributed to a contract holder? (This should identify any situations where there is a ceiling on investment performance results.)</w:t>
            </w:r>
          </w:p>
          <w:p w14:paraId="5E71632E" w14:textId="3EF6C13D" w:rsidR="00682A16" w:rsidRPr="00682A16" w:rsidRDefault="00682A16" w:rsidP="00682A16">
            <w:pPr>
              <w:tabs>
                <w:tab w:val="left" w:pos="715"/>
              </w:tabs>
              <w:spacing w:before="60" w:after="60"/>
              <w:ind w:left="715"/>
              <w:jc w:val="both"/>
              <w:rPr>
                <w:rFonts w:ascii="Arial" w:hAnsi="Arial" w:cs="Arial"/>
                <w:sz w:val="20"/>
                <w:szCs w:val="20"/>
              </w:rPr>
            </w:pPr>
          </w:p>
          <w:p w14:paraId="51ADB886" w14:textId="6AD94FEA" w:rsidR="00682A16" w:rsidRDefault="00682A16" w:rsidP="00682A16">
            <w:pPr>
              <w:pStyle w:val="ListParagraph"/>
              <w:numPr>
                <w:ilvl w:val="1"/>
                <w:numId w:val="37"/>
              </w:numPr>
              <w:tabs>
                <w:tab w:val="left" w:pos="715"/>
              </w:tabs>
              <w:spacing w:before="60" w:after="60"/>
              <w:ind w:left="715" w:firstLine="0"/>
              <w:jc w:val="both"/>
              <w:rPr>
                <w:rFonts w:ascii="Arial" w:hAnsi="Arial" w:cs="Arial"/>
                <w:sz w:val="20"/>
                <w:szCs w:val="20"/>
              </w:rPr>
            </w:pPr>
            <w:r w:rsidRPr="00682A16">
              <w:rPr>
                <w:rFonts w:ascii="Arial" w:hAnsi="Arial" w:cs="Arial"/>
                <w:sz w:val="20"/>
                <w:szCs w:val="20"/>
              </w:rPr>
              <w:t xml:space="preserve"> If yes, provide detail on the net investment proceeds that were attributed to the contract holder, transferred to the general account and reinvested within the separate account: </w:t>
            </w:r>
          </w:p>
          <w:p w14:paraId="2DDBC70F" w14:textId="77777777" w:rsidR="00BC01C0" w:rsidRPr="00682A16" w:rsidRDefault="00BC01C0" w:rsidP="00BC01C0">
            <w:pPr>
              <w:pStyle w:val="ListParagraph"/>
              <w:tabs>
                <w:tab w:val="left" w:pos="715"/>
              </w:tabs>
              <w:spacing w:before="60" w:after="60"/>
              <w:ind w:left="715"/>
              <w:jc w:val="both"/>
              <w:rPr>
                <w:rFonts w:ascii="Arial" w:hAnsi="Arial" w:cs="Arial"/>
                <w:sz w:val="20"/>
                <w:szCs w:val="20"/>
              </w:rPr>
            </w:pPr>
          </w:p>
          <w:tbl>
            <w:tblPr>
              <w:tblW w:w="7380" w:type="dxa"/>
              <w:jc w:val="center"/>
              <w:tblLayout w:type="fixed"/>
              <w:tblLook w:val="0000" w:firstRow="0" w:lastRow="0" w:firstColumn="0" w:lastColumn="0" w:noHBand="0" w:noVBand="0"/>
            </w:tblPr>
            <w:tblGrid>
              <w:gridCol w:w="1504"/>
              <w:gridCol w:w="1196"/>
              <w:gridCol w:w="1440"/>
              <w:gridCol w:w="1620"/>
              <w:gridCol w:w="1620"/>
            </w:tblGrid>
            <w:tr w:rsidR="00682A16" w:rsidRPr="00D63785" w14:paraId="46FD7D84" w14:textId="77777777" w:rsidTr="00766C43">
              <w:trPr>
                <w:cantSplit/>
                <w:jc w:val="center"/>
              </w:trPr>
              <w:tc>
                <w:tcPr>
                  <w:tcW w:w="1504" w:type="dxa"/>
                  <w:tcBorders>
                    <w:top w:val="single" w:sz="6" w:space="0" w:color="auto"/>
                    <w:left w:val="single" w:sz="6" w:space="0" w:color="auto"/>
                    <w:bottom w:val="single" w:sz="6" w:space="0" w:color="auto"/>
                    <w:right w:val="single" w:sz="6" w:space="0" w:color="auto"/>
                  </w:tcBorders>
                </w:tcPr>
                <w:p w14:paraId="0A921517" w14:textId="77777777" w:rsidR="00682A16" w:rsidRPr="00682A16" w:rsidRDefault="00682A16" w:rsidP="00682A16">
                  <w:pPr>
                    <w:jc w:val="center"/>
                    <w:rPr>
                      <w:rFonts w:ascii="Arial" w:hAnsi="Arial" w:cs="Arial"/>
                      <w:sz w:val="14"/>
                    </w:rPr>
                  </w:pPr>
                  <w:r w:rsidRPr="00682A16">
                    <w:rPr>
                      <w:rFonts w:ascii="Arial" w:hAnsi="Arial" w:cs="Arial"/>
                      <w:sz w:val="14"/>
                    </w:rPr>
                    <w:t>1</w:t>
                  </w:r>
                </w:p>
                <w:p w14:paraId="213FD4FF" w14:textId="77777777" w:rsidR="00682A16" w:rsidRPr="00682A16" w:rsidRDefault="00682A16" w:rsidP="00682A16">
                  <w:pPr>
                    <w:jc w:val="center"/>
                    <w:rPr>
                      <w:rFonts w:ascii="Arial" w:hAnsi="Arial" w:cs="Arial"/>
                      <w:sz w:val="14"/>
                    </w:rPr>
                  </w:pPr>
                </w:p>
                <w:p w14:paraId="28DAF29C" w14:textId="77777777" w:rsidR="00682A16" w:rsidRPr="00682A16" w:rsidRDefault="00682A16" w:rsidP="00682A16">
                  <w:pPr>
                    <w:jc w:val="center"/>
                    <w:rPr>
                      <w:rFonts w:ascii="Arial" w:hAnsi="Arial" w:cs="Arial"/>
                      <w:sz w:val="14"/>
                    </w:rPr>
                  </w:pPr>
                  <w:r w:rsidRPr="00682A16">
                    <w:rPr>
                      <w:rFonts w:ascii="Arial" w:hAnsi="Arial" w:cs="Arial"/>
                      <w:sz w:val="14"/>
                    </w:rPr>
                    <w:t>Product Identifier</w:t>
                  </w:r>
                </w:p>
              </w:tc>
              <w:tc>
                <w:tcPr>
                  <w:tcW w:w="1196" w:type="dxa"/>
                  <w:tcBorders>
                    <w:top w:val="single" w:sz="6" w:space="0" w:color="auto"/>
                    <w:left w:val="single" w:sz="6" w:space="0" w:color="auto"/>
                    <w:bottom w:val="single" w:sz="6" w:space="0" w:color="auto"/>
                    <w:right w:val="single" w:sz="6" w:space="0" w:color="auto"/>
                  </w:tcBorders>
                </w:tcPr>
                <w:p w14:paraId="729A1872" w14:textId="77777777" w:rsidR="00682A16" w:rsidRPr="00682A16" w:rsidRDefault="00682A16" w:rsidP="00682A16">
                  <w:pPr>
                    <w:jc w:val="center"/>
                    <w:rPr>
                      <w:rFonts w:ascii="Arial" w:hAnsi="Arial" w:cs="Arial"/>
                      <w:sz w:val="14"/>
                    </w:rPr>
                  </w:pPr>
                  <w:r w:rsidRPr="00682A16">
                    <w:rPr>
                      <w:rFonts w:ascii="Arial" w:hAnsi="Arial" w:cs="Arial"/>
                      <w:sz w:val="14"/>
                    </w:rPr>
                    <w:t>2</w:t>
                  </w:r>
                </w:p>
                <w:p w14:paraId="1CA8BC16" w14:textId="77777777" w:rsidR="00682A16" w:rsidRPr="00682A16" w:rsidRDefault="00682A16" w:rsidP="00682A16">
                  <w:pPr>
                    <w:jc w:val="center"/>
                    <w:rPr>
                      <w:rFonts w:ascii="Arial" w:hAnsi="Arial" w:cs="Arial"/>
                      <w:sz w:val="14"/>
                    </w:rPr>
                  </w:pPr>
                  <w:r w:rsidRPr="00682A16">
                    <w:rPr>
                      <w:rFonts w:ascii="Arial" w:hAnsi="Arial" w:cs="Arial"/>
                      <w:sz w:val="14"/>
                    </w:rPr>
                    <w:t>Net Investment Proceeds</w:t>
                  </w:r>
                </w:p>
              </w:tc>
              <w:tc>
                <w:tcPr>
                  <w:tcW w:w="1440" w:type="dxa"/>
                  <w:tcBorders>
                    <w:top w:val="single" w:sz="6" w:space="0" w:color="auto"/>
                    <w:left w:val="single" w:sz="6" w:space="0" w:color="auto"/>
                    <w:bottom w:val="single" w:sz="6" w:space="0" w:color="auto"/>
                    <w:right w:val="single" w:sz="6" w:space="0" w:color="auto"/>
                  </w:tcBorders>
                </w:tcPr>
                <w:p w14:paraId="10445669" w14:textId="77777777" w:rsidR="00682A16" w:rsidRPr="00682A16" w:rsidRDefault="00682A16" w:rsidP="00682A16">
                  <w:pPr>
                    <w:jc w:val="center"/>
                    <w:rPr>
                      <w:rFonts w:ascii="Arial" w:hAnsi="Arial" w:cs="Arial"/>
                      <w:sz w:val="14"/>
                    </w:rPr>
                  </w:pPr>
                  <w:r w:rsidRPr="00682A16">
                    <w:rPr>
                      <w:rFonts w:ascii="Arial" w:hAnsi="Arial" w:cs="Arial"/>
                      <w:sz w:val="14"/>
                    </w:rPr>
                    <w:t>3</w:t>
                  </w:r>
                </w:p>
                <w:p w14:paraId="28B3B963" w14:textId="77777777" w:rsidR="00682A16" w:rsidRPr="00682A16" w:rsidRDefault="00682A16" w:rsidP="00682A16">
                  <w:pPr>
                    <w:jc w:val="center"/>
                    <w:rPr>
                      <w:rFonts w:ascii="Arial" w:hAnsi="Arial" w:cs="Arial"/>
                      <w:sz w:val="14"/>
                    </w:rPr>
                  </w:pPr>
                  <w:r w:rsidRPr="00682A16">
                    <w:rPr>
                      <w:rFonts w:ascii="Arial" w:hAnsi="Arial" w:cs="Arial"/>
                      <w:sz w:val="14"/>
                    </w:rPr>
                    <w:t>Attributed to Contract Holder</w:t>
                  </w:r>
                </w:p>
              </w:tc>
              <w:tc>
                <w:tcPr>
                  <w:tcW w:w="1620" w:type="dxa"/>
                  <w:tcBorders>
                    <w:top w:val="single" w:sz="6" w:space="0" w:color="auto"/>
                    <w:left w:val="single" w:sz="6" w:space="0" w:color="auto"/>
                    <w:bottom w:val="single" w:sz="6" w:space="0" w:color="auto"/>
                    <w:right w:val="single" w:sz="6" w:space="0" w:color="auto"/>
                  </w:tcBorders>
                </w:tcPr>
                <w:p w14:paraId="11DBCA22" w14:textId="77777777" w:rsidR="00682A16" w:rsidRPr="00682A16" w:rsidRDefault="00682A16" w:rsidP="00682A16">
                  <w:pPr>
                    <w:jc w:val="center"/>
                    <w:rPr>
                      <w:rFonts w:ascii="Arial" w:hAnsi="Arial" w:cs="Arial"/>
                      <w:sz w:val="14"/>
                    </w:rPr>
                  </w:pPr>
                  <w:r w:rsidRPr="00682A16">
                    <w:rPr>
                      <w:rFonts w:ascii="Arial" w:hAnsi="Arial" w:cs="Arial"/>
                      <w:sz w:val="14"/>
                    </w:rPr>
                    <w:t>4</w:t>
                  </w:r>
                </w:p>
                <w:p w14:paraId="37E6328C" w14:textId="77777777" w:rsidR="00682A16" w:rsidRPr="00682A16" w:rsidRDefault="00682A16" w:rsidP="00682A16">
                  <w:pPr>
                    <w:jc w:val="center"/>
                    <w:rPr>
                      <w:rFonts w:ascii="Arial" w:hAnsi="Arial" w:cs="Arial"/>
                      <w:sz w:val="14"/>
                    </w:rPr>
                  </w:pPr>
                  <w:r w:rsidRPr="00682A16">
                    <w:rPr>
                      <w:rFonts w:ascii="Arial" w:hAnsi="Arial" w:cs="Arial"/>
                      <w:sz w:val="14"/>
                    </w:rPr>
                    <w:t>Transferred to General Account</w:t>
                  </w:r>
                </w:p>
              </w:tc>
              <w:tc>
                <w:tcPr>
                  <w:tcW w:w="1620" w:type="dxa"/>
                  <w:tcBorders>
                    <w:top w:val="single" w:sz="6" w:space="0" w:color="auto"/>
                    <w:left w:val="single" w:sz="6" w:space="0" w:color="auto"/>
                    <w:bottom w:val="single" w:sz="6" w:space="0" w:color="auto"/>
                    <w:right w:val="single" w:sz="6" w:space="0" w:color="auto"/>
                  </w:tcBorders>
                </w:tcPr>
                <w:p w14:paraId="152E078B" w14:textId="77777777" w:rsidR="00682A16" w:rsidRPr="00682A16" w:rsidRDefault="00682A16" w:rsidP="00682A16">
                  <w:pPr>
                    <w:jc w:val="center"/>
                    <w:rPr>
                      <w:rFonts w:ascii="Arial" w:hAnsi="Arial" w:cs="Arial"/>
                      <w:sz w:val="14"/>
                    </w:rPr>
                  </w:pPr>
                  <w:r w:rsidRPr="00682A16">
                    <w:rPr>
                      <w:rFonts w:ascii="Arial" w:hAnsi="Arial" w:cs="Arial"/>
                      <w:sz w:val="14"/>
                    </w:rPr>
                    <w:t>5</w:t>
                  </w:r>
                </w:p>
                <w:p w14:paraId="21E41B71" w14:textId="77777777" w:rsidR="00682A16" w:rsidRPr="00682A16" w:rsidRDefault="00682A16" w:rsidP="00682A16">
                  <w:pPr>
                    <w:jc w:val="center"/>
                    <w:rPr>
                      <w:rFonts w:ascii="Arial" w:hAnsi="Arial" w:cs="Arial"/>
                      <w:sz w:val="14"/>
                    </w:rPr>
                  </w:pPr>
                  <w:r w:rsidRPr="00682A16">
                    <w:rPr>
                      <w:rFonts w:ascii="Arial" w:hAnsi="Arial" w:cs="Arial"/>
                      <w:sz w:val="14"/>
                    </w:rPr>
                    <w:t>Reinvested Within the Separate Account</w:t>
                  </w:r>
                </w:p>
              </w:tc>
            </w:tr>
            <w:tr w:rsidR="00682A16" w:rsidRPr="00D63785" w14:paraId="02EBE725" w14:textId="77777777" w:rsidTr="00766C43">
              <w:trPr>
                <w:cantSplit/>
                <w:jc w:val="center"/>
              </w:trPr>
              <w:tc>
                <w:tcPr>
                  <w:tcW w:w="1504" w:type="dxa"/>
                  <w:tcBorders>
                    <w:top w:val="single" w:sz="6" w:space="0" w:color="auto"/>
                    <w:left w:val="single" w:sz="6" w:space="0" w:color="auto"/>
                    <w:bottom w:val="single" w:sz="6" w:space="0" w:color="auto"/>
                    <w:right w:val="single" w:sz="6" w:space="0" w:color="auto"/>
                  </w:tcBorders>
                </w:tcPr>
                <w:p w14:paraId="05C50507" w14:textId="77777777" w:rsidR="00682A16" w:rsidRPr="00682A16" w:rsidRDefault="00682A16" w:rsidP="00682A16">
                  <w:pPr>
                    <w:rPr>
                      <w:rFonts w:ascii="Arial" w:hAnsi="Arial" w:cs="Arial"/>
                      <w:sz w:val="14"/>
                    </w:rPr>
                  </w:pPr>
                </w:p>
              </w:tc>
              <w:tc>
                <w:tcPr>
                  <w:tcW w:w="1196" w:type="dxa"/>
                  <w:tcBorders>
                    <w:top w:val="single" w:sz="6" w:space="0" w:color="auto"/>
                    <w:left w:val="single" w:sz="6" w:space="0" w:color="auto"/>
                    <w:bottom w:val="single" w:sz="6" w:space="0" w:color="auto"/>
                    <w:right w:val="single" w:sz="6" w:space="0" w:color="auto"/>
                  </w:tcBorders>
                </w:tcPr>
                <w:p w14:paraId="725E8960" w14:textId="77777777" w:rsidR="00682A16" w:rsidRPr="00682A16" w:rsidRDefault="00682A16" w:rsidP="00682A16">
                  <w:pPr>
                    <w:rPr>
                      <w:rFonts w:ascii="Arial" w:hAnsi="Arial" w:cs="Arial"/>
                      <w:sz w:val="14"/>
                    </w:rPr>
                  </w:pPr>
                  <w:r w:rsidRPr="00682A16">
                    <w:rPr>
                      <w:rFonts w:ascii="Arial" w:hAnsi="Arial" w:cs="Arial"/>
                      <w:sz w:val="14"/>
                    </w:rPr>
                    <w:t>$</w:t>
                  </w:r>
                </w:p>
              </w:tc>
              <w:tc>
                <w:tcPr>
                  <w:tcW w:w="1440" w:type="dxa"/>
                  <w:tcBorders>
                    <w:top w:val="single" w:sz="6" w:space="0" w:color="auto"/>
                    <w:left w:val="single" w:sz="6" w:space="0" w:color="auto"/>
                    <w:bottom w:val="single" w:sz="6" w:space="0" w:color="auto"/>
                    <w:right w:val="single" w:sz="6" w:space="0" w:color="auto"/>
                  </w:tcBorders>
                </w:tcPr>
                <w:p w14:paraId="2FC90BAE" w14:textId="77777777" w:rsidR="00682A16" w:rsidRPr="00682A16" w:rsidRDefault="00682A16" w:rsidP="00682A16">
                  <w:pPr>
                    <w:rPr>
                      <w:rFonts w:ascii="Arial" w:hAnsi="Arial" w:cs="Arial"/>
                      <w:sz w:val="14"/>
                    </w:rPr>
                  </w:pPr>
                  <w:r w:rsidRPr="00682A16">
                    <w:rPr>
                      <w:rFonts w:ascii="Arial" w:hAnsi="Arial" w:cs="Arial"/>
                      <w:sz w:val="14"/>
                    </w:rPr>
                    <w:t>$</w:t>
                  </w:r>
                </w:p>
              </w:tc>
              <w:tc>
                <w:tcPr>
                  <w:tcW w:w="1620" w:type="dxa"/>
                  <w:tcBorders>
                    <w:top w:val="single" w:sz="6" w:space="0" w:color="auto"/>
                    <w:left w:val="single" w:sz="6" w:space="0" w:color="auto"/>
                    <w:bottom w:val="single" w:sz="6" w:space="0" w:color="auto"/>
                    <w:right w:val="single" w:sz="6" w:space="0" w:color="auto"/>
                  </w:tcBorders>
                </w:tcPr>
                <w:p w14:paraId="4ED1E9F4" w14:textId="77777777" w:rsidR="00682A16" w:rsidRPr="00682A16" w:rsidRDefault="00682A16" w:rsidP="00682A16">
                  <w:pPr>
                    <w:rPr>
                      <w:rFonts w:ascii="Arial" w:hAnsi="Arial" w:cs="Arial"/>
                      <w:sz w:val="14"/>
                    </w:rPr>
                  </w:pPr>
                  <w:r w:rsidRPr="00682A16">
                    <w:rPr>
                      <w:rFonts w:ascii="Arial" w:hAnsi="Arial" w:cs="Arial"/>
                      <w:sz w:val="14"/>
                    </w:rPr>
                    <w:t>$</w:t>
                  </w:r>
                </w:p>
              </w:tc>
              <w:tc>
                <w:tcPr>
                  <w:tcW w:w="1620" w:type="dxa"/>
                  <w:tcBorders>
                    <w:top w:val="single" w:sz="6" w:space="0" w:color="auto"/>
                    <w:left w:val="single" w:sz="6" w:space="0" w:color="auto"/>
                    <w:bottom w:val="single" w:sz="6" w:space="0" w:color="auto"/>
                    <w:right w:val="single" w:sz="6" w:space="0" w:color="auto"/>
                  </w:tcBorders>
                </w:tcPr>
                <w:p w14:paraId="66090403" w14:textId="77777777" w:rsidR="00682A16" w:rsidRPr="00682A16" w:rsidRDefault="00682A16" w:rsidP="00682A16">
                  <w:pPr>
                    <w:rPr>
                      <w:rFonts w:ascii="Arial" w:hAnsi="Arial" w:cs="Arial"/>
                      <w:sz w:val="14"/>
                    </w:rPr>
                  </w:pPr>
                  <w:r w:rsidRPr="00682A16">
                    <w:rPr>
                      <w:rFonts w:ascii="Arial" w:hAnsi="Arial" w:cs="Arial"/>
                      <w:sz w:val="14"/>
                    </w:rPr>
                    <w:t>$</w:t>
                  </w:r>
                </w:p>
              </w:tc>
            </w:tr>
            <w:tr w:rsidR="00682A16" w:rsidRPr="00D63785" w14:paraId="7B61A666" w14:textId="77777777" w:rsidTr="00766C43">
              <w:trPr>
                <w:cantSplit/>
                <w:jc w:val="center"/>
              </w:trPr>
              <w:tc>
                <w:tcPr>
                  <w:tcW w:w="1504" w:type="dxa"/>
                  <w:tcBorders>
                    <w:top w:val="single" w:sz="6" w:space="0" w:color="auto"/>
                    <w:left w:val="single" w:sz="6" w:space="0" w:color="auto"/>
                    <w:bottom w:val="single" w:sz="6" w:space="0" w:color="auto"/>
                    <w:right w:val="single" w:sz="6" w:space="0" w:color="auto"/>
                  </w:tcBorders>
                </w:tcPr>
                <w:p w14:paraId="2F0F3A2E" w14:textId="77777777" w:rsidR="00682A16" w:rsidRPr="00682A16" w:rsidRDefault="00682A16" w:rsidP="00682A16">
                  <w:pPr>
                    <w:rPr>
                      <w:rFonts w:ascii="Arial" w:hAnsi="Arial" w:cs="Arial"/>
                      <w:sz w:val="14"/>
                    </w:rPr>
                  </w:pPr>
                </w:p>
              </w:tc>
              <w:tc>
                <w:tcPr>
                  <w:tcW w:w="1196" w:type="dxa"/>
                  <w:tcBorders>
                    <w:top w:val="single" w:sz="6" w:space="0" w:color="auto"/>
                    <w:left w:val="single" w:sz="6" w:space="0" w:color="auto"/>
                    <w:bottom w:val="single" w:sz="6" w:space="0" w:color="auto"/>
                    <w:right w:val="single" w:sz="6" w:space="0" w:color="auto"/>
                  </w:tcBorders>
                </w:tcPr>
                <w:p w14:paraId="7637B1FB" w14:textId="77777777" w:rsidR="00682A16" w:rsidRPr="00682A16" w:rsidRDefault="00682A16" w:rsidP="00682A16">
                  <w:pPr>
                    <w:rPr>
                      <w:rFonts w:ascii="Arial" w:hAnsi="Arial" w:cs="Arial"/>
                      <w:sz w:val="14"/>
                    </w:rPr>
                  </w:pPr>
                  <w:r w:rsidRPr="00682A16">
                    <w:rPr>
                      <w:rFonts w:ascii="Arial" w:hAnsi="Arial" w:cs="Arial"/>
                      <w:sz w:val="14"/>
                    </w:rPr>
                    <w:t>$</w:t>
                  </w:r>
                </w:p>
              </w:tc>
              <w:tc>
                <w:tcPr>
                  <w:tcW w:w="1440" w:type="dxa"/>
                  <w:tcBorders>
                    <w:top w:val="single" w:sz="6" w:space="0" w:color="auto"/>
                    <w:left w:val="single" w:sz="6" w:space="0" w:color="auto"/>
                    <w:bottom w:val="single" w:sz="6" w:space="0" w:color="auto"/>
                    <w:right w:val="single" w:sz="6" w:space="0" w:color="auto"/>
                  </w:tcBorders>
                </w:tcPr>
                <w:p w14:paraId="51B3CEA9" w14:textId="77777777" w:rsidR="00682A16" w:rsidRPr="00682A16" w:rsidRDefault="00682A16" w:rsidP="00682A16">
                  <w:pPr>
                    <w:rPr>
                      <w:rFonts w:ascii="Arial" w:hAnsi="Arial" w:cs="Arial"/>
                      <w:sz w:val="14"/>
                    </w:rPr>
                  </w:pPr>
                  <w:r w:rsidRPr="00682A16">
                    <w:rPr>
                      <w:rFonts w:ascii="Arial" w:hAnsi="Arial" w:cs="Arial"/>
                      <w:sz w:val="14"/>
                    </w:rPr>
                    <w:t>$</w:t>
                  </w:r>
                </w:p>
              </w:tc>
              <w:tc>
                <w:tcPr>
                  <w:tcW w:w="1620" w:type="dxa"/>
                  <w:tcBorders>
                    <w:top w:val="single" w:sz="6" w:space="0" w:color="auto"/>
                    <w:left w:val="single" w:sz="6" w:space="0" w:color="auto"/>
                    <w:bottom w:val="single" w:sz="6" w:space="0" w:color="auto"/>
                    <w:right w:val="single" w:sz="6" w:space="0" w:color="auto"/>
                  </w:tcBorders>
                </w:tcPr>
                <w:p w14:paraId="7A0C198F" w14:textId="77777777" w:rsidR="00682A16" w:rsidRPr="00682A16" w:rsidRDefault="00682A16" w:rsidP="00682A16">
                  <w:pPr>
                    <w:rPr>
                      <w:rFonts w:ascii="Arial" w:hAnsi="Arial" w:cs="Arial"/>
                      <w:sz w:val="14"/>
                    </w:rPr>
                  </w:pPr>
                  <w:r w:rsidRPr="00682A16">
                    <w:rPr>
                      <w:rFonts w:ascii="Arial" w:hAnsi="Arial" w:cs="Arial"/>
                      <w:sz w:val="14"/>
                    </w:rPr>
                    <w:t>$</w:t>
                  </w:r>
                </w:p>
              </w:tc>
              <w:tc>
                <w:tcPr>
                  <w:tcW w:w="1620" w:type="dxa"/>
                  <w:tcBorders>
                    <w:top w:val="single" w:sz="6" w:space="0" w:color="auto"/>
                    <w:left w:val="single" w:sz="6" w:space="0" w:color="auto"/>
                    <w:bottom w:val="single" w:sz="6" w:space="0" w:color="auto"/>
                    <w:right w:val="single" w:sz="6" w:space="0" w:color="auto"/>
                  </w:tcBorders>
                </w:tcPr>
                <w:p w14:paraId="3D3D7FEE" w14:textId="77777777" w:rsidR="00682A16" w:rsidRPr="00682A16" w:rsidRDefault="00682A16" w:rsidP="00682A16">
                  <w:pPr>
                    <w:rPr>
                      <w:rFonts w:ascii="Arial" w:hAnsi="Arial" w:cs="Arial"/>
                      <w:sz w:val="14"/>
                    </w:rPr>
                  </w:pPr>
                  <w:r w:rsidRPr="00682A16">
                    <w:rPr>
                      <w:rFonts w:ascii="Arial" w:hAnsi="Arial" w:cs="Arial"/>
                      <w:sz w:val="14"/>
                    </w:rPr>
                    <w:t>$</w:t>
                  </w:r>
                </w:p>
              </w:tc>
            </w:tr>
            <w:tr w:rsidR="00682A16" w:rsidRPr="00D63785" w14:paraId="112755E5" w14:textId="77777777" w:rsidTr="00766C43">
              <w:trPr>
                <w:cantSplit/>
                <w:jc w:val="center"/>
              </w:trPr>
              <w:tc>
                <w:tcPr>
                  <w:tcW w:w="1504" w:type="dxa"/>
                  <w:tcBorders>
                    <w:top w:val="single" w:sz="6" w:space="0" w:color="auto"/>
                    <w:left w:val="single" w:sz="6" w:space="0" w:color="auto"/>
                    <w:bottom w:val="single" w:sz="6" w:space="0" w:color="auto"/>
                    <w:right w:val="single" w:sz="6" w:space="0" w:color="auto"/>
                  </w:tcBorders>
                </w:tcPr>
                <w:p w14:paraId="6C398832" w14:textId="77777777" w:rsidR="00682A16" w:rsidRPr="00682A16" w:rsidRDefault="00682A16" w:rsidP="00682A16">
                  <w:pPr>
                    <w:rPr>
                      <w:rFonts w:ascii="Arial" w:hAnsi="Arial" w:cs="Arial"/>
                      <w:sz w:val="14"/>
                    </w:rPr>
                  </w:pPr>
                </w:p>
              </w:tc>
              <w:tc>
                <w:tcPr>
                  <w:tcW w:w="1196" w:type="dxa"/>
                  <w:tcBorders>
                    <w:top w:val="single" w:sz="6" w:space="0" w:color="auto"/>
                    <w:left w:val="single" w:sz="6" w:space="0" w:color="auto"/>
                    <w:bottom w:val="single" w:sz="6" w:space="0" w:color="auto"/>
                    <w:right w:val="single" w:sz="6" w:space="0" w:color="auto"/>
                  </w:tcBorders>
                </w:tcPr>
                <w:p w14:paraId="762ACACA" w14:textId="77777777" w:rsidR="00682A16" w:rsidRPr="00682A16" w:rsidRDefault="00682A16" w:rsidP="00682A16">
                  <w:pPr>
                    <w:rPr>
                      <w:rFonts w:ascii="Arial" w:hAnsi="Arial" w:cs="Arial"/>
                      <w:sz w:val="14"/>
                    </w:rPr>
                  </w:pPr>
                  <w:r w:rsidRPr="00682A16">
                    <w:rPr>
                      <w:rFonts w:ascii="Arial" w:hAnsi="Arial" w:cs="Arial"/>
                      <w:sz w:val="14"/>
                    </w:rPr>
                    <w:t>$</w:t>
                  </w:r>
                </w:p>
              </w:tc>
              <w:tc>
                <w:tcPr>
                  <w:tcW w:w="1440" w:type="dxa"/>
                  <w:tcBorders>
                    <w:top w:val="single" w:sz="6" w:space="0" w:color="auto"/>
                    <w:left w:val="single" w:sz="6" w:space="0" w:color="auto"/>
                    <w:bottom w:val="single" w:sz="6" w:space="0" w:color="auto"/>
                    <w:right w:val="single" w:sz="6" w:space="0" w:color="auto"/>
                  </w:tcBorders>
                </w:tcPr>
                <w:p w14:paraId="62B2A57C" w14:textId="77777777" w:rsidR="00682A16" w:rsidRPr="00682A16" w:rsidRDefault="00682A16" w:rsidP="00682A16">
                  <w:pPr>
                    <w:rPr>
                      <w:rFonts w:ascii="Arial" w:hAnsi="Arial" w:cs="Arial"/>
                      <w:sz w:val="14"/>
                    </w:rPr>
                  </w:pPr>
                  <w:r w:rsidRPr="00682A16">
                    <w:rPr>
                      <w:rFonts w:ascii="Arial" w:hAnsi="Arial" w:cs="Arial"/>
                      <w:sz w:val="14"/>
                    </w:rPr>
                    <w:t>$</w:t>
                  </w:r>
                </w:p>
              </w:tc>
              <w:tc>
                <w:tcPr>
                  <w:tcW w:w="1620" w:type="dxa"/>
                  <w:tcBorders>
                    <w:top w:val="single" w:sz="6" w:space="0" w:color="auto"/>
                    <w:left w:val="single" w:sz="6" w:space="0" w:color="auto"/>
                    <w:bottom w:val="single" w:sz="6" w:space="0" w:color="auto"/>
                    <w:right w:val="single" w:sz="6" w:space="0" w:color="auto"/>
                  </w:tcBorders>
                </w:tcPr>
                <w:p w14:paraId="7A837ADB" w14:textId="77777777" w:rsidR="00682A16" w:rsidRPr="00682A16" w:rsidRDefault="00682A16" w:rsidP="00682A16">
                  <w:pPr>
                    <w:rPr>
                      <w:rFonts w:ascii="Arial" w:hAnsi="Arial" w:cs="Arial"/>
                      <w:sz w:val="14"/>
                    </w:rPr>
                  </w:pPr>
                  <w:r w:rsidRPr="00682A16">
                    <w:rPr>
                      <w:rFonts w:ascii="Arial" w:hAnsi="Arial" w:cs="Arial"/>
                      <w:sz w:val="14"/>
                    </w:rPr>
                    <w:t>$</w:t>
                  </w:r>
                </w:p>
              </w:tc>
              <w:tc>
                <w:tcPr>
                  <w:tcW w:w="1620" w:type="dxa"/>
                  <w:tcBorders>
                    <w:top w:val="single" w:sz="6" w:space="0" w:color="auto"/>
                    <w:left w:val="single" w:sz="6" w:space="0" w:color="auto"/>
                    <w:bottom w:val="single" w:sz="6" w:space="0" w:color="auto"/>
                    <w:right w:val="single" w:sz="6" w:space="0" w:color="auto"/>
                  </w:tcBorders>
                </w:tcPr>
                <w:p w14:paraId="210D2A95" w14:textId="77777777" w:rsidR="00682A16" w:rsidRPr="00682A16" w:rsidRDefault="00682A16" w:rsidP="00682A16">
                  <w:pPr>
                    <w:rPr>
                      <w:rFonts w:ascii="Arial" w:hAnsi="Arial" w:cs="Arial"/>
                      <w:sz w:val="14"/>
                    </w:rPr>
                  </w:pPr>
                  <w:r w:rsidRPr="00682A16">
                    <w:rPr>
                      <w:rFonts w:ascii="Arial" w:hAnsi="Arial" w:cs="Arial"/>
                      <w:sz w:val="14"/>
                    </w:rPr>
                    <w:t>$</w:t>
                  </w:r>
                </w:p>
              </w:tc>
            </w:tr>
          </w:tbl>
          <w:p w14:paraId="2C0BB19C" w14:textId="77777777" w:rsidR="00682A16" w:rsidRPr="00682A16" w:rsidRDefault="00682A16" w:rsidP="00682A16">
            <w:pPr>
              <w:spacing w:before="60" w:after="60"/>
              <w:jc w:val="both"/>
              <w:rPr>
                <w:sz w:val="14"/>
              </w:rPr>
            </w:pPr>
          </w:p>
          <w:p w14:paraId="66757AA9" w14:textId="63705873" w:rsidR="00682A16" w:rsidRDefault="00682A16" w:rsidP="00682A16">
            <w:pPr>
              <w:pStyle w:val="ListParagraph"/>
              <w:keepNext/>
              <w:keepLines/>
              <w:numPr>
                <w:ilvl w:val="1"/>
                <w:numId w:val="40"/>
              </w:numPr>
              <w:tabs>
                <w:tab w:val="left" w:pos="715"/>
              </w:tabs>
              <w:spacing w:before="60" w:after="60"/>
              <w:ind w:left="715" w:firstLine="0"/>
              <w:jc w:val="both"/>
              <w:rPr>
                <w:rFonts w:ascii="Arial" w:hAnsi="Arial" w:cs="Arial"/>
                <w:sz w:val="20"/>
                <w:szCs w:val="20"/>
              </w:rPr>
            </w:pPr>
            <w:r>
              <w:rPr>
                <w:rFonts w:ascii="Arial" w:hAnsi="Arial" w:cs="Arial"/>
                <w:sz w:val="20"/>
                <w:szCs w:val="20"/>
              </w:rPr>
              <w:t xml:space="preserve"> </w:t>
            </w:r>
            <w:r w:rsidRPr="00682A16">
              <w:rPr>
                <w:rFonts w:ascii="Arial" w:hAnsi="Arial" w:cs="Arial"/>
                <w:sz w:val="20"/>
                <w:szCs w:val="20"/>
              </w:rPr>
              <w:t xml:space="preserve">Identify all separate account products and identify whether each product was classified within a separate account for GAAP reporting purposes. (For non-GAAP filers, this disclosure should reflect whether the GAAP classification would have been the same if GAAP financials had been completed.) For products that were (or would have been) reported differently, identify which SOP 03-1 condition prevented separate account GAAP classification for that particular product. </w:t>
            </w:r>
          </w:p>
          <w:p w14:paraId="67FE10FC" w14:textId="77777777" w:rsidR="00BC01C0" w:rsidRPr="00682A16" w:rsidRDefault="00BC01C0" w:rsidP="00BC01C0">
            <w:pPr>
              <w:pStyle w:val="ListParagraph"/>
              <w:keepNext/>
              <w:keepLines/>
              <w:tabs>
                <w:tab w:val="left" w:pos="715"/>
              </w:tabs>
              <w:spacing w:before="60" w:after="60"/>
              <w:ind w:left="715"/>
              <w:jc w:val="both"/>
              <w:rPr>
                <w:rFonts w:ascii="Arial" w:hAnsi="Arial" w:cs="Arial"/>
                <w:sz w:val="20"/>
                <w:szCs w:val="20"/>
              </w:rPr>
            </w:pPr>
          </w:p>
          <w:tbl>
            <w:tblPr>
              <w:tblW w:w="0" w:type="auto"/>
              <w:tblInd w:w="1188" w:type="dxa"/>
              <w:tblLayout w:type="fixed"/>
              <w:tblLook w:val="0000" w:firstRow="0" w:lastRow="0" w:firstColumn="0" w:lastColumn="0" w:noHBand="0" w:noVBand="0"/>
            </w:tblPr>
            <w:tblGrid>
              <w:gridCol w:w="3304"/>
              <w:gridCol w:w="3600"/>
            </w:tblGrid>
            <w:tr w:rsidR="00682A16" w:rsidRPr="00D63785" w14:paraId="18EBF4DF" w14:textId="77777777" w:rsidTr="00766C43">
              <w:trPr>
                <w:cantSplit/>
              </w:trPr>
              <w:tc>
                <w:tcPr>
                  <w:tcW w:w="3304" w:type="dxa"/>
                  <w:tcBorders>
                    <w:top w:val="single" w:sz="6" w:space="0" w:color="auto"/>
                    <w:left w:val="single" w:sz="6" w:space="0" w:color="auto"/>
                    <w:bottom w:val="single" w:sz="6" w:space="0" w:color="auto"/>
                    <w:right w:val="single" w:sz="6" w:space="0" w:color="auto"/>
                  </w:tcBorders>
                </w:tcPr>
                <w:p w14:paraId="4ABD573E" w14:textId="77777777" w:rsidR="00682A16" w:rsidRPr="00682A16" w:rsidRDefault="00682A16" w:rsidP="00682A16">
                  <w:pPr>
                    <w:keepNext/>
                    <w:keepLines/>
                    <w:jc w:val="center"/>
                    <w:rPr>
                      <w:rFonts w:ascii="Arial" w:hAnsi="Arial" w:cs="Arial"/>
                      <w:sz w:val="14"/>
                    </w:rPr>
                  </w:pPr>
                  <w:r w:rsidRPr="00682A16">
                    <w:rPr>
                      <w:rFonts w:ascii="Arial" w:hAnsi="Arial" w:cs="Arial"/>
                      <w:sz w:val="14"/>
                    </w:rPr>
                    <w:t>1</w:t>
                  </w:r>
                </w:p>
                <w:p w14:paraId="5CC8C415" w14:textId="77777777" w:rsidR="00682A16" w:rsidRPr="00682A16" w:rsidRDefault="00682A16" w:rsidP="00682A16">
                  <w:pPr>
                    <w:keepNext/>
                    <w:keepLines/>
                    <w:jc w:val="center"/>
                    <w:rPr>
                      <w:rFonts w:ascii="Arial" w:hAnsi="Arial" w:cs="Arial"/>
                      <w:sz w:val="14"/>
                    </w:rPr>
                  </w:pPr>
                </w:p>
                <w:p w14:paraId="1D173C50" w14:textId="77777777" w:rsidR="00682A16" w:rsidRPr="00682A16" w:rsidRDefault="00682A16" w:rsidP="00682A16">
                  <w:pPr>
                    <w:keepNext/>
                    <w:keepLines/>
                    <w:jc w:val="center"/>
                    <w:rPr>
                      <w:rFonts w:ascii="Arial" w:hAnsi="Arial" w:cs="Arial"/>
                      <w:sz w:val="14"/>
                    </w:rPr>
                  </w:pPr>
                  <w:r w:rsidRPr="00682A16">
                    <w:rPr>
                      <w:rFonts w:ascii="Arial" w:hAnsi="Arial" w:cs="Arial"/>
                      <w:sz w:val="14"/>
                    </w:rPr>
                    <w:t xml:space="preserve">Product Identifier </w:t>
                  </w:r>
                </w:p>
              </w:tc>
              <w:tc>
                <w:tcPr>
                  <w:tcW w:w="3600" w:type="dxa"/>
                  <w:tcBorders>
                    <w:top w:val="single" w:sz="6" w:space="0" w:color="auto"/>
                    <w:left w:val="single" w:sz="6" w:space="0" w:color="auto"/>
                    <w:bottom w:val="single" w:sz="6" w:space="0" w:color="auto"/>
                    <w:right w:val="single" w:sz="6" w:space="0" w:color="auto"/>
                  </w:tcBorders>
                </w:tcPr>
                <w:p w14:paraId="1F718502" w14:textId="77777777" w:rsidR="00682A16" w:rsidRPr="00682A16" w:rsidRDefault="00682A16" w:rsidP="00682A16">
                  <w:pPr>
                    <w:keepNext/>
                    <w:keepLines/>
                    <w:jc w:val="center"/>
                    <w:rPr>
                      <w:rFonts w:ascii="Arial" w:hAnsi="Arial" w:cs="Arial"/>
                      <w:sz w:val="14"/>
                    </w:rPr>
                  </w:pPr>
                  <w:r w:rsidRPr="00682A16">
                    <w:rPr>
                      <w:rFonts w:ascii="Arial" w:hAnsi="Arial" w:cs="Arial"/>
                      <w:sz w:val="14"/>
                    </w:rPr>
                    <w:t>2</w:t>
                  </w:r>
                </w:p>
                <w:p w14:paraId="61085D30" w14:textId="77777777" w:rsidR="00682A16" w:rsidRPr="00682A16" w:rsidRDefault="00682A16" w:rsidP="00682A16">
                  <w:pPr>
                    <w:keepNext/>
                    <w:keepLines/>
                    <w:jc w:val="center"/>
                    <w:rPr>
                      <w:rFonts w:ascii="Arial" w:hAnsi="Arial" w:cs="Arial"/>
                      <w:sz w:val="14"/>
                    </w:rPr>
                  </w:pPr>
                  <w:r w:rsidRPr="00682A16">
                    <w:rPr>
                      <w:rFonts w:ascii="Arial" w:hAnsi="Arial" w:cs="Arial"/>
                      <w:sz w:val="14"/>
                    </w:rPr>
                    <w:t>Same as GAAP / Condition that Requires GAAP General Account Reporting</w:t>
                  </w:r>
                </w:p>
              </w:tc>
            </w:tr>
            <w:tr w:rsidR="00682A16" w:rsidRPr="00D63785" w14:paraId="75D12130" w14:textId="77777777" w:rsidTr="00766C43">
              <w:trPr>
                <w:cantSplit/>
                <w:trHeight w:val="53"/>
              </w:trPr>
              <w:tc>
                <w:tcPr>
                  <w:tcW w:w="3304" w:type="dxa"/>
                  <w:tcBorders>
                    <w:top w:val="single" w:sz="6" w:space="0" w:color="auto"/>
                    <w:left w:val="single" w:sz="6" w:space="0" w:color="auto"/>
                    <w:bottom w:val="single" w:sz="4" w:space="0" w:color="auto"/>
                    <w:right w:val="single" w:sz="6" w:space="0" w:color="auto"/>
                  </w:tcBorders>
                </w:tcPr>
                <w:p w14:paraId="2F1DE136" w14:textId="77777777" w:rsidR="00682A16" w:rsidRPr="00682A16" w:rsidRDefault="00682A16" w:rsidP="00682A16">
                  <w:pPr>
                    <w:keepNext/>
                    <w:keepLines/>
                    <w:rPr>
                      <w:rFonts w:ascii="Arial" w:hAnsi="Arial" w:cs="Arial"/>
                      <w:sz w:val="14"/>
                    </w:rPr>
                  </w:pPr>
                </w:p>
              </w:tc>
              <w:tc>
                <w:tcPr>
                  <w:tcW w:w="3600" w:type="dxa"/>
                  <w:tcBorders>
                    <w:top w:val="single" w:sz="6" w:space="0" w:color="auto"/>
                    <w:left w:val="single" w:sz="6" w:space="0" w:color="auto"/>
                    <w:bottom w:val="single" w:sz="4" w:space="0" w:color="auto"/>
                    <w:right w:val="single" w:sz="6" w:space="0" w:color="auto"/>
                  </w:tcBorders>
                </w:tcPr>
                <w:p w14:paraId="2855920F" w14:textId="77777777" w:rsidR="00682A16" w:rsidRPr="00682A16" w:rsidRDefault="00682A16" w:rsidP="00682A16">
                  <w:pPr>
                    <w:keepNext/>
                    <w:keepLines/>
                    <w:rPr>
                      <w:rFonts w:ascii="Arial" w:hAnsi="Arial" w:cs="Arial"/>
                      <w:sz w:val="14"/>
                    </w:rPr>
                  </w:pPr>
                </w:p>
              </w:tc>
            </w:tr>
            <w:tr w:rsidR="00682A16" w:rsidRPr="00D63785" w14:paraId="387FB62F" w14:textId="77777777" w:rsidTr="00766C43">
              <w:trPr>
                <w:cantSplit/>
                <w:trHeight w:val="53"/>
              </w:trPr>
              <w:tc>
                <w:tcPr>
                  <w:tcW w:w="3304" w:type="dxa"/>
                  <w:tcBorders>
                    <w:top w:val="single" w:sz="4" w:space="0" w:color="auto"/>
                    <w:left w:val="single" w:sz="4" w:space="0" w:color="auto"/>
                    <w:bottom w:val="single" w:sz="4" w:space="0" w:color="auto"/>
                    <w:right w:val="single" w:sz="4" w:space="0" w:color="auto"/>
                  </w:tcBorders>
                </w:tcPr>
                <w:p w14:paraId="72F3232C" w14:textId="77777777" w:rsidR="00682A16" w:rsidRPr="00682A16" w:rsidRDefault="00682A16" w:rsidP="00682A16">
                  <w:pPr>
                    <w:keepNext/>
                    <w:keepLines/>
                    <w:rPr>
                      <w:rFonts w:ascii="Arial" w:hAnsi="Arial" w:cs="Arial"/>
                      <w:sz w:val="14"/>
                    </w:rPr>
                  </w:pPr>
                </w:p>
              </w:tc>
              <w:tc>
                <w:tcPr>
                  <w:tcW w:w="3600" w:type="dxa"/>
                  <w:tcBorders>
                    <w:top w:val="single" w:sz="4" w:space="0" w:color="auto"/>
                    <w:left w:val="single" w:sz="4" w:space="0" w:color="auto"/>
                    <w:bottom w:val="single" w:sz="4" w:space="0" w:color="auto"/>
                    <w:right w:val="single" w:sz="4" w:space="0" w:color="auto"/>
                  </w:tcBorders>
                </w:tcPr>
                <w:p w14:paraId="74994F2F" w14:textId="77777777" w:rsidR="00682A16" w:rsidRPr="00682A16" w:rsidRDefault="00682A16" w:rsidP="00682A16">
                  <w:pPr>
                    <w:keepNext/>
                    <w:keepLines/>
                    <w:rPr>
                      <w:rFonts w:ascii="Arial" w:hAnsi="Arial" w:cs="Arial"/>
                      <w:sz w:val="14"/>
                    </w:rPr>
                  </w:pPr>
                </w:p>
              </w:tc>
            </w:tr>
          </w:tbl>
          <w:p w14:paraId="5302D768" w14:textId="1AF86725" w:rsidR="00682A16" w:rsidRPr="00682A16" w:rsidRDefault="00682A16" w:rsidP="00682A16">
            <w:pPr>
              <w:tabs>
                <w:tab w:val="left" w:pos="0"/>
              </w:tabs>
              <w:spacing w:before="60" w:after="60"/>
              <w:jc w:val="both"/>
              <w:rPr>
                <w:rFonts w:ascii="Arial" w:hAnsi="Arial" w:cs="Arial"/>
                <w:b/>
                <w:bCs/>
                <w:sz w:val="20"/>
                <w:szCs w:val="20"/>
              </w:rPr>
            </w:pPr>
          </w:p>
        </w:tc>
      </w:tr>
    </w:tbl>
    <w:p w14:paraId="2D80BE8D" w14:textId="0BFCDE1D" w:rsidR="00211E60" w:rsidRDefault="00211E60" w:rsidP="00211E60">
      <w:pPr>
        <w:pStyle w:val="BodyText2"/>
        <w:rPr>
          <w:i/>
          <w:iCs/>
          <w:szCs w:val="22"/>
        </w:rPr>
      </w:pPr>
    </w:p>
    <w:p w14:paraId="0BAFAF3F" w14:textId="5730B397" w:rsidR="007B28B0" w:rsidRDefault="002A1316" w:rsidP="00E44EF1">
      <w:pPr>
        <w:pStyle w:val="BodyText2"/>
        <w:rPr>
          <w:b w:val="0"/>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xml:space="preserve">, SEC, FASB, </w:t>
      </w:r>
      <w:r w:rsidRPr="002B7C6D">
        <w:rPr>
          <w:szCs w:val="22"/>
        </w:rPr>
        <w:t>other State Departments of Insurance or other</w:t>
      </w:r>
      <w:r w:rsidRPr="00016321">
        <w:rPr>
          <w:szCs w:val="22"/>
        </w:rPr>
        <w:t xml:space="preserve"> NAIC groups):</w:t>
      </w:r>
      <w:r w:rsidR="004E2BB9" w:rsidRPr="00016321">
        <w:rPr>
          <w:szCs w:val="22"/>
        </w:rPr>
        <w:t xml:space="preserve"> </w:t>
      </w:r>
      <w:r w:rsidR="002B7C6D" w:rsidRPr="003A000B">
        <w:rPr>
          <w:b w:val="0"/>
          <w:bCs w:val="0"/>
          <w:szCs w:val="22"/>
        </w:rPr>
        <w:t>N/A</w:t>
      </w:r>
    </w:p>
    <w:p w14:paraId="3BACBA33" w14:textId="77777777" w:rsidR="00023A66" w:rsidRDefault="00023A66" w:rsidP="00CE3801">
      <w:pPr>
        <w:pStyle w:val="BodyText2"/>
        <w:ind w:left="1440"/>
        <w:rPr>
          <w:b w:val="0"/>
          <w:bCs w:val="0"/>
          <w:szCs w:val="22"/>
        </w:rPr>
      </w:pPr>
    </w:p>
    <w:p w14:paraId="1A7C9804" w14:textId="2831ECBB" w:rsidR="002A1316" w:rsidRPr="00016321" w:rsidRDefault="002A1316" w:rsidP="00773DFF">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6AF842BB" w:rsidR="002A1316" w:rsidRDefault="00FE7FAA" w:rsidP="00773DFF">
      <w:pPr>
        <w:pStyle w:val="BodyText"/>
        <w:rPr>
          <w:bCs/>
          <w:sz w:val="22"/>
          <w:szCs w:val="22"/>
        </w:rPr>
      </w:pPr>
      <w:r w:rsidRPr="00016321">
        <w:rPr>
          <w:bCs/>
          <w:sz w:val="22"/>
          <w:szCs w:val="22"/>
        </w:rPr>
        <w:t>None</w:t>
      </w:r>
    </w:p>
    <w:p w14:paraId="731C14DA" w14:textId="77777777" w:rsidR="009F55BC" w:rsidRPr="00016321" w:rsidRDefault="009F55BC" w:rsidP="00773DFF">
      <w:pPr>
        <w:pStyle w:val="BodyText"/>
        <w:rPr>
          <w:bCs/>
          <w:sz w:val="22"/>
          <w:szCs w:val="22"/>
        </w:rPr>
      </w:pPr>
    </w:p>
    <w:p w14:paraId="70213B4E" w14:textId="24A54089" w:rsidR="00490996" w:rsidRDefault="00490996" w:rsidP="00773DFF">
      <w:pPr>
        <w:pStyle w:val="Default"/>
        <w:jc w:val="both"/>
        <w:rPr>
          <w:sz w:val="22"/>
          <w:szCs w:val="22"/>
        </w:rPr>
      </w:pPr>
      <w:r w:rsidRPr="00016321">
        <w:rPr>
          <w:b/>
          <w:sz w:val="22"/>
          <w:szCs w:val="22"/>
        </w:rPr>
        <w:t>Convergence with International Financial Reporting Standards (IFRS):</w:t>
      </w:r>
      <w:r w:rsidR="00155F0F">
        <w:rPr>
          <w:b/>
          <w:sz w:val="22"/>
          <w:szCs w:val="22"/>
        </w:rPr>
        <w:t xml:space="preserve"> </w:t>
      </w:r>
      <w:r w:rsidR="007E6289">
        <w:rPr>
          <w:sz w:val="22"/>
          <w:szCs w:val="22"/>
        </w:rPr>
        <w:t>N/A</w:t>
      </w:r>
    </w:p>
    <w:p w14:paraId="66966FAA" w14:textId="3446C312" w:rsidR="00832F46" w:rsidRDefault="00832F46" w:rsidP="00773DFF">
      <w:pPr>
        <w:pStyle w:val="Default"/>
        <w:jc w:val="both"/>
        <w:rPr>
          <w:sz w:val="22"/>
          <w:szCs w:val="22"/>
        </w:rPr>
      </w:pPr>
    </w:p>
    <w:p w14:paraId="34CBA3B6" w14:textId="77777777" w:rsidR="002A1316" w:rsidRPr="00016321" w:rsidRDefault="002A1316" w:rsidP="00773DFF">
      <w:pPr>
        <w:pStyle w:val="BodyText2"/>
        <w:rPr>
          <w:szCs w:val="22"/>
        </w:rPr>
      </w:pPr>
      <w:r w:rsidRPr="00016321">
        <w:rPr>
          <w:szCs w:val="22"/>
        </w:rPr>
        <w:t>Staff Recommendation:</w:t>
      </w:r>
    </w:p>
    <w:p w14:paraId="6AB6BECF" w14:textId="7C23D8C0" w:rsidR="0056731A" w:rsidRDefault="00FF1783" w:rsidP="007A1CC8">
      <w:pPr>
        <w:pStyle w:val="BodyText2"/>
        <w:autoSpaceDE w:val="0"/>
        <w:autoSpaceDN w:val="0"/>
        <w:adjustRightInd w:val="0"/>
        <w:rPr>
          <w:szCs w:val="22"/>
        </w:rPr>
      </w:pPr>
      <w:bookmarkStart w:id="7" w:name="_Hlk53653167"/>
      <w:r>
        <w:rPr>
          <w:szCs w:val="22"/>
        </w:rPr>
        <w:t xml:space="preserve">NAIC </w:t>
      </w:r>
      <w:r w:rsidR="00CA3C87">
        <w:rPr>
          <w:szCs w:val="22"/>
        </w:rPr>
        <w:t>s</w:t>
      </w:r>
      <w:r w:rsidRPr="007B3D62">
        <w:rPr>
          <w:szCs w:val="22"/>
        </w:rPr>
        <w:t xml:space="preserve">taff recommends that the </w:t>
      </w:r>
      <w:r w:rsidRPr="00D8575D">
        <w:rPr>
          <w:szCs w:val="22"/>
        </w:rPr>
        <w:t xml:space="preserve">Working Group move this item to the active listing, categorized as </w:t>
      </w:r>
      <w:r w:rsidR="00F10BC9">
        <w:rPr>
          <w:szCs w:val="22"/>
        </w:rPr>
        <w:t>non</w:t>
      </w:r>
      <w:r w:rsidRPr="00D8575D">
        <w:rPr>
          <w:szCs w:val="22"/>
        </w:rPr>
        <w:t xml:space="preserve">substantive </w:t>
      </w:r>
      <w:r w:rsidR="007937C1">
        <w:rPr>
          <w:szCs w:val="22"/>
        </w:rPr>
        <w:t xml:space="preserve">to solicit comments from state insurance regulators and industry regarding possible modifications </w:t>
      </w:r>
      <w:r w:rsidR="00B2144B">
        <w:rPr>
          <w:szCs w:val="22"/>
        </w:rPr>
        <w:t xml:space="preserve">to </w:t>
      </w:r>
      <w:r w:rsidR="007937C1" w:rsidRPr="007937C1">
        <w:rPr>
          <w:i/>
          <w:iCs/>
          <w:szCs w:val="22"/>
        </w:rPr>
        <w:t>SSAP No. 56—Separate Accounts</w:t>
      </w:r>
      <w:r w:rsidR="007937C1">
        <w:rPr>
          <w:szCs w:val="22"/>
        </w:rPr>
        <w:t>. Depending upon the feedback received, the Working Group would have several options available including, but not limited to, requiring the separate identification of pension risk transfer products (including transactions, guarantees, reserve assumptions, etc.) within existing disclosure requirements or the addition of a</w:t>
      </w:r>
      <w:r w:rsidR="00DE7249">
        <w:rPr>
          <w:szCs w:val="22"/>
        </w:rPr>
        <w:t xml:space="preserve"> new</w:t>
      </w:r>
      <w:r w:rsidR="007937C1">
        <w:rPr>
          <w:szCs w:val="22"/>
        </w:rPr>
        <w:t xml:space="preserve"> general interrogatory </w:t>
      </w:r>
      <w:r w:rsidR="0011443A">
        <w:rPr>
          <w:szCs w:val="22"/>
        </w:rPr>
        <w:t xml:space="preserve">(and perhaps new separate accounting reporting schedules / exhibits) </w:t>
      </w:r>
      <w:r w:rsidR="007937C1">
        <w:rPr>
          <w:szCs w:val="22"/>
        </w:rPr>
        <w:t xml:space="preserve">to separate specific product detail </w:t>
      </w:r>
      <w:r w:rsidR="0011443A">
        <w:rPr>
          <w:szCs w:val="22"/>
        </w:rPr>
        <w:t xml:space="preserve">that </w:t>
      </w:r>
      <w:r w:rsidR="007937C1">
        <w:rPr>
          <w:szCs w:val="22"/>
        </w:rPr>
        <w:t>was previously reported in a</w:t>
      </w:r>
      <w:r w:rsidR="009D554B">
        <w:rPr>
          <w:szCs w:val="22"/>
        </w:rPr>
        <w:t>n</w:t>
      </w:r>
      <w:r w:rsidR="007937C1">
        <w:rPr>
          <w:szCs w:val="22"/>
        </w:rPr>
        <w:t xml:space="preserve"> </w:t>
      </w:r>
      <w:r w:rsidR="009D554B">
        <w:rPr>
          <w:szCs w:val="22"/>
        </w:rPr>
        <w:t xml:space="preserve">aggregated </w:t>
      </w:r>
      <w:r w:rsidR="007937C1">
        <w:rPr>
          <w:szCs w:val="22"/>
        </w:rPr>
        <w:t>format. NAIC staff is open for additional commentary and suggestions, and requests to work with industry</w:t>
      </w:r>
      <w:r w:rsidR="009D554B">
        <w:rPr>
          <w:szCs w:val="22"/>
        </w:rPr>
        <w:t xml:space="preserve"> and regulators</w:t>
      </w:r>
      <w:r w:rsidR="007937C1">
        <w:rPr>
          <w:szCs w:val="22"/>
        </w:rPr>
        <w:t xml:space="preserve"> throughout</w:t>
      </w:r>
      <w:r w:rsidR="00DE7249">
        <w:rPr>
          <w:szCs w:val="22"/>
        </w:rPr>
        <w:t xml:space="preserve"> this and any subsequent exposure.</w:t>
      </w:r>
    </w:p>
    <w:bookmarkEnd w:id="7"/>
    <w:p w14:paraId="21B7D043" w14:textId="18DE9241" w:rsidR="007A1CC8" w:rsidRDefault="007A1CC8" w:rsidP="007A1CC8">
      <w:pPr>
        <w:pStyle w:val="BodyText2"/>
        <w:autoSpaceDE w:val="0"/>
        <w:autoSpaceDN w:val="0"/>
        <w:adjustRightInd w:val="0"/>
        <w:rPr>
          <w:szCs w:val="22"/>
        </w:rPr>
      </w:pPr>
    </w:p>
    <w:p w14:paraId="2D9D8103" w14:textId="77777777" w:rsidR="00BC01C0" w:rsidRDefault="00BC01C0" w:rsidP="007A1CC8">
      <w:pPr>
        <w:pStyle w:val="BodyText2"/>
        <w:autoSpaceDE w:val="0"/>
        <w:autoSpaceDN w:val="0"/>
        <w:adjustRightInd w:val="0"/>
        <w:rPr>
          <w:szCs w:val="22"/>
        </w:rPr>
      </w:pPr>
    </w:p>
    <w:p w14:paraId="3C0BC26C" w14:textId="6605CD90" w:rsidR="002A1316" w:rsidRPr="00016321" w:rsidRDefault="002A1316" w:rsidP="00773DFF">
      <w:pPr>
        <w:pStyle w:val="BodyText2"/>
        <w:rPr>
          <w:szCs w:val="22"/>
        </w:rPr>
      </w:pPr>
      <w:r w:rsidRPr="00016321">
        <w:rPr>
          <w:szCs w:val="22"/>
        </w:rPr>
        <w:t>Staff Review Completed by:</w:t>
      </w:r>
    </w:p>
    <w:p w14:paraId="56FEEDFE" w14:textId="726F9DEA" w:rsidR="00F65D0B" w:rsidRDefault="00942B3F" w:rsidP="00773DFF">
      <w:pPr>
        <w:jc w:val="both"/>
        <w:rPr>
          <w:sz w:val="22"/>
        </w:rPr>
      </w:pPr>
      <w:r>
        <w:rPr>
          <w:sz w:val="22"/>
          <w:szCs w:val="22"/>
        </w:rPr>
        <w:t>Jim</w:t>
      </w:r>
      <w:r w:rsidR="00445F88">
        <w:rPr>
          <w:sz w:val="22"/>
          <w:szCs w:val="22"/>
        </w:rPr>
        <w:t xml:space="preserve"> </w:t>
      </w:r>
      <w:r w:rsidR="001275A7">
        <w:rPr>
          <w:sz w:val="22"/>
          <w:szCs w:val="22"/>
        </w:rPr>
        <w:t>Pinegar</w:t>
      </w:r>
      <w:r w:rsidR="005B54C5">
        <w:rPr>
          <w:sz w:val="22"/>
          <w:szCs w:val="22"/>
        </w:rPr>
        <w:t xml:space="preserve"> </w:t>
      </w:r>
      <w:r w:rsidR="00956144">
        <w:rPr>
          <w:sz w:val="22"/>
          <w:szCs w:val="22"/>
        </w:rPr>
        <w:t xml:space="preserve">- </w:t>
      </w:r>
      <w:r w:rsidR="00FE7FAA" w:rsidRPr="00956144">
        <w:rPr>
          <w:bCs/>
          <w:sz w:val="22"/>
          <w:szCs w:val="22"/>
        </w:rPr>
        <w:t xml:space="preserve">NAIC </w:t>
      </w:r>
      <w:r w:rsidR="006B37DD" w:rsidRPr="00956144">
        <w:rPr>
          <w:bCs/>
          <w:sz w:val="22"/>
          <w:szCs w:val="22"/>
        </w:rPr>
        <w:t>S</w:t>
      </w:r>
      <w:r w:rsidR="00FE7FAA" w:rsidRPr="00956144">
        <w:rPr>
          <w:bCs/>
          <w:sz w:val="22"/>
          <w:szCs w:val="22"/>
        </w:rPr>
        <w:t>taff</w:t>
      </w:r>
      <w:r w:rsidR="00066073">
        <w:rPr>
          <w:bCs/>
          <w:sz w:val="22"/>
          <w:szCs w:val="22"/>
        </w:rPr>
        <w:t xml:space="preserve">, </w:t>
      </w:r>
      <w:r w:rsidR="007A1CC8">
        <w:rPr>
          <w:sz w:val="22"/>
        </w:rPr>
        <w:t>October 2020</w:t>
      </w:r>
    </w:p>
    <w:p w14:paraId="3F0A206E" w14:textId="0E6B08D0" w:rsidR="00BC01C0" w:rsidRDefault="00BC01C0" w:rsidP="00773DFF">
      <w:pPr>
        <w:jc w:val="both"/>
        <w:rPr>
          <w:sz w:val="22"/>
        </w:rPr>
      </w:pPr>
    </w:p>
    <w:p w14:paraId="3B3DDA4C" w14:textId="77777777" w:rsidR="00BC01C0" w:rsidRDefault="00BC01C0" w:rsidP="00773DFF">
      <w:pPr>
        <w:jc w:val="both"/>
        <w:rPr>
          <w:sz w:val="22"/>
        </w:rPr>
      </w:pPr>
    </w:p>
    <w:p w14:paraId="274113F1" w14:textId="0FF930DE" w:rsidR="00BC01C0" w:rsidRDefault="00BC01C0" w:rsidP="00773DFF">
      <w:pPr>
        <w:jc w:val="both"/>
        <w:rPr>
          <w:b/>
          <w:bCs/>
          <w:sz w:val="22"/>
        </w:rPr>
      </w:pPr>
      <w:r>
        <w:rPr>
          <w:b/>
          <w:bCs/>
          <w:sz w:val="22"/>
        </w:rPr>
        <w:t>Status:</w:t>
      </w:r>
    </w:p>
    <w:p w14:paraId="1239FA57" w14:textId="7347A68A" w:rsidR="00BC01C0" w:rsidRPr="00BC01C0" w:rsidRDefault="00BC01C0" w:rsidP="00BC01C0">
      <w:pPr>
        <w:pStyle w:val="BodyText2"/>
        <w:autoSpaceDE w:val="0"/>
        <w:autoSpaceDN w:val="0"/>
        <w:adjustRightInd w:val="0"/>
        <w:rPr>
          <w:b w:val="0"/>
          <w:bCs w:val="0"/>
          <w:szCs w:val="22"/>
        </w:rPr>
      </w:pPr>
      <w:r w:rsidRPr="00BC01C0">
        <w:rPr>
          <w:b w:val="0"/>
          <w:bCs w:val="0"/>
        </w:rPr>
        <w:t xml:space="preserve">On </w:t>
      </w:r>
      <w:r w:rsidRPr="00BC01C0">
        <w:rPr>
          <w:b w:val="0"/>
          <w:bCs w:val="0"/>
          <w:szCs w:val="22"/>
        </w:rPr>
        <w:t xml:space="preserve">November 12, 2020, the Statutory Accounting Principles (E) Working Group moved this item to the active listing, categorized as nonsubstantive, and exposed the agenda item to solicit comments from state insurance regulators and industry regarding possible modifications to </w:t>
      </w:r>
      <w:r w:rsidRPr="00BC01C0">
        <w:rPr>
          <w:b w:val="0"/>
          <w:bCs w:val="0"/>
          <w:i/>
          <w:iCs/>
          <w:szCs w:val="22"/>
        </w:rPr>
        <w:t>SSAP No. 56—Separate Accounts</w:t>
      </w:r>
      <w:r w:rsidR="00B321F1">
        <w:rPr>
          <w:b w:val="0"/>
          <w:bCs w:val="0"/>
          <w:i/>
          <w:iCs/>
          <w:szCs w:val="22"/>
        </w:rPr>
        <w:t xml:space="preserve"> </w:t>
      </w:r>
      <w:r w:rsidR="00B321F1">
        <w:rPr>
          <w:b w:val="0"/>
          <w:bCs w:val="0"/>
          <w:szCs w:val="22"/>
        </w:rPr>
        <w:t>specific to pension risk transfer (PRT) products</w:t>
      </w:r>
      <w:r w:rsidRPr="00BC01C0">
        <w:rPr>
          <w:b w:val="0"/>
          <w:bCs w:val="0"/>
          <w:szCs w:val="22"/>
        </w:rPr>
        <w:t xml:space="preserve">. Depending upon the feedback received, the Working Group would have several options available including, but not limited to, requiring the separate identification of pension risk transfer products (including transactions, guarantees, reserve assumptions, etc.) within existing disclosure requirements or the </w:t>
      </w:r>
      <w:r w:rsidRPr="00BC01C0">
        <w:rPr>
          <w:b w:val="0"/>
          <w:bCs w:val="0"/>
          <w:szCs w:val="22"/>
        </w:rPr>
        <w:lastRenderedPageBreak/>
        <w:t xml:space="preserve">addition of a new general interrogatory (and perhaps new separate accounting reporting schedules / exhibits) to separate specific product detail that was previously reported in an aggregated format. </w:t>
      </w:r>
    </w:p>
    <w:p w14:paraId="65D46DE4" w14:textId="55459E5E" w:rsidR="00BC01C0" w:rsidRPr="00BC01C0" w:rsidRDefault="00BC01C0" w:rsidP="00773DFF">
      <w:pPr>
        <w:jc w:val="both"/>
        <w:rPr>
          <w:sz w:val="22"/>
        </w:rPr>
      </w:pPr>
    </w:p>
    <w:p w14:paraId="4A761454" w14:textId="77777777" w:rsidR="00872E7F" w:rsidRDefault="00872E7F" w:rsidP="00773DFF">
      <w:pPr>
        <w:jc w:val="both"/>
        <w:rPr>
          <w:sz w:val="16"/>
          <w:szCs w:val="16"/>
        </w:rPr>
      </w:pPr>
    </w:p>
    <w:p w14:paraId="0FE979AF" w14:textId="169A7FEC" w:rsidR="00AA1DC0" w:rsidRPr="00DF407B" w:rsidRDefault="002A1316" w:rsidP="00773DFF">
      <w:pPr>
        <w:jc w:val="both"/>
        <w:rPr>
          <w:sz w:val="22"/>
          <w:szCs w:val="22"/>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BC5690">
        <w:rPr>
          <w:noProof/>
          <w:sz w:val="16"/>
          <w:szCs w:val="16"/>
        </w:rPr>
        <w:t>G:\FRS\DATA\Stat Acctg\3. National Meetings\A. National Meeting Materials\2020\11-12-20 (Fall)\Exposures\20-38 - Pension Risk Transfer Disclosure.docx</w:t>
      </w:r>
      <w:r w:rsidRPr="000579B6">
        <w:rPr>
          <w:sz w:val="16"/>
          <w:szCs w:val="16"/>
        </w:rPr>
        <w:fldChar w:fldCharType="end"/>
      </w:r>
    </w:p>
    <w:sectPr w:rsidR="00AA1DC0" w:rsidRPr="00DF407B" w:rsidSect="00DF407B">
      <w:headerReference w:type="default" r:id="rId8"/>
      <w:footerReference w:type="default" r:id="rId9"/>
      <w:headerReference w:type="first" r:id="rId10"/>
      <w:footerReference w:type="firs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CDA2E" w14:textId="77777777" w:rsidR="00E11C19" w:rsidRDefault="00E11C19">
      <w:r>
        <w:separator/>
      </w:r>
    </w:p>
  </w:endnote>
  <w:endnote w:type="continuationSeparator" w:id="0">
    <w:p w14:paraId="0844BB45" w14:textId="77777777" w:rsidR="00E11C19" w:rsidRDefault="00E1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938B" w14:textId="2B22178B" w:rsidR="0075319C" w:rsidRDefault="0075319C" w:rsidP="00DF407B">
    <w:pPr>
      <w:pStyle w:val="Footer"/>
      <w:tabs>
        <w:tab w:val="clear" w:pos="4320"/>
        <w:tab w:val="center" w:pos="5040"/>
      </w:tabs>
      <w:rPr>
        <w:sz w:val="20"/>
      </w:rPr>
    </w:pPr>
    <w:r>
      <w:rPr>
        <w:sz w:val="20"/>
      </w:rPr>
      <w:t>© 2020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0D23" w14:textId="15EC467B" w:rsidR="0075319C" w:rsidRDefault="0075319C" w:rsidP="006B37DD">
    <w:pPr>
      <w:pStyle w:val="Footer"/>
      <w:tabs>
        <w:tab w:val="clear" w:pos="4320"/>
        <w:tab w:val="center" w:pos="5040"/>
      </w:tabs>
      <w:rPr>
        <w:sz w:val="20"/>
      </w:rPr>
    </w:pPr>
    <w:r>
      <w:rPr>
        <w:sz w:val="20"/>
      </w:rPr>
      <w:t>© 2019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323C" w14:textId="77777777" w:rsidR="00E11C19" w:rsidRDefault="00E11C19">
      <w:r>
        <w:separator/>
      </w:r>
    </w:p>
  </w:footnote>
  <w:footnote w:type="continuationSeparator" w:id="0">
    <w:p w14:paraId="5914B2B4" w14:textId="77777777" w:rsidR="00E11C19" w:rsidRDefault="00E1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ED1A" w14:textId="3BA38862" w:rsidR="0075319C" w:rsidRPr="00F04F9A" w:rsidRDefault="0075319C">
    <w:pPr>
      <w:pStyle w:val="Header"/>
      <w:jc w:val="right"/>
      <w:rPr>
        <w:bCs/>
        <w:sz w:val="20"/>
      </w:rPr>
    </w:pPr>
    <w:r w:rsidRPr="00F04F9A">
      <w:rPr>
        <w:bCs/>
        <w:sz w:val="20"/>
      </w:rPr>
      <w:t>Ref #20</w:t>
    </w:r>
    <w:r>
      <w:rPr>
        <w:bCs/>
        <w:sz w:val="20"/>
      </w:rPr>
      <w:t>20</w:t>
    </w:r>
    <w:r w:rsidRPr="00F04F9A">
      <w:rPr>
        <w:bCs/>
        <w:sz w:val="20"/>
      </w:rPr>
      <w:t>-</w:t>
    </w:r>
    <w:r w:rsidR="00AA7332">
      <w:rPr>
        <w:bCs/>
        <w:sz w:val="20"/>
      </w:rPr>
      <w:t>38</w:t>
    </w:r>
  </w:p>
  <w:p w14:paraId="12DAC63B" w14:textId="77777777" w:rsidR="0075319C" w:rsidRDefault="0075319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815E" w14:textId="77777777" w:rsidR="0075319C" w:rsidRPr="00F04F9A" w:rsidRDefault="0075319C" w:rsidP="00AE74CF">
    <w:pPr>
      <w:pStyle w:val="Header"/>
      <w:jc w:val="right"/>
      <w:rPr>
        <w:b/>
        <w:sz w:val="20"/>
      </w:rPr>
    </w:pPr>
    <w:r w:rsidRPr="00F04F9A">
      <w:rPr>
        <w:b/>
        <w:sz w:val="20"/>
      </w:rPr>
      <w:t>Attachment __</w:t>
    </w:r>
  </w:p>
  <w:p w14:paraId="6B24D022" w14:textId="403538C5" w:rsidR="0075319C" w:rsidRPr="00F04F9A" w:rsidRDefault="0075319C" w:rsidP="00AE74CF">
    <w:pPr>
      <w:pStyle w:val="Header"/>
      <w:jc w:val="right"/>
      <w:rPr>
        <w:bCs/>
        <w:sz w:val="20"/>
      </w:rPr>
    </w:pPr>
    <w:r w:rsidRPr="00F04F9A">
      <w:rPr>
        <w:bCs/>
        <w:sz w:val="20"/>
      </w:rPr>
      <w:t>Ref #201</w:t>
    </w:r>
    <w:r>
      <w:rPr>
        <w:bCs/>
        <w:sz w:val="20"/>
      </w:rPr>
      <w:t>9</w:t>
    </w:r>
    <w:r w:rsidRPr="00F04F9A">
      <w:rPr>
        <w:bCs/>
        <w:sz w:val="20"/>
      </w:rPr>
      <w:t>-</w:t>
    </w:r>
  </w:p>
  <w:p w14:paraId="7E519226" w14:textId="77777777" w:rsidR="0075319C" w:rsidRDefault="0075319C"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1A2561B"/>
    <w:multiLevelType w:val="multilevel"/>
    <w:tmpl w:val="FEA21076"/>
    <w:lvl w:ilvl="0">
      <w:start w:val="8"/>
      <w:numFmt w:val="decimal"/>
      <w:lvlText w:val="%1"/>
      <w:lvlJc w:val="left"/>
      <w:pPr>
        <w:ind w:left="360" w:hanging="360"/>
      </w:pPr>
      <w:rPr>
        <w:rFonts w:hint="default"/>
      </w:rPr>
    </w:lvl>
    <w:lvl w:ilvl="1">
      <w:start w:val="3"/>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4" w15:restartNumberingAfterBreak="0">
    <w:nsid w:val="04F55631"/>
    <w:multiLevelType w:val="hybridMultilevel"/>
    <w:tmpl w:val="C14CFA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323D6"/>
    <w:multiLevelType w:val="hybridMultilevel"/>
    <w:tmpl w:val="EBF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64886"/>
    <w:multiLevelType w:val="hybridMultilevel"/>
    <w:tmpl w:val="25163880"/>
    <w:lvl w:ilvl="0" w:tplc="E72629F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937D78"/>
    <w:multiLevelType w:val="hybridMultilevel"/>
    <w:tmpl w:val="707E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F4F93"/>
    <w:multiLevelType w:val="hybridMultilevel"/>
    <w:tmpl w:val="13F87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D1F7E"/>
    <w:multiLevelType w:val="hybridMultilevel"/>
    <w:tmpl w:val="DB8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C114B"/>
    <w:multiLevelType w:val="multilevel"/>
    <w:tmpl w:val="5F188A18"/>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540"/>
        </w:tabs>
        <w:ind w:left="540" w:hanging="450"/>
      </w:pPr>
      <w:rPr>
        <w:rFonts w:hint="default"/>
      </w:rPr>
    </w:lvl>
    <w:lvl w:ilvl="2">
      <w:start w:val="1"/>
      <w:numFmt w:val="decimal"/>
      <w:lvlText w:val="%1.%2.%3"/>
      <w:lvlJc w:val="left"/>
      <w:pPr>
        <w:tabs>
          <w:tab w:val="num" w:pos="630"/>
        </w:tabs>
        <w:ind w:left="630" w:hanging="45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170"/>
        </w:tabs>
        <w:ind w:left="1170" w:hanging="720"/>
      </w:pPr>
      <w:rPr>
        <w:rFonts w:hint="default"/>
      </w:rPr>
    </w:lvl>
    <w:lvl w:ilvl="6">
      <w:start w:val="1"/>
      <w:numFmt w:val="decimal"/>
      <w:lvlText w:val="%1.%2.%3.%4.%5.%6.%7"/>
      <w:lvlJc w:val="left"/>
      <w:pPr>
        <w:tabs>
          <w:tab w:val="num" w:pos="1260"/>
        </w:tabs>
        <w:ind w:left="1260" w:hanging="72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1800"/>
        </w:tabs>
        <w:ind w:left="1800" w:hanging="1080"/>
      </w:pPr>
      <w:rPr>
        <w:rFonts w:hint="default"/>
      </w:rPr>
    </w:lvl>
  </w:abstractNum>
  <w:abstractNum w:abstractNumId="11" w15:restartNumberingAfterBreak="0">
    <w:nsid w:val="19F86C47"/>
    <w:multiLevelType w:val="singleLevel"/>
    <w:tmpl w:val="D8827A28"/>
    <w:lvl w:ilvl="0">
      <w:start w:val="1"/>
      <w:numFmt w:val="lowerLetter"/>
      <w:lvlText w:val="%1."/>
      <w:lvlJc w:val="left"/>
      <w:pPr>
        <w:tabs>
          <w:tab w:val="num" w:pos="0"/>
        </w:tabs>
        <w:ind w:left="1440" w:hanging="720"/>
      </w:pPr>
    </w:lvl>
  </w:abstractNum>
  <w:abstractNum w:abstractNumId="12" w15:restartNumberingAfterBreak="0">
    <w:nsid w:val="1F3C7B03"/>
    <w:multiLevelType w:val="hybridMultilevel"/>
    <w:tmpl w:val="F8E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D2553"/>
    <w:multiLevelType w:val="hybridMultilevel"/>
    <w:tmpl w:val="291EB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B480B"/>
    <w:multiLevelType w:val="hybridMultilevel"/>
    <w:tmpl w:val="0BDA12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E835DB"/>
    <w:multiLevelType w:val="hybridMultilevel"/>
    <w:tmpl w:val="A3348848"/>
    <w:lvl w:ilvl="0" w:tplc="D5CC98D4">
      <w:start w:val="3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043F8E"/>
    <w:multiLevelType w:val="hybridMultilevel"/>
    <w:tmpl w:val="E1760A78"/>
    <w:lvl w:ilvl="0" w:tplc="0409000F">
      <w:start w:val="1"/>
      <w:numFmt w:val="decimal"/>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30271644"/>
    <w:multiLevelType w:val="hybridMultilevel"/>
    <w:tmpl w:val="E1760A78"/>
    <w:lvl w:ilvl="0" w:tplc="0409000F">
      <w:start w:val="1"/>
      <w:numFmt w:val="decimal"/>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32B0370D"/>
    <w:multiLevelType w:val="hybridMultilevel"/>
    <w:tmpl w:val="3F98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A7329"/>
    <w:multiLevelType w:val="hybridMultilevel"/>
    <w:tmpl w:val="677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55007"/>
    <w:multiLevelType w:val="hybridMultilevel"/>
    <w:tmpl w:val="D356259E"/>
    <w:lvl w:ilvl="0" w:tplc="23DC0EB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F0F19"/>
    <w:multiLevelType w:val="hybridMultilevel"/>
    <w:tmpl w:val="CFD82AF8"/>
    <w:lvl w:ilvl="0" w:tplc="1642636A">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66456"/>
    <w:multiLevelType w:val="multilevel"/>
    <w:tmpl w:val="0228F63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65"/>
        </w:tabs>
        <w:ind w:left="465" w:hanging="360"/>
      </w:pPr>
      <w:rPr>
        <w:rFonts w:hint="default"/>
      </w:rPr>
    </w:lvl>
    <w:lvl w:ilvl="2">
      <w:start w:val="1"/>
      <w:numFmt w:val="decimal"/>
      <w:lvlText w:val="%1.%2.%3"/>
      <w:lvlJc w:val="left"/>
      <w:pPr>
        <w:tabs>
          <w:tab w:val="num" w:pos="570"/>
        </w:tabs>
        <w:ind w:left="570" w:hanging="360"/>
      </w:pPr>
      <w:rPr>
        <w:rFonts w:hint="default"/>
      </w:rPr>
    </w:lvl>
    <w:lvl w:ilvl="3">
      <w:start w:val="1"/>
      <w:numFmt w:val="decimal"/>
      <w:lvlText w:val="%1.%2.%3.%4"/>
      <w:lvlJc w:val="left"/>
      <w:pPr>
        <w:tabs>
          <w:tab w:val="num" w:pos="1035"/>
        </w:tabs>
        <w:ind w:left="1035" w:hanging="720"/>
      </w:pPr>
      <w:rPr>
        <w:rFonts w:hint="default"/>
      </w:rPr>
    </w:lvl>
    <w:lvl w:ilvl="4">
      <w:start w:val="1"/>
      <w:numFmt w:val="decimal"/>
      <w:lvlText w:val="%1.%2.%3.%4.%5"/>
      <w:lvlJc w:val="left"/>
      <w:pPr>
        <w:tabs>
          <w:tab w:val="num" w:pos="1140"/>
        </w:tabs>
        <w:ind w:left="1140" w:hanging="720"/>
      </w:pPr>
      <w:rPr>
        <w:rFonts w:hint="default"/>
      </w:rPr>
    </w:lvl>
    <w:lvl w:ilvl="5">
      <w:start w:val="1"/>
      <w:numFmt w:val="decimal"/>
      <w:lvlText w:val="%1.%2.%3.%4.%5.%6"/>
      <w:lvlJc w:val="left"/>
      <w:pPr>
        <w:tabs>
          <w:tab w:val="num" w:pos="1245"/>
        </w:tabs>
        <w:ind w:left="1245" w:hanging="720"/>
      </w:pPr>
      <w:rPr>
        <w:rFonts w:hint="default"/>
      </w:rPr>
    </w:lvl>
    <w:lvl w:ilvl="6">
      <w:start w:val="1"/>
      <w:numFmt w:val="decimal"/>
      <w:lvlText w:val="%1.%2.%3.%4.%5.%6.%7"/>
      <w:lvlJc w:val="left"/>
      <w:pPr>
        <w:tabs>
          <w:tab w:val="num" w:pos="1350"/>
        </w:tabs>
        <w:ind w:left="1350" w:hanging="720"/>
      </w:pPr>
      <w:rPr>
        <w:rFonts w:hint="default"/>
      </w:rPr>
    </w:lvl>
    <w:lvl w:ilvl="7">
      <w:start w:val="1"/>
      <w:numFmt w:val="decimal"/>
      <w:lvlText w:val="%1.%2.%3.%4.%5.%6.%7.%8"/>
      <w:lvlJc w:val="left"/>
      <w:pPr>
        <w:tabs>
          <w:tab w:val="num" w:pos="1815"/>
        </w:tabs>
        <w:ind w:left="1815" w:hanging="1080"/>
      </w:pPr>
      <w:rPr>
        <w:rFonts w:hint="default"/>
      </w:rPr>
    </w:lvl>
    <w:lvl w:ilvl="8">
      <w:start w:val="1"/>
      <w:numFmt w:val="decimal"/>
      <w:lvlText w:val="%1.%2.%3.%4.%5.%6.%7.%8.%9"/>
      <w:lvlJc w:val="left"/>
      <w:pPr>
        <w:tabs>
          <w:tab w:val="num" w:pos="1920"/>
        </w:tabs>
        <w:ind w:left="1920" w:hanging="1080"/>
      </w:pPr>
      <w:rPr>
        <w:rFonts w:hint="default"/>
      </w:rPr>
    </w:lvl>
  </w:abstractNum>
  <w:abstractNum w:abstractNumId="23" w15:restartNumberingAfterBreak="0">
    <w:nsid w:val="41871484"/>
    <w:multiLevelType w:val="hybridMultilevel"/>
    <w:tmpl w:val="868A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94B8C"/>
    <w:multiLevelType w:val="multilevel"/>
    <w:tmpl w:val="D98EA4F4"/>
    <w:lvl w:ilvl="0">
      <w:start w:val="8"/>
      <w:numFmt w:val="decimal"/>
      <w:lvlText w:val="%1"/>
      <w:lvlJc w:val="left"/>
      <w:pPr>
        <w:ind w:left="360" w:hanging="360"/>
      </w:pPr>
      <w:rPr>
        <w:rFonts w:hint="default"/>
      </w:rPr>
    </w:lvl>
    <w:lvl w:ilvl="1">
      <w:start w:val="3"/>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5" w15:restartNumberingAfterBreak="0">
    <w:nsid w:val="4B467CE9"/>
    <w:multiLevelType w:val="hybridMultilevel"/>
    <w:tmpl w:val="1D268E4C"/>
    <w:lvl w:ilvl="0" w:tplc="FCC6BCEC">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E4E48BE"/>
    <w:multiLevelType w:val="singleLevel"/>
    <w:tmpl w:val="C8842C9C"/>
    <w:lvl w:ilvl="0">
      <w:start w:val="1"/>
      <w:numFmt w:val="lowerLetter"/>
      <w:lvlText w:val="%1."/>
      <w:legacy w:legacy="1" w:legacySpace="0" w:legacyIndent="720"/>
      <w:lvlJc w:val="left"/>
      <w:pPr>
        <w:ind w:left="1440" w:hanging="720"/>
      </w:pPr>
    </w:lvl>
  </w:abstractNum>
  <w:abstractNum w:abstractNumId="27" w15:restartNumberingAfterBreak="0">
    <w:nsid w:val="4F3A36C4"/>
    <w:multiLevelType w:val="hybridMultilevel"/>
    <w:tmpl w:val="6ADCFC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5515118"/>
    <w:multiLevelType w:val="hybridMultilevel"/>
    <w:tmpl w:val="A24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A1B35"/>
    <w:multiLevelType w:val="hybridMultilevel"/>
    <w:tmpl w:val="D6E2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A7E51"/>
    <w:multiLevelType w:val="multilevel"/>
    <w:tmpl w:val="6A6C0CE6"/>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540" w:hanging="36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170" w:hanging="720"/>
      </w:pPr>
      <w:rPr>
        <w:rFonts w:hint="default"/>
      </w:rPr>
    </w:lvl>
    <w:lvl w:ilvl="6">
      <w:start w:val="1"/>
      <w:numFmt w:val="decimal"/>
      <w:lvlText w:val="%1.%2.%3.%4.%5.%6.%7"/>
      <w:lvlJc w:val="left"/>
      <w:pPr>
        <w:ind w:left="1260" w:hanging="720"/>
      </w:pPr>
      <w:rPr>
        <w:rFonts w:hint="default"/>
      </w:rPr>
    </w:lvl>
    <w:lvl w:ilvl="7">
      <w:start w:val="1"/>
      <w:numFmt w:val="decimal"/>
      <w:lvlText w:val="%1.%2.%3.%4.%5.%6.%7.%8"/>
      <w:lvlJc w:val="left"/>
      <w:pPr>
        <w:ind w:left="1710" w:hanging="1080"/>
      </w:pPr>
      <w:rPr>
        <w:rFonts w:hint="default"/>
      </w:rPr>
    </w:lvl>
    <w:lvl w:ilvl="8">
      <w:start w:val="1"/>
      <w:numFmt w:val="decimal"/>
      <w:lvlText w:val="%1.%2.%3.%4.%5.%6.%7.%8.%9"/>
      <w:lvlJc w:val="left"/>
      <w:pPr>
        <w:ind w:left="1800" w:hanging="1080"/>
      </w:pPr>
      <w:rPr>
        <w:rFonts w:hint="default"/>
      </w:rPr>
    </w:lvl>
  </w:abstractNum>
  <w:abstractNum w:abstractNumId="31" w15:restartNumberingAfterBreak="0">
    <w:nsid w:val="5A000970"/>
    <w:multiLevelType w:val="hybridMultilevel"/>
    <w:tmpl w:val="772677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C3230A"/>
    <w:multiLevelType w:val="multilevel"/>
    <w:tmpl w:val="C958D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956CE8"/>
    <w:multiLevelType w:val="hybridMultilevel"/>
    <w:tmpl w:val="F0CA3546"/>
    <w:lvl w:ilvl="0" w:tplc="8F6ED140">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CC313D"/>
    <w:multiLevelType w:val="hybridMultilevel"/>
    <w:tmpl w:val="66C03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547777"/>
    <w:multiLevelType w:val="hybridMultilevel"/>
    <w:tmpl w:val="DC4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6E1B"/>
    <w:multiLevelType w:val="hybridMultilevel"/>
    <w:tmpl w:val="F1FE52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244EB"/>
    <w:multiLevelType w:val="hybridMultilevel"/>
    <w:tmpl w:val="52BC595A"/>
    <w:lvl w:ilvl="0" w:tplc="B32ABEE4">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85C99"/>
    <w:multiLevelType w:val="hybridMultilevel"/>
    <w:tmpl w:val="552A97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07045"/>
    <w:multiLevelType w:val="hybridMultilevel"/>
    <w:tmpl w:val="8A12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DA6D39"/>
    <w:multiLevelType w:val="hybridMultilevel"/>
    <w:tmpl w:val="C17A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abstractNumId w:val="1"/>
  </w:num>
  <w:num w:numId="5">
    <w:abstractNumId w:val="19"/>
  </w:num>
  <w:num w:numId="6">
    <w:abstractNumId w:val="13"/>
  </w:num>
  <w:num w:numId="7">
    <w:abstractNumId w:val="8"/>
  </w:num>
  <w:num w:numId="8">
    <w:abstractNumId w:val="33"/>
  </w:num>
  <w:num w:numId="9">
    <w:abstractNumId w:val="20"/>
  </w:num>
  <w:num w:numId="10">
    <w:abstractNumId w:val="14"/>
  </w:num>
  <w:num w:numId="11">
    <w:abstractNumId w:val="38"/>
  </w:num>
  <w:num w:numId="12">
    <w:abstractNumId w:val="21"/>
  </w:num>
  <w:num w:numId="13">
    <w:abstractNumId w:val="23"/>
  </w:num>
  <w:num w:numId="14">
    <w:abstractNumId w:val="41"/>
  </w:num>
  <w:num w:numId="15">
    <w:abstractNumId w:val="7"/>
  </w:num>
  <w:num w:numId="16">
    <w:abstractNumId w:val="28"/>
  </w:num>
  <w:num w:numId="17">
    <w:abstractNumId w:val="5"/>
  </w:num>
  <w:num w:numId="18">
    <w:abstractNumId w:val="27"/>
  </w:num>
  <w:num w:numId="19">
    <w:abstractNumId w:val="32"/>
  </w:num>
  <w:num w:numId="20">
    <w:abstractNumId w:val="9"/>
  </w:num>
  <w:num w:numId="21">
    <w:abstractNumId w:val="37"/>
  </w:num>
  <w:num w:numId="22">
    <w:abstractNumId w:val="31"/>
  </w:num>
  <w:num w:numId="23">
    <w:abstractNumId w:val="4"/>
  </w:num>
  <w:num w:numId="24">
    <w:abstractNumId w:val="40"/>
  </w:num>
  <w:num w:numId="25">
    <w:abstractNumId w:val="16"/>
  </w:num>
  <w:num w:numId="26">
    <w:abstractNumId w:val="39"/>
  </w:num>
  <w:num w:numId="27">
    <w:abstractNumId w:val="17"/>
  </w:num>
  <w:num w:numId="28">
    <w:abstractNumId w:val="12"/>
  </w:num>
  <w:num w:numId="29">
    <w:abstractNumId w:val="36"/>
  </w:num>
  <w:num w:numId="30">
    <w:abstractNumId w:val="35"/>
  </w:num>
  <w:num w:numId="31">
    <w:abstractNumId w:val="18"/>
  </w:num>
  <w:num w:numId="32">
    <w:abstractNumId w:val="11"/>
  </w:num>
  <w:num w:numId="33">
    <w:abstractNumId w:val="15"/>
  </w:num>
  <w:num w:numId="34">
    <w:abstractNumId w:val="11"/>
    <w:lvlOverride w:ilvl="0">
      <w:startOverride w:val="1"/>
    </w:lvlOverride>
  </w:num>
  <w:num w:numId="35">
    <w:abstractNumId w:val="29"/>
  </w:num>
  <w:num w:numId="36">
    <w:abstractNumId w:val="10"/>
  </w:num>
  <w:num w:numId="37">
    <w:abstractNumId w:val="30"/>
  </w:num>
  <w:num w:numId="38">
    <w:abstractNumId w:val="22"/>
  </w:num>
  <w:num w:numId="39">
    <w:abstractNumId w:val="24"/>
  </w:num>
  <w:num w:numId="40">
    <w:abstractNumId w:val="3"/>
  </w:num>
  <w:num w:numId="41">
    <w:abstractNumId w:val="26"/>
  </w:num>
  <w:num w:numId="42">
    <w:abstractNumId w:val="11"/>
    <w:lvlOverride w:ilvl="0">
      <w:startOverride w:val="1"/>
    </w:lvlOverride>
  </w:num>
  <w:num w:numId="43">
    <w:abstractNumId w:val="6"/>
  </w:num>
  <w:num w:numId="4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2819"/>
    <w:rsid w:val="00003042"/>
    <w:rsid w:val="00004652"/>
    <w:rsid w:val="00006F5A"/>
    <w:rsid w:val="00007A85"/>
    <w:rsid w:val="00007F19"/>
    <w:rsid w:val="000133D4"/>
    <w:rsid w:val="00014346"/>
    <w:rsid w:val="000156CE"/>
    <w:rsid w:val="00016321"/>
    <w:rsid w:val="000223BF"/>
    <w:rsid w:val="00023A66"/>
    <w:rsid w:val="00025FA5"/>
    <w:rsid w:val="0002612F"/>
    <w:rsid w:val="00027F3C"/>
    <w:rsid w:val="00031E14"/>
    <w:rsid w:val="00034B2F"/>
    <w:rsid w:val="00034B77"/>
    <w:rsid w:val="00043046"/>
    <w:rsid w:val="000513F8"/>
    <w:rsid w:val="000558CB"/>
    <w:rsid w:val="00056827"/>
    <w:rsid w:val="000579B6"/>
    <w:rsid w:val="00061B00"/>
    <w:rsid w:val="0006223F"/>
    <w:rsid w:val="000622EB"/>
    <w:rsid w:val="00062300"/>
    <w:rsid w:val="00066073"/>
    <w:rsid w:val="00076D91"/>
    <w:rsid w:val="00077FE2"/>
    <w:rsid w:val="0008682C"/>
    <w:rsid w:val="00091380"/>
    <w:rsid w:val="0009149C"/>
    <w:rsid w:val="000916B4"/>
    <w:rsid w:val="00095623"/>
    <w:rsid w:val="000957F2"/>
    <w:rsid w:val="000967FA"/>
    <w:rsid w:val="000A6B33"/>
    <w:rsid w:val="000A7B78"/>
    <w:rsid w:val="000B1EC6"/>
    <w:rsid w:val="000B433A"/>
    <w:rsid w:val="000B7313"/>
    <w:rsid w:val="000C1720"/>
    <w:rsid w:val="000C7887"/>
    <w:rsid w:val="000D2B0F"/>
    <w:rsid w:val="000D6293"/>
    <w:rsid w:val="000D6AE8"/>
    <w:rsid w:val="000E0596"/>
    <w:rsid w:val="000E1131"/>
    <w:rsid w:val="000E16CA"/>
    <w:rsid w:val="000E2191"/>
    <w:rsid w:val="000E2259"/>
    <w:rsid w:val="000F08C6"/>
    <w:rsid w:val="000F1DC9"/>
    <w:rsid w:val="000F2F98"/>
    <w:rsid w:val="000F32A8"/>
    <w:rsid w:val="000F4025"/>
    <w:rsid w:val="000F727B"/>
    <w:rsid w:val="00104B00"/>
    <w:rsid w:val="001062A4"/>
    <w:rsid w:val="00111377"/>
    <w:rsid w:val="00114415"/>
    <w:rsid w:val="0011443A"/>
    <w:rsid w:val="00114ABD"/>
    <w:rsid w:val="001168C6"/>
    <w:rsid w:val="0012320C"/>
    <w:rsid w:val="00125C33"/>
    <w:rsid w:val="00125E53"/>
    <w:rsid w:val="001275A7"/>
    <w:rsid w:val="00130775"/>
    <w:rsid w:val="00133830"/>
    <w:rsid w:val="0013539B"/>
    <w:rsid w:val="00136122"/>
    <w:rsid w:val="001404A5"/>
    <w:rsid w:val="0014357B"/>
    <w:rsid w:val="00155F0F"/>
    <w:rsid w:val="0016097E"/>
    <w:rsid w:val="001709F9"/>
    <w:rsid w:val="00181AC4"/>
    <w:rsid w:val="00184144"/>
    <w:rsid w:val="00185813"/>
    <w:rsid w:val="00185F98"/>
    <w:rsid w:val="00190E3A"/>
    <w:rsid w:val="001926A8"/>
    <w:rsid w:val="001937E1"/>
    <w:rsid w:val="00194B43"/>
    <w:rsid w:val="0019505A"/>
    <w:rsid w:val="00196462"/>
    <w:rsid w:val="001A108A"/>
    <w:rsid w:val="001A1A65"/>
    <w:rsid w:val="001A2F54"/>
    <w:rsid w:val="001A4EEE"/>
    <w:rsid w:val="001A591B"/>
    <w:rsid w:val="001A77D2"/>
    <w:rsid w:val="001B1F09"/>
    <w:rsid w:val="001B3138"/>
    <w:rsid w:val="001B7C92"/>
    <w:rsid w:val="001B7D39"/>
    <w:rsid w:val="001C06AD"/>
    <w:rsid w:val="001C07B6"/>
    <w:rsid w:val="001C18B2"/>
    <w:rsid w:val="001D2B0C"/>
    <w:rsid w:val="001D37EA"/>
    <w:rsid w:val="001E1249"/>
    <w:rsid w:val="001E2691"/>
    <w:rsid w:val="001E55AE"/>
    <w:rsid w:val="001E7FF1"/>
    <w:rsid w:val="001F0B7B"/>
    <w:rsid w:val="001F10F1"/>
    <w:rsid w:val="001F3CF4"/>
    <w:rsid w:val="001F46EB"/>
    <w:rsid w:val="001F60C8"/>
    <w:rsid w:val="001F675E"/>
    <w:rsid w:val="002027A3"/>
    <w:rsid w:val="0020396F"/>
    <w:rsid w:val="00203FF7"/>
    <w:rsid w:val="002046F5"/>
    <w:rsid w:val="00206181"/>
    <w:rsid w:val="00207731"/>
    <w:rsid w:val="0021189F"/>
    <w:rsid w:val="00211E60"/>
    <w:rsid w:val="002153EC"/>
    <w:rsid w:val="00217078"/>
    <w:rsid w:val="0022038C"/>
    <w:rsid w:val="00223B1B"/>
    <w:rsid w:val="00225663"/>
    <w:rsid w:val="00226D83"/>
    <w:rsid w:val="0022700A"/>
    <w:rsid w:val="00227687"/>
    <w:rsid w:val="00227C5B"/>
    <w:rsid w:val="00230E4B"/>
    <w:rsid w:val="00232018"/>
    <w:rsid w:val="00246359"/>
    <w:rsid w:val="002471B5"/>
    <w:rsid w:val="00247550"/>
    <w:rsid w:val="002501C8"/>
    <w:rsid w:val="0025341F"/>
    <w:rsid w:val="00253A36"/>
    <w:rsid w:val="00261273"/>
    <w:rsid w:val="00262175"/>
    <w:rsid w:val="00262F1B"/>
    <w:rsid w:val="002630E9"/>
    <w:rsid w:val="002652A2"/>
    <w:rsid w:val="002751EC"/>
    <w:rsid w:val="002778AB"/>
    <w:rsid w:val="00277D57"/>
    <w:rsid w:val="002831FB"/>
    <w:rsid w:val="00285C74"/>
    <w:rsid w:val="00286D67"/>
    <w:rsid w:val="00287CE2"/>
    <w:rsid w:val="00287E2F"/>
    <w:rsid w:val="00292DAF"/>
    <w:rsid w:val="00294D36"/>
    <w:rsid w:val="00295E92"/>
    <w:rsid w:val="002A1316"/>
    <w:rsid w:val="002A44FE"/>
    <w:rsid w:val="002B0B09"/>
    <w:rsid w:val="002B0FA4"/>
    <w:rsid w:val="002B5774"/>
    <w:rsid w:val="002B6ABA"/>
    <w:rsid w:val="002B7A39"/>
    <w:rsid w:val="002B7C6D"/>
    <w:rsid w:val="002B7ED8"/>
    <w:rsid w:val="002C0A8A"/>
    <w:rsid w:val="002C3FB7"/>
    <w:rsid w:val="002C4A62"/>
    <w:rsid w:val="002C677E"/>
    <w:rsid w:val="002C6C77"/>
    <w:rsid w:val="002D0B40"/>
    <w:rsid w:val="002D1716"/>
    <w:rsid w:val="002D3C80"/>
    <w:rsid w:val="002D70E6"/>
    <w:rsid w:val="002E2008"/>
    <w:rsid w:val="002E7F85"/>
    <w:rsid w:val="002F10DA"/>
    <w:rsid w:val="002F1277"/>
    <w:rsid w:val="002F6FF9"/>
    <w:rsid w:val="00304977"/>
    <w:rsid w:val="00304CEC"/>
    <w:rsid w:val="00310E9D"/>
    <w:rsid w:val="003148E8"/>
    <w:rsid w:val="00315BE0"/>
    <w:rsid w:val="0032313E"/>
    <w:rsid w:val="00323CC8"/>
    <w:rsid w:val="00325660"/>
    <w:rsid w:val="003325E9"/>
    <w:rsid w:val="00333FC0"/>
    <w:rsid w:val="0033643F"/>
    <w:rsid w:val="003415C3"/>
    <w:rsid w:val="00344529"/>
    <w:rsid w:val="0034544B"/>
    <w:rsid w:val="003459B3"/>
    <w:rsid w:val="0035188D"/>
    <w:rsid w:val="0035609F"/>
    <w:rsid w:val="00356461"/>
    <w:rsid w:val="00357190"/>
    <w:rsid w:val="0035794F"/>
    <w:rsid w:val="00360AB3"/>
    <w:rsid w:val="003610DC"/>
    <w:rsid w:val="003622AF"/>
    <w:rsid w:val="003633D4"/>
    <w:rsid w:val="00363FF4"/>
    <w:rsid w:val="00364B57"/>
    <w:rsid w:val="0037361C"/>
    <w:rsid w:val="00376E64"/>
    <w:rsid w:val="003772CB"/>
    <w:rsid w:val="003827A2"/>
    <w:rsid w:val="00382B4B"/>
    <w:rsid w:val="003836E7"/>
    <w:rsid w:val="00383B78"/>
    <w:rsid w:val="0038435C"/>
    <w:rsid w:val="0039379B"/>
    <w:rsid w:val="00393A16"/>
    <w:rsid w:val="0039600A"/>
    <w:rsid w:val="003970FB"/>
    <w:rsid w:val="003A000B"/>
    <w:rsid w:val="003A3F9A"/>
    <w:rsid w:val="003A44C1"/>
    <w:rsid w:val="003A69FE"/>
    <w:rsid w:val="003A6F64"/>
    <w:rsid w:val="003A76C2"/>
    <w:rsid w:val="003B12DE"/>
    <w:rsid w:val="003B71FE"/>
    <w:rsid w:val="003B72D6"/>
    <w:rsid w:val="003C0CD1"/>
    <w:rsid w:val="003C2045"/>
    <w:rsid w:val="003C3191"/>
    <w:rsid w:val="003C32AC"/>
    <w:rsid w:val="003D10BB"/>
    <w:rsid w:val="003D2855"/>
    <w:rsid w:val="003D3AC0"/>
    <w:rsid w:val="003D603A"/>
    <w:rsid w:val="003D6BC0"/>
    <w:rsid w:val="003E0496"/>
    <w:rsid w:val="003E756D"/>
    <w:rsid w:val="003E779C"/>
    <w:rsid w:val="003F0140"/>
    <w:rsid w:val="003F0BB8"/>
    <w:rsid w:val="003F172E"/>
    <w:rsid w:val="003F25C6"/>
    <w:rsid w:val="003F269D"/>
    <w:rsid w:val="0040093D"/>
    <w:rsid w:val="004030BF"/>
    <w:rsid w:val="0040337C"/>
    <w:rsid w:val="004042F3"/>
    <w:rsid w:val="00404AF2"/>
    <w:rsid w:val="00406C7D"/>
    <w:rsid w:val="00406D2E"/>
    <w:rsid w:val="00407093"/>
    <w:rsid w:val="004104C1"/>
    <w:rsid w:val="004132E1"/>
    <w:rsid w:val="004148C0"/>
    <w:rsid w:val="00415A96"/>
    <w:rsid w:val="00415FB8"/>
    <w:rsid w:val="0042071F"/>
    <w:rsid w:val="004208D8"/>
    <w:rsid w:val="00420DCD"/>
    <w:rsid w:val="00423D8B"/>
    <w:rsid w:val="00426EC1"/>
    <w:rsid w:val="00427B29"/>
    <w:rsid w:val="004310B0"/>
    <w:rsid w:val="00434970"/>
    <w:rsid w:val="00435DAC"/>
    <w:rsid w:val="0044022E"/>
    <w:rsid w:val="00440CD1"/>
    <w:rsid w:val="00440E15"/>
    <w:rsid w:val="004426CA"/>
    <w:rsid w:val="00443357"/>
    <w:rsid w:val="00443469"/>
    <w:rsid w:val="00443F74"/>
    <w:rsid w:val="0044452F"/>
    <w:rsid w:val="00445F88"/>
    <w:rsid w:val="00446244"/>
    <w:rsid w:val="004516AB"/>
    <w:rsid w:val="00452842"/>
    <w:rsid w:val="00455E1F"/>
    <w:rsid w:val="004667B8"/>
    <w:rsid w:val="00466C38"/>
    <w:rsid w:val="00470296"/>
    <w:rsid w:val="0047418D"/>
    <w:rsid w:val="004744E8"/>
    <w:rsid w:val="00481A74"/>
    <w:rsid w:val="004829CD"/>
    <w:rsid w:val="0048680B"/>
    <w:rsid w:val="00490996"/>
    <w:rsid w:val="00491CC0"/>
    <w:rsid w:val="0049397D"/>
    <w:rsid w:val="004953BB"/>
    <w:rsid w:val="0049733D"/>
    <w:rsid w:val="004A166E"/>
    <w:rsid w:val="004B33FE"/>
    <w:rsid w:val="004B51B6"/>
    <w:rsid w:val="004B6688"/>
    <w:rsid w:val="004C6A55"/>
    <w:rsid w:val="004C7BFD"/>
    <w:rsid w:val="004D11E9"/>
    <w:rsid w:val="004D271A"/>
    <w:rsid w:val="004D4855"/>
    <w:rsid w:val="004D7081"/>
    <w:rsid w:val="004D72BB"/>
    <w:rsid w:val="004E24A7"/>
    <w:rsid w:val="004E2BB9"/>
    <w:rsid w:val="004E328A"/>
    <w:rsid w:val="004E3B7D"/>
    <w:rsid w:val="004E4587"/>
    <w:rsid w:val="004E4ECC"/>
    <w:rsid w:val="004E78EA"/>
    <w:rsid w:val="004F21E9"/>
    <w:rsid w:val="004F2FCA"/>
    <w:rsid w:val="004F3421"/>
    <w:rsid w:val="004F3C36"/>
    <w:rsid w:val="004F4D56"/>
    <w:rsid w:val="004F4D98"/>
    <w:rsid w:val="004F5628"/>
    <w:rsid w:val="004F65DD"/>
    <w:rsid w:val="004F6E29"/>
    <w:rsid w:val="00502134"/>
    <w:rsid w:val="00502D1A"/>
    <w:rsid w:val="00503D82"/>
    <w:rsid w:val="005056CA"/>
    <w:rsid w:val="005067A0"/>
    <w:rsid w:val="00507A7F"/>
    <w:rsid w:val="00512588"/>
    <w:rsid w:val="005144EC"/>
    <w:rsid w:val="00521BFC"/>
    <w:rsid w:val="00525845"/>
    <w:rsid w:val="00534071"/>
    <w:rsid w:val="00534466"/>
    <w:rsid w:val="005370FF"/>
    <w:rsid w:val="00537CBD"/>
    <w:rsid w:val="005405DF"/>
    <w:rsid w:val="00542FB8"/>
    <w:rsid w:val="00544A91"/>
    <w:rsid w:val="0054517E"/>
    <w:rsid w:val="00550729"/>
    <w:rsid w:val="005517D4"/>
    <w:rsid w:val="00553400"/>
    <w:rsid w:val="005540DC"/>
    <w:rsid w:val="00555358"/>
    <w:rsid w:val="0055784F"/>
    <w:rsid w:val="00562444"/>
    <w:rsid w:val="00562CE9"/>
    <w:rsid w:val="0056731A"/>
    <w:rsid w:val="00567D58"/>
    <w:rsid w:val="0057022E"/>
    <w:rsid w:val="00570A3E"/>
    <w:rsid w:val="00570E34"/>
    <w:rsid w:val="00572446"/>
    <w:rsid w:val="00574954"/>
    <w:rsid w:val="00576C93"/>
    <w:rsid w:val="005816AE"/>
    <w:rsid w:val="00581881"/>
    <w:rsid w:val="0058222D"/>
    <w:rsid w:val="005853FD"/>
    <w:rsid w:val="00585FBB"/>
    <w:rsid w:val="00586146"/>
    <w:rsid w:val="005863FB"/>
    <w:rsid w:val="0058663E"/>
    <w:rsid w:val="00586DFC"/>
    <w:rsid w:val="00587849"/>
    <w:rsid w:val="005969C0"/>
    <w:rsid w:val="00597FC5"/>
    <w:rsid w:val="005A259E"/>
    <w:rsid w:val="005A3FFD"/>
    <w:rsid w:val="005A7D20"/>
    <w:rsid w:val="005B2809"/>
    <w:rsid w:val="005B54C5"/>
    <w:rsid w:val="005B6C12"/>
    <w:rsid w:val="005C12C8"/>
    <w:rsid w:val="005D0957"/>
    <w:rsid w:val="005D1546"/>
    <w:rsid w:val="005D1D61"/>
    <w:rsid w:val="005D4843"/>
    <w:rsid w:val="005D4AF8"/>
    <w:rsid w:val="005E15E0"/>
    <w:rsid w:val="005E201F"/>
    <w:rsid w:val="005E3875"/>
    <w:rsid w:val="005E7F26"/>
    <w:rsid w:val="005F00A3"/>
    <w:rsid w:val="005F254E"/>
    <w:rsid w:val="005F483B"/>
    <w:rsid w:val="005F572D"/>
    <w:rsid w:val="005F5F98"/>
    <w:rsid w:val="00602341"/>
    <w:rsid w:val="00605AF7"/>
    <w:rsid w:val="00605B70"/>
    <w:rsid w:val="006071AC"/>
    <w:rsid w:val="00607CF6"/>
    <w:rsid w:val="00611765"/>
    <w:rsid w:val="00615FD8"/>
    <w:rsid w:val="006164E0"/>
    <w:rsid w:val="00616D35"/>
    <w:rsid w:val="00620E60"/>
    <w:rsid w:val="00624E04"/>
    <w:rsid w:val="00625439"/>
    <w:rsid w:val="00626152"/>
    <w:rsid w:val="0062673D"/>
    <w:rsid w:val="00626EC0"/>
    <w:rsid w:val="0062735C"/>
    <w:rsid w:val="00630368"/>
    <w:rsid w:val="00630816"/>
    <w:rsid w:val="00634598"/>
    <w:rsid w:val="00637C40"/>
    <w:rsid w:val="00637D7B"/>
    <w:rsid w:val="006410E6"/>
    <w:rsid w:val="00644B20"/>
    <w:rsid w:val="006450B7"/>
    <w:rsid w:val="00652BE8"/>
    <w:rsid w:val="00653F07"/>
    <w:rsid w:val="00654938"/>
    <w:rsid w:val="00656323"/>
    <w:rsid w:val="00657A3E"/>
    <w:rsid w:val="00663DAD"/>
    <w:rsid w:val="00664BCF"/>
    <w:rsid w:val="00671693"/>
    <w:rsid w:val="0067394D"/>
    <w:rsid w:val="00673ADE"/>
    <w:rsid w:val="006746AD"/>
    <w:rsid w:val="00676A9F"/>
    <w:rsid w:val="00682A16"/>
    <w:rsid w:val="00683F99"/>
    <w:rsid w:val="00684FF4"/>
    <w:rsid w:val="00686A58"/>
    <w:rsid w:val="00687114"/>
    <w:rsid w:val="006879E0"/>
    <w:rsid w:val="00690138"/>
    <w:rsid w:val="00691751"/>
    <w:rsid w:val="00691B62"/>
    <w:rsid w:val="006921AD"/>
    <w:rsid w:val="00696BC4"/>
    <w:rsid w:val="006A06BF"/>
    <w:rsid w:val="006A530E"/>
    <w:rsid w:val="006B0E6F"/>
    <w:rsid w:val="006B157D"/>
    <w:rsid w:val="006B2B51"/>
    <w:rsid w:val="006B37DD"/>
    <w:rsid w:val="006B3F2B"/>
    <w:rsid w:val="006B4FE2"/>
    <w:rsid w:val="006B5B32"/>
    <w:rsid w:val="006C0113"/>
    <w:rsid w:val="006C1164"/>
    <w:rsid w:val="006C3217"/>
    <w:rsid w:val="006C5A9D"/>
    <w:rsid w:val="006D1D3F"/>
    <w:rsid w:val="006D25C5"/>
    <w:rsid w:val="006D3A59"/>
    <w:rsid w:val="006D3F3A"/>
    <w:rsid w:val="006E7A10"/>
    <w:rsid w:val="006E7FB2"/>
    <w:rsid w:val="006F0789"/>
    <w:rsid w:val="006F0D70"/>
    <w:rsid w:val="006F0E76"/>
    <w:rsid w:val="006F1E31"/>
    <w:rsid w:val="006F4E1A"/>
    <w:rsid w:val="00701FCA"/>
    <w:rsid w:val="0070679E"/>
    <w:rsid w:val="00706B68"/>
    <w:rsid w:val="00707182"/>
    <w:rsid w:val="00710B40"/>
    <w:rsid w:val="00715743"/>
    <w:rsid w:val="007165EE"/>
    <w:rsid w:val="007170E1"/>
    <w:rsid w:val="00717332"/>
    <w:rsid w:val="00721C29"/>
    <w:rsid w:val="00722768"/>
    <w:rsid w:val="00724946"/>
    <w:rsid w:val="00724FD3"/>
    <w:rsid w:val="0072525D"/>
    <w:rsid w:val="00726E93"/>
    <w:rsid w:val="007306B9"/>
    <w:rsid w:val="007321B6"/>
    <w:rsid w:val="0073343A"/>
    <w:rsid w:val="007341AE"/>
    <w:rsid w:val="007374DF"/>
    <w:rsid w:val="00742D6A"/>
    <w:rsid w:val="00745788"/>
    <w:rsid w:val="00746BD7"/>
    <w:rsid w:val="00751984"/>
    <w:rsid w:val="00751D2C"/>
    <w:rsid w:val="0075319C"/>
    <w:rsid w:val="00756AE3"/>
    <w:rsid w:val="007574AB"/>
    <w:rsid w:val="00760038"/>
    <w:rsid w:val="0076038A"/>
    <w:rsid w:val="00761440"/>
    <w:rsid w:val="0076148D"/>
    <w:rsid w:val="00773DFF"/>
    <w:rsid w:val="00774EEB"/>
    <w:rsid w:val="007767B8"/>
    <w:rsid w:val="00776B1B"/>
    <w:rsid w:val="007774AA"/>
    <w:rsid w:val="0078310B"/>
    <w:rsid w:val="00783B67"/>
    <w:rsid w:val="007862FA"/>
    <w:rsid w:val="007866D3"/>
    <w:rsid w:val="007937C1"/>
    <w:rsid w:val="00793C65"/>
    <w:rsid w:val="00794B81"/>
    <w:rsid w:val="00795898"/>
    <w:rsid w:val="007976F5"/>
    <w:rsid w:val="007A1CC8"/>
    <w:rsid w:val="007B28B0"/>
    <w:rsid w:val="007B2B07"/>
    <w:rsid w:val="007B337D"/>
    <w:rsid w:val="007B3D62"/>
    <w:rsid w:val="007B4554"/>
    <w:rsid w:val="007C7E9D"/>
    <w:rsid w:val="007D7584"/>
    <w:rsid w:val="007E01D6"/>
    <w:rsid w:val="007E32B7"/>
    <w:rsid w:val="007E6289"/>
    <w:rsid w:val="007F0B99"/>
    <w:rsid w:val="007F0C96"/>
    <w:rsid w:val="007F1389"/>
    <w:rsid w:val="007F269F"/>
    <w:rsid w:val="007F3055"/>
    <w:rsid w:val="007F344C"/>
    <w:rsid w:val="007F410F"/>
    <w:rsid w:val="008027FB"/>
    <w:rsid w:val="00806852"/>
    <w:rsid w:val="0081344A"/>
    <w:rsid w:val="00814738"/>
    <w:rsid w:val="008159C6"/>
    <w:rsid w:val="00817D38"/>
    <w:rsid w:val="0082377F"/>
    <w:rsid w:val="00823FDE"/>
    <w:rsid w:val="00824C45"/>
    <w:rsid w:val="00825730"/>
    <w:rsid w:val="00826C65"/>
    <w:rsid w:val="00831800"/>
    <w:rsid w:val="00832F46"/>
    <w:rsid w:val="00841445"/>
    <w:rsid w:val="00842CD4"/>
    <w:rsid w:val="00844ACC"/>
    <w:rsid w:val="00845245"/>
    <w:rsid w:val="00847CB9"/>
    <w:rsid w:val="00856007"/>
    <w:rsid w:val="00860C4C"/>
    <w:rsid w:val="00872E7F"/>
    <w:rsid w:val="00874B39"/>
    <w:rsid w:val="008758B4"/>
    <w:rsid w:val="00882F59"/>
    <w:rsid w:val="008869A6"/>
    <w:rsid w:val="008876B5"/>
    <w:rsid w:val="0089540E"/>
    <w:rsid w:val="0089708B"/>
    <w:rsid w:val="008A1C85"/>
    <w:rsid w:val="008A2679"/>
    <w:rsid w:val="008A3471"/>
    <w:rsid w:val="008A7581"/>
    <w:rsid w:val="008B1EC0"/>
    <w:rsid w:val="008B5FC8"/>
    <w:rsid w:val="008B79FA"/>
    <w:rsid w:val="008C0849"/>
    <w:rsid w:val="008C15FD"/>
    <w:rsid w:val="008C35F7"/>
    <w:rsid w:val="008C379E"/>
    <w:rsid w:val="008C3A60"/>
    <w:rsid w:val="008C56C4"/>
    <w:rsid w:val="008C59AA"/>
    <w:rsid w:val="008D402F"/>
    <w:rsid w:val="008D490B"/>
    <w:rsid w:val="008E15F2"/>
    <w:rsid w:val="008E54DB"/>
    <w:rsid w:val="008E562C"/>
    <w:rsid w:val="008F0655"/>
    <w:rsid w:val="008F28AC"/>
    <w:rsid w:val="008F56DE"/>
    <w:rsid w:val="008F71F6"/>
    <w:rsid w:val="00900798"/>
    <w:rsid w:val="0090248F"/>
    <w:rsid w:val="0090291D"/>
    <w:rsid w:val="00911E43"/>
    <w:rsid w:val="009125C9"/>
    <w:rsid w:val="00914880"/>
    <w:rsid w:val="0091546F"/>
    <w:rsid w:val="00917080"/>
    <w:rsid w:val="00917DF2"/>
    <w:rsid w:val="009205A5"/>
    <w:rsid w:val="0092196B"/>
    <w:rsid w:val="00924367"/>
    <w:rsid w:val="009249B4"/>
    <w:rsid w:val="00926DEF"/>
    <w:rsid w:val="0092710B"/>
    <w:rsid w:val="00931391"/>
    <w:rsid w:val="00936B02"/>
    <w:rsid w:val="009370CC"/>
    <w:rsid w:val="009375EF"/>
    <w:rsid w:val="009429B5"/>
    <w:rsid w:val="00942B3F"/>
    <w:rsid w:val="00943883"/>
    <w:rsid w:val="00952AC4"/>
    <w:rsid w:val="009541CD"/>
    <w:rsid w:val="00956144"/>
    <w:rsid w:val="009576B4"/>
    <w:rsid w:val="00957780"/>
    <w:rsid w:val="00957EF1"/>
    <w:rsid w:val="0096094E"/>
    <w:rsid w:val="0096189E"/>
    <w:rsid w:val="009621D6"/>
    <w:rsid w:val="00963E30"/>
    <w:rsid w:val="00972A11"/>
    <w:rsid w:val="00980638"/>
    <w:rsid w:val="00982BC6"/>
    <w:rsid w:val="009835E3"/>
    <w:rsid w:val="00984FA6"/>
    <w:rsid w:val="00986236"/>
    <w:rsid w:val="0098632A"/>
    <w:rsid w:val="00986D24"/>
    <w:rsid w:val="009915AF"/>
    <w:rsid w:val="009925FA"/>
    <w:rsid w:val="009A68F5"/>
    <w:rsid w:val="009B20EB"/>
    <w:rsid w:val="009B66F6"/>
    <w:rsid w:val="009C0C86"/>
    <w:rsid w:val="009C0D0A"/>
    <w:rsid w:val="009C27CC"/>
    <w:rsid w:val="009C702B"/>
    <w:rsid w:val="009D554B"/>
    <w:rsid w:val="009D5ED4"/>
    <w:rsid w:val="009D5EE5"/>
    <w:rsid w:val="009E3617"/>
    <w:rsid w:val="009E4FF6"/>
    <w:rsid w:val="009F43E6"/>
    <w:rsid w:val="009F55BC"/>
    <w:rsid w:val="00A06A21"/>
    <w:rsid w:val="00A103CC"/>
    <w:rsid w:val="00A11581"/>
    <w:rsid w:val="00A12195"/>
    <w:rsid w:val="00A15ACE"/>
    <w:rsid w:val="00A202AF"/>
    <w:rsid w:val="00A2114C"/>
    <w:rsid w:val="00A26297"/>
    <w:rsid w:val="00A27C22"/>
    <w:rsid w:val="00A30BB0"/>
    <w:rsid w:val="00A40292"/>
    <w:rsid w:val="00A452C4"/>
    <w:rsid w:val="00A4720B"/>
    <w:rsid w:val="00A477C8"/>
    <w:rsid w:val="00A55385"/>
    <w:rsid w:val="00A562DA"/>
    <w:rsid w:val="00A63DC4"/>
    <w:rsid w:val="00A644DA"/>
    <w:rsid w:val="00A64C70"/>
    <w:rsid w:val="00A67237"/>
    <w:rsid w:val="00A67AAD"/>
    <w:rsid w:val="00A71270"/>
    <w:rsid w:val="00A747F8"/>
    <w:rsid w:val="00A74CC5"/>
    <w:rsid w:val="00A76FCC"/>
    <w:rsid w:val="00A81F38"/>
    <w:rsid w:val="00A82C39"/>
    <w:rsid w:val="00A916DA"/>
    <w:rsid w:val="00A91892"/>
    <w:rsid w:val="00A91904"/>
    <w:rsid w:val="00A92C59"/>
    <w:rsid w:val="00A948BF"/>
    <w:rsid w:val="00A969D6"/>
    <w:rsid w:val="00AA0986"/>
    <w:rsid w:val="00AA1684"/>
    <w:rsid w:val="00AA1DC0"/>
    <w:rsid w:val="00AA6691"/>
    <w:rsid w:val="00AA7332"/>
    <w:rsid w:val="00AA766B"/>
    <w:rsid w:val="00AB3254"/>
    <w:rsid w:val="00AB492E"/>
    <w:rsid w:val="00AC14AF"/>
    <w:rsid w:val="00AC3E92"/>
    <w:rsid w:val="00AC6C20"/>
    <w:rsid w:val="00AD2221"/>
    <w:rsid w:val="00AD3164"/>
    <w:rsid w:val="00AD4B22"/>
    <w:rsid w:val="00AE18AA"/>
    <w:rsid w:val="00AE2C5E"/>
    <w:rsid w:val="00AE4118"/>
    <w:rsid w:val="00AE4727"/>
    <w:rsid w:val="00AE6149"/>
    <w:rsid w:val="00AE6910"/>
    <w:rsid w:val="00AE74CF"/>
    <w:rsid w:val="00AE7BCD"/>
    <w:rsid w:val="00AF0DF8"/>
    <w:rsid w:val="00AF4776"/>
    <w:rsid w:val="00AF6948"/>
    <w:rsid w:val="00B0056E"/>
    <w:rsid w:val="00B04AE2"/>
    <w:rsid w:val="00B05699"/>
    <w:rsid w:val="00B10C19"/>
    <w:rsid w:val="00B118B3"/>
    <w:rsid w:val="00B1287B"/>
    <w:rsid w:val="00B15B0A"/>
    <w:rsid w:val="00B2144B"/>
    <w:rsid w:val="00B21BE0"/>
    <w:rsid w:val="00B23C0A"/>
    <w:rsid w:val="00B2586E"/>
    <w:rsid w:val="00B26099"/>
    <w:rsid w:val="00B26E38"/>
    <w:rsid w:val="00B2727A"/>
    <w:rsid w:val="00B30CA0"/>
    <w:rsid w:val="00B31F1F"/>
    <w:rsid w:val="00B321F1"/>
    <w:rsid w:val="00B3441D"/>
    <w:rsid w:val="00B37195"/>
    <w:rsid w:val="00B375D0"/>
    <w:rsid w:val="00B378FA"/>
    <w:rsid w:val="00B436D6"/>
    <w:rsid w:val="00B44534"/>
    <w:rsid w:val="00B462A0"/>
    <w:rsid w:val="00B47741"/>
    <w:rsid w:val="00B50E54"/>
    <w:rsid w:val="00B515B6"/>
    <w:rsid w:val="00B55EBD"/>
    <w:rsid w:val="00B61A04"/>
    <w:rsid w:val="00B62A51"/>
    <w:rsid w:val="00B63BAD"/>
    <w:rsid w:val="00B63D4D"/>
    <w:rsid w:val="00B662D3"/>
    <w:rsid w:val="00B701E9"/>
    <w:rsid w:val="00B76E32"/>
    <w:rsid w:val="00B80B5A"/>
    <w:rsid w:val="00B82415"/>
    <w:rsid w:val="00B8262B"/>
    <w:rsid w:val="00B8529C"/>
    <w:rsid w:val="00B85987"/>
    <w:rsid w:val="00B973F7"/>
    <w:rsid w:val="00B97680"/>
    <w:rsid w:val="00BA08A3"/>
    <w:rsid w:val="00BA203B"/>
    <w:rsid w:val="00BA2F53"/>
    <w:rsid w:val="00BB56F6"/>
    <w:rsid w:val="00BB5939"/>
    <w:rsid w:val="00BB59CF"/>
    <w:rsid w:val="00BB6955"/>
    <w:rsid w:val="00BB7D75"/>
    <w:rsid w:val="00BC01C0"/>
    <w:rsid w:val="00BC2101"/>
    <w:rsid w:val="00BC3DAD"/>
    <w:rsid w:val="00BC5690"/>
    <w:rsid w:val="00BD0215"/>
    <w:rsid w:val="00BD652E"/>
    <w:rsid w:val="00BD681C"/>
    <w:rsid w:val="00BD6843"/>
    <w:rsid w:val="00BE15B5"/>
    <w:rsid w:val="00BE442E"/>
    <w:rsid w:val="00BE513F"/>
    <w:rsid w:val="00BF119B"/>
    <w:rsid w:val="00BF351C"/>
    <w:rsid w:val="00BF3805"/>
    <w:rsid w:val="00BF51FD"/>
    <w:rsid w:val="00BF66E6"/>
    <w:rsid w:val="00BF7370"/>
    <w:rsid w:val="00BF7D3E"/>
    <w:rsid w:val="00C01086"/>
    <w:rsid w:val="00C021B3"/>
    <w:rsid w:val="00C04FA0"/>
    <w:rsid w:val="00C051DB"/>
    <w:rsid w:val="00C078D5"/>
    <w:rsid w:val="00C10573"/>
    <w:rsid w:val="00C121DF"/>
    <w:rsid w:val="00C16D40"/>
    <w:rsid w:val="00C16D72"/>
    <w:rsid w:val="00C22EA0"/>
    <w:rsid w:val="00C26B71"/>
    <w:rsid w:val="00C400EC"/>
    <w:rsid w:val="00C42B82"/>
    <w:rsid w:val="00C4690F"/>
    <w:rsid w:val="00C46ABB"/>
    <w:rsid w:val="00C513AD"/>
    <w:rsid w:val="00C57388"/>
    <w:rsid w:val="00C6142D"/>
    <w:rsid w:val="00C641C8"/>
    <w:rsid w:val="00C6544D"/>
    <w:rsid w:val="00C67927"/>
    <w:rsid w:val="00C72648"/>
    <w:rsid w:val="00C7303D"/>
    <w:rsid w:val="00C739C2"/>
    <w:rsid w:val="00C746F4"/>
    <w:rsid w:val="00C75C37"/>
    <w:rsid w:val="00C77637"/>
    <w:rsid w:val="00C77709"/>
    <w:rsid w:val="00C77F47"/>
    <w:rsid w:val="00C81B3F"/>
    <w:rsid w:val="00C81B94"/>
    <w:rsid w:val="00C85A89"/>
    <w:rsid w:val="00C85EC1"/>
    <w:rsid w:val="00C87424"/>
    <w:rsid w:val="00C9066D"/>
    <w:rsid w:val="00C93747"/>
    <w:rsid w:val="00C9390E"/>
    <w:rsid w:val="00C93990"/>
    <w:rsid w:val="00CA1132"/>
    <w:rsid w:val="00CA1364"/>
    <w:rsid w:val="00CA26A5"/>
    <w:rsid w:val="00CA32D9"/>
    <w:rsid w:val="00CA39BF"/>
    <w:rsid w:val="00CA3C87"/>
    <w:rsid w:val="00CA4C0F"/>
    <w:rsid w:val="00CA4C72"/>
    <w:rsid w:val="00CB182E"/>
    <w:rsid w:val="00CB4C7B"/>
    <w:rsid w:val="00CB5038"/>
    <w:rsid w:val="00CB7CFA"/>
    <w:rsid w:val="00CC08A5"/>
    <w:rsid w:val="00CC53AA"/>
    <w:rsid w:val="00CD3CCA"/>
    <w:rsid w:val="00CD3DFE"/>
    <w:rsid w:val="00CD44CE"/>
    <w:rsid w:val="00CD5F54"/>
    <w:rsid w:val="00CD6618"/>
    <w:rsid w:val="00CD6983"/>
    <w:rsid w:val="00CD6D30"/>
    <w:rsid w:val="00CE0852"/>
    <w:rsid w:val="00CE135A"/>
    <w:rsid w:val="00CE179F"/>
    <w:rsid w:val="00CE3801"/>
    <w:rsid w:val="00CE3B76"/>
    <w:rsid w:val="00CE47BA"/>
    <w:rsid w:val="00CE67DE"/>
    <w:rsid w:val="00CE751B"/>
    <w:rsid w:val="00CF0ACC"/>
    <w:rsid w:val="00CF0E78"/>
    <w:rsid w:val="00CF3750"/>
    <w:rsid w:val="00CF620B"/>
    <w:rsid w:val="00D0000A"/>
    <w:rsid w:val="00D02484"/>
    <w:rsid w:val="00D02E1F"/>
    <w:rsid w:val="00D03F02"/>
    <w:rsid w:val="00D0487A"/>
    <w:rsid w:val="00D1381D"/>
    <w:rsid w:val="00D14BAB"/>
    <w:rsid w:val="00D1585E"/>
    <w:rsid w:val="00D21513"/>
    <w:rsid w:val="00D21F23"/>
    <w:rsid w:val="00D3779B"/>
    <w:rsid w:val="00D40626"/>
    <w:rsid w:val="00D418D5"/>
    <w:rsid w:val="00D43CCC"/>
    <w:rsid w:val="00D447BA"/>
    <w:rsid w:val="00D506C4"/>
    <w:rsid w:val="00D52CA0"/>
    <w:rsid w:val="00D54286"/>
    <w:rsid w:val="00D54EC7"/>
    <w:rsid w:val="00D55A8D"/>
    <w:rsid w:val="00D561B4"/>
    <w:rsid w:val="00D56500"/>
    <w:rsid w:val="00D622A5"/>
    <w:rsid w:val="00D6379E"/>
    <w:rsid w:val="00D6393E"/>
    <w:rsid w:val="00D63D18"/>
    <w:rsid w:val="00D70398"/>
    <w:rsid w:val="00D72D33"/>
    <w:rsid w:val="00D72E84"/>
    <w:rsid w:val="00D76AD8"/>
    <w:rsid w:val="00D81757"/>
    <w:rsid w:val="00D85BEA"/>
    <w:rsid w:val="00D8733D"/>
    <w:rsid w:val="00D87E01"/>
    <w:rsid w:val="00D924B0"/>
    <w:rsid w:val="00D952DF"/>
    <w:rsid w:val="00D975FA"/>
    <w:rsid w:val="00DA019A"/>
    <w:rsid w:val="00DA1C46"/>
    <w:rsid w:val="00DA6A37"/>
    <w:rsid w:val="00DB0350"/>
    <w:rsid w:val="00DB1C98"/>
    <w:rsid w:val="00DB2D99"/>
    <w:rsid w:val="00DC071A"/>
    <w:rsid w:val="00DC16E6"/>
    <w:rsid w:val="00DC58EE"/>
    <w:rsid w:val="00DC6D6E"/>
    <w:rsid w:val="00DD4484"/>
    <w:rsid w:val="00DD6020"/>
    <w:rsid w:val="00DD7033"/>
    <w:rsid w:val="00DE007D"/>
    <w:rsid w:val="00DE1262"/>
    <w:rsid w:val="00DE7249"/>
    <w:rsid w:val="00DF03E9"/>
    <w:rsid w:val="00DF3AEE"/>
    <w:rsid w:val="00DF407B"/>
    <w:rsid w:val="00E004D3"/>
    <w:rsid w:val="00E0215D"/>
    <w:rsid w:val="00E04EA6"/>
    <w:rsid w:val="00E04F80"/>
    <w:rsid w:val="00E06A24"/>
    <w:rsid w:val="00E077F0"/>
    <w:rsid w:val="00E11C19"/>
    <w:rsid w:val="00E136A0"/>
    <w:rsid w:val="00E13BDB"/>
    <w:rsid w:val="00E16305"/>
    <w:rsid w:val="00E20255"/>
    <w:rsid w:val="00E2462E"/>
    <w:rsid w:val="00E30ACC"/>
    <w:rsid w:val="00E30AFF"/>
    <w:rsid w:val="00E4276D"/>
    <w:rsid w:val="00E44EF1"/>
    <w:rsid w:val="00E45D02"/>
    <w:rsid w:val="00E462BE"/>
    <w:rsid w:val="00E4649D"/>
    <w:rsid w:val="00E464C2"/>
    <w:rsid w:val="00E46E77"/>
    <w:rsid w:val="00E52713"/>
    <w:rsid w:val="00E52EF1"/>
    <w:rsid w:val="00E538D3"/>
    <w:rsid w:val="00E55598"/>
    <w:rsid w:val="00E616E9"/>
    <w:rsid w:val="00E61732"/>
    <w:rsid w:val="00E61F77"/>
    <w:rsid w:val="00E6280C"/>
    <w:rsid w:val="00E65474"/>
    <w:rsid w:val="00E718D9"/>
    <w:rsid w:val="00E777CC"/>
    <w:rsid w:val="00E81E4D"/>
    <w:rsid w:val="00E8378E"/>
    <w:rsid w:val="00E87BA8"/>
    <w:rsid w:val="00E90A65"/>
    <w:rsid w:val="00E94445"/>
    <w:rsid w:val="00EA102C"/>
    <w:rsid w:val="00EA2736"/>
    <w:rsid w:val="00EA541D"/>
    <w:rsid w:val="00EB2739"/>
    <w:rsid w:val="00EB5407"/>
    <w:rsid w:val="00EB603E"/>
    <w:rsid w:val="00EB6583"/>
    <w:rsid w:val="00EC0E83"/>
    <w:rsid w:val="00EC15C1"/>
    <w:rsid w:val="00EC4A02"/>
    <w:rsid w:val="00EC5BE8"/>
    <w:rsid w:val="00EC61F1"/>
    <w:rsid w:val="00ED5CAE"/>
    <w:rsid w:val="00ED7AC1"/>
    <w:rsid w:val="00EE1A17"/>
    <w:rsid w:val="00EE581C"/>
    <w:rsid w:val="00EF37F6"/>
    <w:rsid w:val="00EF5CEF"/>
    <w:rsid w:val="00EF720B"/>
    <w:rsid w:val="00F00395"/>
    <w:rsid w:val="00F01018"/>
    <w:rsid w:val="00F024CF"/>
    <w:rsid w:val="00F04F9A"/>
    <w:rsid w:val="00F051C2"/>
    <w:rsid w:val="00F05F13"/>
    <w:rsid w:val="00F065DA"/>
    <w:rsid w:val="00F10BC9"/>
    <w:rsid w:val="00F179AD"/>
    <w:rsid w:val="00F200D6"/>
    <w:rsid w:val="00F23552"/>
    <w:rsid w:val="00F27975"/>
    <w:rsid w:val="00F35A76"/>
    <w:rsid w:val="00F35D44"/>
    <w:rsid w:val="00F367A9"/>
    <w:rsid w:val="00F36D97"/>
    <w:rsid w:val="00F42760"/>
    <w:rsid w:val="00F433CB"/>
    <w:rsid w:val="00F43753"/>
    <w:rsid w:val="00F43D53"/>
    <w:rsid w:val="00F44D98"/>
    <w:rsid w:val="00F45616"/>
    <w:rsid w:val="00F456F8"/>
    <w:rsid w:val="00F45D51"/>
    <w:rsid w:val="00F466D8"/>
    <w:rsid w:val="00F47307"/>
    <w:rsid w:val="00F5058B"/>
    <w:rsid w:val="00F50DDE"/>
    <w:rsid w:val="00F65D0B"/>
    <w:rsid w:val="00F665F1"/>
    <w:rsid w:val="00F6744C"/>
    <w:rsid w:val="00F71A4A"/>
    <w:rsid w:val="00F71EC6"/>
    <w:rsid w:val="00F723F1"/>
    <w:rsid w:val="00F72B0E"/>
    <w:rsid w:val="00F73853"/>
    <w:rsid w:val="00F77617"/>
    <w:rsid w:val="00F80134"/>
    <w:rsid w:val="00F85142"/>
    <w:rsid w:val="00F858B9"/>
    <w:rsid w:val="00F92A75"/>
    <w:rsid w:val="00F94F52"/>
    <w:rsid w:val="00F951D0"/>
    <w:rsid w:val="00F9686F"/>
    <w:rsid w:val="00FA044B"/>
    <w:rsid w:val="00FA596A"/>
    <w:rsid w:val="00FA6176"/>
    <w:rsid w:val="00FB08E3"/>
    <w:rsid w:val="00FB091E"/>
    <w:rsid w:val="00FB58B3"/>
    <w:rsid w:val="00FB6F92"/>
    <w:rsid w:val="00FB723D"/>
    <w:rsid w:val="00FC10FC"/>
    <w:rsid w:val="00FC1A56"/>
    <w:rsid w:val="00FC2C54"/>
    <w:rsid w:val="00FC3863"/>
    <w:rsid w:val="00FC406F"/>
    <w:rsid w:val="00FD3E1D"/>
    <w:rsid w:val="00FD4B10"/>
    <w:rsid w:val="00FD5CF7"/>
    <w:rsid w:val="00FD721C"/>
    <w:rsid w:val="00FE0E99"/>
    <w:rsid w:val="00FE1A53"/>
    <w:rsid w:val="00FE393E"/>
    <w:rsid w:val="00FE4A6B"/>
    <w:rsid w:val="00FE6561"/>
    <w:rsid w:val="00FE7FAA"/>
    <w:rsid w:val="00FF1017"/>
    <w:rsid w:val="00FF1783"/>
    <w:rsid w:val="00FF26D6"/>
    <w:rsid w:val="00F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2DA"/>
    <w:rPr>
      <w:sz w:val="24"/>
      <w:szCs w:val="24"/>
    </w:rPr>
  </w:style>
  <w:style w:type="paragraph" w:styleId="Heading1">
    <w:name w:val="heading 1"/>
    <w:basedOn w:val="Normal"/>
    <w:next w:val="Normal"/>
    <w:link w:val="Heading1Char"/>
    <w:qFormat/>
    <w:rsid w:val="00223B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qFormat/>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uiPriority w:val="22"/>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uiPriority w:val="99"/>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ListParagraph">
    <w:name w:val="List Paragraph"/>
    <w:basedOn w:val="Normal"/>
    <w:uiPriority w:val="34"/>
    <w:qFormat/>
    <w:rsid w:val="00356461"/>
    <w:pPr>
      <w:ind w:left="720"/>
      <w:contextualSpacing/>
    </w:pPr>
  </w:style>
  <w:style w:type="paragraph" w:styleId="BalloonText">
    <w:name w:val="Balloon Text"/>
    <w:basedOn w:val="Normal"/>
    <w:link w:val="BalloonTextChar"/>
    <w:semiHidden/>
    <w:unhideWhenUsed/>
    <w:rsid w:val="007B28B0"/>
    <w:rPr>
      <w:rFonts w:ascii="Segoe UI" w:hAnsi="Segoe UI" w:cs="Segoe UI"/>
      <w:sz w:val="18"/>
      <w:szCs w:val="18"/>
    </w:rPr>
  </w:style>
  <w:style w:type="character" w:customStyle="1" w:styleId="BalloonTextChar">
    <w:name w:val="Balloon Text Char"/>
    <w:basedOn w:val="DefaultParagraphFont"/>
    <w:link w:val="BalloonText"/>
    <w:semiHidden/>
    <w:rsid w:val="007B28B0"/>
    <w:rPr>
      <w:rFonts w:ascii="Segoe UI" w:hAnsi="Segoe UI" w:cs="Segoe UI"/>
      <w:sz w:val="18"/>
      <w:szCs w:val="18"/>
    </w:rPr>
  </w:style>
  <w:style w:type="table" w:styleId="TableGrid">
    <w:name w:val="Table Grid"/>
    <w:basedOn w:val="TableNormal"/>
    <w:rsid w:val="007B2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23B1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773DFF"/>
    <w:rPr>
      <w:sz w:val="16"/>
      <w:szCs w:val="16"/>
    </w:rPr>
  </w:style>
  <w:style w:type="paragraph" w:styleId="CommentText">
    <w:name w:val="annotation text"/>
    <w:basedOn w:val="Normal"/>
    <w:link w:val="CommentTextChar"/>
    <w:semiHidden/>
    <w:unhideWhenUsed/>
    <w:rsid w:val="00773DFF"/>
    <w:rPr>
      <w:sz w:val="20"/>
      <w:szCs w:val="20"/>
    </w:rPr>
  </w:style>
  <w:style w:type="character" w:customStyle="1" w:styleId="CommentTextChar">
    <w:name w:val="Comment Text Char"/>
    <w:basedOn w:val="DefaultParagraphFont"/>
    <w:link w:val="CommentText"/>
    <w:semiHidden/>
    <w:rsid w:val="00773DFF"/>
  </w:style>
  <w:style w:type="paragraph" w:styleId="CommentSubject">
    <w:name w:val="annotation subject"/>
    <w:basedOn w:val="CommentText"/>
    <w:next w:val="CommentText"/>
    <w:link w:val="CommentSubjectChar"/>
    <w:semiHidden/>
    <w:unhideWhenUsed/>
    <w:rsid w:val="00773DFF"/>
    <w:rPr>
      <w:b/>
      <w:bCs/>
    </w:rPr>
  </w:style>
  <w:style w:type="character" w:customStyle="1" w:styleId="CommentSubjectChar">
    <w:name w:val="Comment Subject Char"/>
    <w:basedOn w:val="CommentTextChar"/>
    <w:link w:val="CommentSubject"/>
    <w:semiHidden/>
    <w:rsid w:val="00773DFF"/>
    <w:rPr>
      <w:b/>
      <w:bCs/>
    </w:rPr>
  </w:style>
  <w:style w:type="character" w:customStyle="1" w:styleId="FootnoteTextChar">
    <w:name w:val="Footnote Text Char"/>
    <w:basedOn w:val="DefaultParagraphFont"/>
    <w:link w:val="FootnoteText"/>
    <w:rsid w:val="009F55BC"/>
  </w:style>
  <w:style w:type="paragraph" w:styleId="Revision">
    <w:name w:val="Revision"/>
    <w:hidden/>
    <w:uiPriority w:val="99"/>
    <w:semiHidden/>
    <w:rsid w:val="008F71F6"/>
    <w:rPr>
      <w:sz w:val="24"/>
      <w:szCs w:val="24"/>
    </w:rPr>
  </w:style>
  <w:style w:type="paragraph" w:styleId="NormalWeb">
    <w:name w:val="Normal (Web)"/>
    <w:basedOn w:val="Normal"/>
    <w:uiPriority w:val="99"/>
    <w:semiHidden/>
    <w:unhideWhenUsed/>
    <w:rsid w:val="004042F3"/>
    <w:pPr>
      <w:spacing w:before="100" w:beforeAutospacing="1" w:after="100" w:afterAutospacing="1"/>
    </w:pPr>
  </w:style>
  <w:style w:type="character" w:styleId="Emphasis">
    <w:name w:val="Emphasis"/>
    <w:basedOn w:val="DefaultParagraphFont"/>
    <w:uiPriority w:val="20"/>
    <w:qFormat/>
    <w:rsid w:val="004042F3"/>
    <w:rPr>
      <w:i/>
      <w:iCs/>
    </w:rPr>
  </w:style>
  <w:style w:type="character" w:styleId="UnresolvedMention">
    <w:name w:val="Unresolved Mention"/>
    <w:basedOn w:val="DefaultParagraphFont"/>
    <w:uiPriority w:val="99"/>
    <w:semiHidden/>
    <w:unhideWhenUsed/>
    <w:rsid w:val="0058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5841">
      <w:bodyDiv w:val="1"/>
      <w:marLeft w:val="0"/>
      <w:marRight w:val="0"/>
      <w:marTop w:val="0"/>
      <w:marBottom w:val="0"/>
      <w:divBdr>
        <w:top w:val="none" w:sz="0" w:space="0" w:color="auto"/>
        <w:left w:val="none" w:sz="0" w:space="0" w:color="auto"/>
        <w:bottom w:val="none" w:sz="0" w:space="0" w:color="auto"/>
        <w:right w:val="none" w:sz="0" w:space="0" w:color="auto"/>
      </w:divBdr>
    </w:div>
    <w:div w:id="1007244424">
      <w:bodyDiv w:val="1"/>
      <w:marLeft w:val="0"/>
      <w:marRight w:val="0"/>
      <w:marTop w:val="0"/>
      <w:marBottom w:val="0"/>
      <w:divBdr>
        <w:top w:val="none" w:sz="0" w:space="0" w:color="auto"/>
        <w:left w:val="none" w:sz="0" w:space="0" w:color="auto"/>
        <w:bottom w:val="none" w:sz="0" w:space="0" w:color="auto"/>
        <w:right w:val="none" w:sz="0" w:space="0" w:color="auto"/>
      </w:divBdr>
    </w:div>
    <w:div w:id="1204562162">
      <w:bodyDiv w:val="1"/>
      <w:marLeft w:val="0"/>
      <w:marRight w:val="0"/>
      <w:marTop w:val="0"/>
      <w:marBottom w:val="0"/>
      <w:divBdr>
        <w:top w:val="none" w:sz="0" w:space="0" w:color="auto"/>
        <w:left w:val="none" w:sz="0" w:space="0" w:color="auto"/>
        <w:bottom w:val="none" w:sz="0" w:space="0" w:color="auto"/>
        <w:right w:val="none" w:sz="0" w:space="0" w:color="auto"/>
      </w:divBdr>
    </w:div>
    <w:div w:id="1558739510">
      <w:bodyDiv w:val="1"/>
      <w:marLeft w:val="0"/>
      <w:marRight w:val="0"/>
      <w:marTop w:val="0"/>
      <w:marBottom w:val="0"/>
      <w:divBdr>
        <w:top w:val="none" w:sz="0" w:space="0" w:color="auto"/>
        <w:left w:val="none" w:sz="0" w:space="0" w:color="auto"/>
        <w:bottom w:val="none" w:sz="0" w:space="0" w:color="auto"/>
        <w:right w:val="none" w:sz="0" w:space="0" w:color="auto"/>
      </w:divBdr>
    </w:div>
    <w:div w:id="1727143914">
      <w:bodyDiv w:val="1"/>
      <w:marLeft w:val="0"/>
      <w:marRight w:val="0"/>
      <w:marTop w:val="0"/>
      <w:marBottom w:val="0"/>
      <w:divBdr>
        <w:top w:val="none" w:sz="0" w:space="0" w:color="auto"/>
        <w:left w:val="none" w:sz="0" w:space="0" w:color="auto"/>
        <w:bottom w:val="none" w:sz="0" w:space="0" w:color="auto"/>
        <w:right w:val="none" w:sz="0" w:space="0" w:color="auto"/>
      </w:divBdr>
      <w:divsChild>
        <w:div w:id="767821052">
          <w:marLeft w:val="0"/>
          <w:marRight w:val="0"/>
          <w:marTop w:val="0"/>
          <w:marBottom w:val="0"/>
          <w:divBdr>
            <w:top w:val="none" w:sz="0" w:space="0" w:color="auto"/>
            <w:left w:val="none" w:sz="0" w:space="0" w:color="auto"/>
            <w:bottom w:val="none" w:sz="0" w:space="0" w:color="auto"/>
            <w:right w:val="none" w:sz="0" w:space="0" w:color="auto"/>
          </w:divBdr>
        </w:div>
        <w:div w:id="800344679">
          <w:marLeft w:val="0"/>
          <w:marRight w:val="0"/>
          <w:marTop w:val="0"/>
          <w:marBottom w:val="0"/>
          <w:divBdr>
            <w:top w:val="none" w:sz="0" w:space="0" w:color="auto"/>
            <w:left w:val="none" w:sz="0" w:space="0" w:color="auto"/>
            <w:bottom w:val="none" w:sz="0" w:space="0" w:color="auto"/>
            <w:right w:val="none" w:sz="0" w:space="0" w:color="auto"/>
          </w:divBdr>
        </w:div>
      </w:divsChild>
    </w:div>
    <w:div w:id="1844776457">
      <w:bodyDiv w:val="1"/>
      <w:marLeft w:val="0"/>
      <w:marRight w:val="0"/>
      <w:marTop w:val="0"/>
      <w:marBottom w:val="0"/>
      <w:divBdr>
        <w:top w:val="none" w:sz="0" w:space="0" w:color="auto"/>
        <w:left w:val="none" w:sz="0" w:space="0" w:color="auto"/>
        <w:bottom w:val="none" w:sz="0" w:space="0" w:color="auto"/>
        <w:right w:val="none" w:sz="0" w:space="0" w:color="auto"/>
      </w:divBdr>
    </w:div>
    <w:div w:id="20626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BF79-D14D-4216-961B-8226529E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6</Pages>
  <Words>2437</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Sediqzad, Fatima</cp:lastModifiedBy>
  <cp:revision>43</cp:revision>
  <cp:lastPrinted>2020-02-25T14:56:00Z</cp:lastPrinted>
  <dcterms:created xsi:type="dcterms:W3CDTF">2020-10-22T13:57:00Z</dcterms:created>
  <dcterms:modified xsi:type="dcterms:W3CDTF">2020-11-16T14:14:00Z</dcterms:modified>
</cp:coreProperties>
</file>