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4997" w14:textId="77777777" w:rsidR="007A6EAF" w:rsidRPr="00AB35D7" w:rsidRDefault="007A6EAF" w:rsidP="00C604FE">
      <w:pPr>
        <w:spacing w:before="0" w:after="160" w:line="280" w:lineRule="exact"/>
        <w:jc w:val="left"/>
        <w:rPr>
          <w:rFonts w:asciiTheme="minorHAnsi" w:hAnsiTheme="minorHAnsi" w:cstheme="minorHAnsi"/>
          <w:sz w:val="22"/>
          <w:szCs w:val="22"/>
        </w:rPr>
      </w:pPr>
      <w:bookmarkStart w:id="0" w:name="_Toc90649826"/>
      <w:r w:rsidRPr="00AB35D7">
        <w:rPr>
          <w:rFonts w:asciiTheme="minorHAnsi" w:hAnsiTheme="minorHAnsi" w:cstheme="minorHAnsi"/>
          <w:sz w:val="22"/>
          <w:szCs w:val="22"/>
        </w:rPr>
        <w:t xml:space="preserve">TO: </w:t>
      </w:r>
      <w:r w:rsidRPr="00AB35D7">
        <w:rPr>
          <w:rFonts w:asciiTheme="minorHAnsi" w:hAnsiTheme="minorHAnsi" w:cstheme="minorHAnsi"/>
          <w:sz w:val="22"/>
          <w:szCs w:val="22"/>
        </w:rPr>
        <w:tab/>
        <w:t>Carrie Mears, Chair, Valuation of Securities (E) Task Force</w:t>
      </w:r>
      <w:r w:rsidRPr="00AB35D7">
        <w:rPr>
          <w:rFonts w:asciiTheme="minorHAnsi" w:hAnsiTheme="minorHAnsi" w:cstheme="minorHAnsi"/>
          <w:sz w:val="22"/>
          <w:szCs w:val="22"/>
        </w:rPr>
        <w:br/>
      </w:r>
      <w:r w:rsidRPr="00AB35D7">
        <w:rPr>
          <w:rFonts w:asciiTheme="minorHAnsi" w:hAnsiTheme="minorHAnsi" w:cstheme="minorHAnsi"/>
          <w:sz w:val="22"/>
          <w:szCs w:val="22"/>
        </w:rPr>
        <w:tab/>
        <w:t xml:space="preserve">Members of the Valuation of Securities (E) Task Force </w:t>
      </w:r>
    </w:p>
    <w:p w14:paraId="6196D5F5" w14:textId="70229373" w:rsidR="007A6EAF" w:rsidRPr="00AB35D7" w:rsidRDefault="007A6EAF" w:rsidP="008A4D40">
      <w:pPr>
        <w:spacing w:before="0" w:after="160" w:line="280" w:lineRule="exact"/>
        <w:ind w:left="720" w:hanging="720"/>
        <w:jc w:val="left"/>
        <w:rPr>
          <w:rFonts w:asciiTheme="minorHAnsi" w:hAnsiTheme="minorHAnsi" w:cstheme="minorHAnsi"/>
          <w:sz w:val="22"/>
          <w:szCs w:val="22"/>
        </w:rPr>
      </w:pPr>
      <w:r w:rsidRPr="00AB35D7">
        <w:rPr>
          <w:rFonts w:asciiTheme="minorHAnsi" w:hAnsiTheme="minorHAnsi" w:cstheme="minorHAnsi"/>
          <w:sz w:val="22"/>
          <w:szCs w:val="22"/>
        </w:rPr>
        <w:t>FROM:</w:t>
      </w:r>
      <w:r w:rsidRPr="00AB35D7">
        <w:rPr>
          <w:rFonts w:asciiTheme="minorHAnsi" w:hAnsiTheme="minorHAnsi" w:cstheme="minorHAnsi"/>
          <w:sz w:val="22"/>
          <w:szCs w:val="22"/>
        </w:rPr>
        <w:tab/>
      </w:r>
      <w:r w:rsidR="008A4D40" w:rsidRPr="00AB35D7">
        <w:rPr>
          <w:rFonts w:asciiTheme="minorHAnsi" w:hAnsiTheme="minorHAnsi" w:cstheme="minorHAnsi"/>
          <w:sz w:val="22"/>
          <w:szCs w:val="22"/>
        </w:rPr>
        <w:t>Eric Kolchinsky, Director, NAIC Structured Securities Group (SSG) and Capital Markets Bureau</w:t>
      </w:r>
      <w:r w:rsidR="008A4D40">
        <w:rPr>
          <w:rFonts w:asciiTheme="minorHAnsi" w:hAnsiTheme="minorHAnsi" w:cstheme="minorHAnsi"/>
          <w:sz w:val="22"/>
          <w:szCs w:val="22"/>
        </w:rPr>
        <w:br/>
      </w:r>
      <w:r w:rsidRPr="00AB35D7">
        <w:rPr>
          <w:rFonts w:asciiTheme="minorHAnsi" w:hAnsiTheme="minorHAnsi" w:cstheme="minorHAnsi"/>
          <w:sz w:val="22"/>
          <w:szCs w:val="22"/>
        </w:rPr>
        <w:t>Charles A. Therriault, Director, NAIC Securities Valuation Office (SVO)</w:t>
      </w:r>
      <w:r w:rsidRPr="00AB35D7">
        <w:rPr>
          <w:rFonts w:asciiTheme="minorHAnsi" w:hAnsiTheme="minorHAnsi" w:cstheme="minorHAnsi"/>
          <w:sz w:val="22"/>
          <w:szCs w:val="22"/>
        </w:rPr>
        <w:br/>
        <w:t>Marc Perlman, Managing Investment Counsel, NAIC Securities Valuation Office (SVO)</w:t>
      </w:r>
    </w:p>
    <w:p w14:paraId="40C35488" w14:textId="130BC9FA" w:rsidR="007A6EAF" w:rsidRPr="00AB35D7" w:rsidRDefault="007A6EAF" w:rsidP="006E1CB8">
      <w:pPr>
        <w:spacing w:before="0" w:after="160" w:line="280" w:lineRule="exact"/>
        <w:ind w:left="720" w:hanging="720"/>
        <w:jc w:val="left"/>
        <w:rPr>
          <w:rFonts w:asciiTheme="minorHAnsi" w:hAnsiTheme="minorHAnsi" w:cstheme="minorHAnsi"/>
          <w:sz w:val="22"/>
          <w:szCs w:val="22"/>
        </w:rPr>
      </w:pPr>
      <w:r w:rsidRPr="00AB35D7">
        <w:rPr>
          <w:rFonts w:asciiTheme="minorHAnsi" w:hAnsiTheme="minorHAnsi" w:cstheme="minorHAnsi"/>
          <w:sz w:val="22"/>
          <w:szCs w:val="22"/>
        </w:rPr>
        <w:t>RE:</w:t>
      </w:r>
      <w:r w:rsidRPr="00AB35D7">
        <w:rPr>
          <w:rFonts w:asciiTheme="minorHAnsi" w:hAnsiTheme="minorHAnsi" w:cstheme="minorHAnsi"/>
          <w:sz w:val="22"/>
          <w:szCs w:val="22"/>
        </w:rPr>
        <w:tab/>
        <w:t xml:space="preserve">Amendment to the Purposes and Procedures Manual of the NAIC Investment Analysis Office (the “P&amp;P Manual”) </w:t>
      </w:r>
      <w:r w:rsidR="00AE41C1">
        <w:rPr>
          <w:rFonts w:asciiTheme="minorHAnsi" w:hAnsiTheme="minorHAnsi" w:cstheme="minorHAnsi"/>
          <w:sz w:val="22"/>
          <w:szCs w:val="22"/>
        </w:rPr>
        <w:t>to Include C</w:t>
      </w:r>
      <w:r w:rsidR="00AE41C1" w:rsidRPr="00AE41C1">
        <w:rPr>
          <w:rFonts w:asciiTheme="minorHAnsi" w:hAnsiTheme="minorHAnsi" w:cstheme="minorHAnsi"/>
          <w:sz w:val="22"/>
          <w:szCs w:val="22"/>
        </w:rPr>
        <w:t xml:space="preserve">ollateralized </w:t>
      </w:r>
      <w:r w:rsidR="00AE41C1">
        <w:rPr>
          <w:rFonts w:asciiTheme="minorHAnsi" w:hAnsiTheme="minorHAnsi" w:cstheme="minorHAnsi"/>
          <w:sz w:val="22"/>
          <w:szCs w:val="22"/>
        </w:rPr>
        <w:t>L</w:t>
      </w:r>
      <w:r w:rsidR="00AE41C1" w:rsidRPr="00AE41C1">
        <w:rPr>
          <w:rFonts w:asciiTheme="minorHAnsi" w:hAnsiTheme="minorHAnsi" w:cstheme="minorHAnsi"/>
          <w:sz w:val="22"/>
          <w:szCs w:val="22"/>
        </w:rPr>
        <w:t xml:space="preserve">oan </w:t>
      </w:r>
      <w:r w:rsidR="00AE41C1">
        <w:rPr>
          <w:rFonts w:asciiTheme="minorHAnsi" w:hAnsiTheme="minorHAnsi" w:cstheme="minorHAnsi"/>
          <w:sz w:val="22"/>
          <w:szCs w:val="22"/>
        </w:rPr>
        <w:t>O</w:t>
      </w:r>
      <w:r w:rsidR="00AE41C1" w:rsidRPr="00AE41C1">
        <w:rPr>
          <w:rFonts w:asciiTheme="minorHAnsi" w:hAnsiTheme="minorHAnsi" w:cstheme="minorHAnsi"/>
          <w:sz w:val="22"/>
          <w:szCs w:val="22"/>
        </w:rPr>
        <w:t>bligation</w:t>
      </w:r>
      <w:r w:rsidR="00AE41C1">
        <w:rPr>
          <w:rFonts w:asciiTheme="minorHAnsi" w:hAnsiTheme="minorHAnsi" w:cstheme="minorHAnsi"/>
          <w:sz w:val="22"/>
          <w:szCs w:val="22"/>
        </w:rPr>
        <w:t>s</w:t>
      </w:r>
      <w:r w:rsidR="00AE41C1" w:rsidRPr="00AE41C1">
        <w:rPr>
          <w:rFonts w:asciiTheme="minorHAnsi" w:hAnsiTheme="minorHAnsi" w:cstheme="minorHAnsi"/>
          <w:sz w:val="22"/>
          <w:szCs w:val="22"/>
        </w:rPr>
        <w:t xml:space="preserve"> (CLO)</w:t>
      </w:r>
      <w:r w:rsidR="00353826">
        <w:rPr>
          <w:rFonts w:asciiTheme="minorHAnsi" w:hAnsiTheme="minorHAnsi" w:cstheme="minorHAnsi"/>
          <w:sz w:val="22"/>
          <w:szCs w:val="22"/>
        </w:rPr>
        <w:t xml:space="preserve"> as a Financially Model Security in Part Four</w:t>
      </w:r>
    </w:p>
    <w:p w14:paraId="208EC923" w14:textId="77777777" w:rsidR="007A6EAF" w:rsidRPr="00AB35D7" w:rsidRDefault="007A6EAF" w:rsidP="006E1CB8">
      <w:pPr>
        <w:pBdr>
          <w:bottom w:val="single" w:sz="4" w:space="1" w:color="auto"/>
        </w:pBdr>
        <w:spacing w:before="0" w:after="160" w:line="280" w:lineRule="exact"/>
        <w:jc w:val="left"/>
        <w:rPr>
          <w:rFonts w:cstheme="minorHAnsi"/>
          <w:sz w:val="22"/>
          <w:szCs w:val="22"/>
        </w:rPr>
      </w:pPr>
      <w:r w:rsidRPr="00AB35D7">
        <w:rPr>
          <w:rFonts w:asciiTheme="minorHAnsi" w:hAnsiTheme="minorHAnsi" w:cstheme="minorHAnsi"/>
          <w:sz w:val="22"/>
          <w:szCs w:val="22"/>
        </w:rPr>
        <w:t>DATE:</w:t>
      </w:r>
      <w:r w:rsidRPr="00AB35D7">
        <w:rPr>
          <w:rFonts w:asciiTheme="minorHAnsi" w:hAnsiTheme="minorHAnsi" w:cstheme="minorHAnsi"/>
          <w:sz w:val="22"/>
          <w:szCs w:val="22"/>
        </w:rPr>
        <w:tab/>
        <w:t>September 16, 2022</w:t>
      </w:r>
      <w:r w:rsidRPr="00AB35D7">
        <w:rPr>
          <w:rFonts w:cstheme="minorHAnsi"/>
          <w:sz w:val="22"/>
          <w:szCs w:val="22"/>
        </w:rPr>
        <w:tab/>
      </w:r>
    </w:p>
    <w:p w14:paraId="20C7147D" w14:textId="157809DE" w:rsidR="000062B1" w:rsidRPr="00AB35D7" w:rsidRDefault="007A6EAF" w:rsidP="000062B1">
      <w:pPr>
        <w:spacing w:before="0" w:after="160" w:line="259" w:lineRule="auto"/>
        <w:rPr>
          <w:rFonts w:asciiTheme="minorHAnsi" w:hAnsiTheme="minorHAnsi" w:cstheme="minorBidi"/>
          <w:sz w:val="22"/>
          <w:szCs w:val="22"/>
        </w:rPr>
      </w:pPr>
      <w:r w:rsidRPr="003754B1">
        <w:rPr>
          <w:rFonts w:asciiTheme="minorHAnsi" w:hAnsiTheme="minorHAnsi" w:cstheme="minorBidi"/>
          <w:b/>
          <w:bCs/>
          <w:sz w:val="22"/>
          <w:szCs w:val="22"/>
        </w:rPr>
        <w:t>Summary</w:t>
      </w:r>
      <w:r w:rsidRPr="00AB35D7">
        <w:rPr>
          <w:rFonts w:asciiTheme="minorHAnsi" w:hAnsiTheme="minorHAnsi" w:cstheme="minorBidi"/>
          <w:sz w:val="22"/>
          <w:szCs w:val="22"/>
        </w:rPr>
        <w:t xml:space="preserve"> –</w:t>
      </w:r>
      <w:r w:rsidR="003C7A4E">
        <w:rPr>
          <w:rFonts w:asciiTheme="minorHAnsi" w:hAnsiTheme="minorHAnsi" w:cstheme="minorBidi"/>
          <w:sz w:val="22"/>
          <w:szCs w:val="22"/>
        </w:rPr>
        <w:t xml:space="preserve"> </w:t>
      </w:r>
      <w:r w:rsidR="00DC1F3C" w:rsidRPr="00DC1F3C">
        <w:rPr>
          <w:rFonts w:asciiTheme="minorHAnsi" w:hAnsiTheme="minorHAnsi" w:cstheme="minorBidi"/>
          <w:sz w:val="22"/>
          <w:szCs w:val="22"/>
        </w:rPr>
        <w:t>A collateralized loan obligation (CLO) is type of structured security backed by a pool of debt, typically corporate loans with low credit ratings.</w:t>
      </w:r>
      <w:r w:rsidR="00DC1F3C">
        <w:rPr>
          <w:rFonts w:asciiTheme="minorHAnsi" w:hAnsiTheme="minorHAnsi" w:cstheme="minorBidi"/>
          <w:sz w:val="22"/>
          <w:szCs w:val="22"/>
        </w:rPr>
        <w:t xml:space="preserve">  </w:t>
      </w:r>
      <w:r w:rsidR="003C7A4E" w:rsidRPr="003C7A4E">
        <w:rPr>
          <w:rFonts w:asciiTheme="minorHAnsi" w:hAnsiTheme="minorHAnsi" w:cstheme="minorBidi"/>
          <w:sz w:val="22"/>
          <w:szCs w:val="22"/>
        </w:rPr>
        <w:t>An insurer that purchases every tranche of a CLO holds the exact same investment risk as if it had directly purchased the entire pool of loans backing the CLO. The aggregate risk-based capital (RBC) factor for owning all of the CLO tranches should be the same as that required for owning all of the underlying loan collateral.  If it is less, it means there is risk-based capital (RBC) arbitrage.</w:t>
      </w:r>
      <w:r w:rsidR="00A1131B">
        <w:rPr>
          <w:rFonts w:asciiTheme="minorHAnsi" w:hAnsiTheme="minorHAnsi" w:cstheme="minorBidi"/>
          <w:sz w:val="22"/>
          <w:szCs w:val="22"/>
        </w:rPr>
        <w:t xml:space="preserve">  As noted in the </w:t>
      </w:r>
      <w:r w:rsidR="00AF52F2">
        <w:rPr>
          <w:rFonts w:asciiTheme="minorHAnsi" w:hAnsiTheme="minorHAnsi" w:cstheme="minorBidi"/>
          <w:sz w:val="22"/>
          <w:szCs w:val="22"/>
        </w:rPr>
        <w:t xml:space="preserve">Investment Analysis Office’s </w:t>
      </w:r>
      <w:r w:rsidR="001137A1">
        <w:rPr>
          <w:rFonts w:asciiTheme="minorHAnsi" w:hAnsiTheme="minorHAnsi" w:cstheme="minorBidi"/>
          <w:sz w:val="22"/>
          <w:szCs w:val="22"/>
        </w:rPr>
        <w:t xml:space="preserve">(IAO) </w:t>
      </w:r>
      <w:r w:rsidR="00AF52F2">
        <w:rPr>
          <w:rFonts w:asciiTheme="minorHAnsi" w:hAnsiTheme="minorHAnsi" w:cstheme="minorBidi"/>
          <w:sz w:val="22"/>
          <w:szCs w:val="22"/>
        </w:rPr>
        <w:t>memo of May 25, 2022, “</w:t>
      </w:r>
      <w:r w:rsidR="004560CC" w:rsidRPr="004560CC">
        <w:rPr>
          <w:rFonts w:asciiTheme="minorHAnsi" w:hAnsiTheme="minorHAnsi" w:cstheme="minorBidi"/>
          <w:sz w:val="22"/>
          <w:szCs w:val="22"/>
        </w:rPr>
        <w:t xml:space="preserve">Risk Assessment of Structured Securities </w:t>
      </w:r>
      <w:r w:rsidR="004560CC">
        <w:rPr>
          <w:rFonts w:asciiTheme="minorHAnsi" w:hAnsiTheme="minorHAnsi" w:cstheme="minorBidi"/>
          <w:sz w:val="22"/>
          <w:szCs w:val="22"/>
        </w:rPr>
        <w:t>–</w:t>
      </w:r>
      <w:r w:rsidR="004560CC" w:rsidRPr="004560CC">
        <w:rPr>
          <w:rFonts w:asciiTheme="minorHAnsi" w:hAnsiTheme="minorHAnsi" w:cstheme="minorBidi"/>
          <w:sz w:val="22"/>
          <w:szCs w:val="22"/>
        </w:rPr>
        <w:t xml:space="preserve"> CLOs</w:t>
      </w:r>
      <w:r w:rsidR="004560CC">
        <w:rPr>
          <w:rFonts w:asciiTheme="minorHAnsi" w:hAnsiTheme="minorHAnsi" w:cstheme="minorBidi"/>
          <w:sz w:val="22"/>
          <w:szCs w:val="22"/>
        </w:rPr>
        <w:t xml:space="preserve">”, </w:t>
      </w:r>
      <w:r w:rsidR="00156756">
        <w:rPr>
          <w:rFonts w:asciiTheme="minorHAnsi" w:hAnsiTheme="minorHAnsi" w:cstheme="minorBidi"/>
          <w:sz w:val="22"/>
          <w:szCs w:val="22"/>
        </w:rPr>
        <w:t>i</w:t>
      </w:r>
      <w:r w:rsidR="00156756" w:rsidRPr="00156756">
        <w:rPr>
          <w:rFonts w:asciiTheme="minorHAnsi" w:hAnsiTheme="minorHAnsi" w:cstheme="minorBidi"/>
          <w:sz w:val="22"/>
          <w:szCs w:val="22"/>
        </w:rPr>
        <w:t>t is currently possible to materially (and artificially) reduce C1 capital requirements just by securitizing a pool of assets.</w:t>
      </w:r>
    </w:p>
    <w:p w14:paraId="3BB74195" w14:textId="230BB65D" w:rsidR="00BC5509" w:rsidRPr="00BC5509" w:rsidRDefault="007A6EAF" w:rsidP="00BC5509">
      <w:pPr>
        <w:spacing w:before="0" w:after="160" w:line="259" w:lineRule="auto"/>
        <w:rPr>
          <w:rFonts w:asciiTheme="minorHAnsi" w:hAnsiTheme="minorHAnsi" w:cstheme="minorBidi"/>
          <w:sz w:val="22"/>
          <w:szCs w:val="22"/>
        </w:rPr>
      </w:pPr>
      <w:r w:rsidRPr="000062B1">
        <w:rPr>
          <w:rFonts w:asciiTheme="minorHAnsi" w:hAnsiTheme="minorHAnsi" w:cstheme="minorBidi"/>
          <w:b/>
          <w:bCs/>
          <w:sz w:val="22"/>
          <w:szCs w:val="22"/>
        </w:rPr>
        <w:t>Recommendation</w:t>
      </w:r>
      <w:r w:rsidRPr="00AB35D7">
        <w:rPr>
          <w:rFonts w:asciiTheme="minorHAnsi" w:hAnsiTheme="minorHAnsi" w:cstheme="minorBidi"/>
          <w:sz w:val="22"/>
          <w:szCs w:val="22"/>
        </w:rPr>
        <w:t xml:space="preserve"> – </w:t>
      </w:r>
      <w:r w:rsidR="00DB6F11" w:rsidRPr="00BC5509">
        <w:rPr>
          <w:rFonts w:asciiTheme="minorHAnsi" w:hAnsiTheme="minorHAnsi" w:cstheme="minorBidi"/>
          <w:sz w:val="22"/>
          <w:szCs w:val="22"/>
        </w:rPr>
        <w:t xml:space="preserve">The Investment Analysis Office recommends the Task Force </w:t>
      </w:r>
      <w:r w:rsidR="00EB6F52">
        <w:rPr>
          <w:rFonts w:asciiTheme="minorHAnsi" w:hAnsiTheme="minorHAnsi" w:cstheme="minorBidi"/>
          <w:sz w:val="22"/>
          <w:szCs w:val="22"/>
        </w:rPr>
        <w:t xml:space="preserve">assign the </w:t>
      </w:r>
      <w:r w:rsidR="00187480">
        <w:rPr>
          <w:rFonts w:asciiTheme="minorHAnsi" w:hAnsiTheme="minorHAnsi" w:cstheme="minorBidi"/>
          <w:sz w:val="22"/>
          <w:szCs w:val="22"/>
        </w:rPr>
        <w:t>Structured</w:t>
      </w:r>
      <w:r w:rsidR="00EB6F52">
        <w:rPr>
          <w:rFonts w:asciiTheme="minorHAnsi" w:hAnsiTheme="minorHAnsi" w:cstheme="minorBidi"/>
          <w:sz w:val="22"/>
          <w:szCs w:val="22"/>
        </w:rPr>
        <w:t xml:space="preserve"> Securities Group </w:t>
      </w:r>
      <w:r w:rsidR="00187480">
        <w:rPr>
          <w:rFonts w:asciiTheme="minorHAnsi" w:hAnsiTheme="minorHAnsi" w:cstheme="minorBidi"/>
          <w:sz w:val="22"/>
          <w:szCs w:val="22"/>
        </w:rPr>
        <w:t xml:space="preserve">(SSG) </w:t>
      </w:r>
      <w:r w:rsidR="00EB6F52">
        <w:rPr>
          <w:rFonts w:asciiTheme="minorHAnsi" w:hAnsiTheme="minorHAnsi" w:cstheme="minorBidi"/>
          <w:sz w:val="22"/>
          <w:szCs w:val="22"/>
        </w:rPr>
        <w:t xml:space="preserve">the </w:t>
      </w:r>
      <w:r w:rsidR="009D4161">
        <w:rPr>
          <w:rFonts w:asciiTheme="minorHAnsi" w:hAnsiTheme="minorHAnsi" w:cstheme="minorBidi"/>
          <w:sz w:val="22"/>
          <w:szCs w:val="22"/>
        </w:rPr>
        <w:t>responsibility of financially model</w:t>
      </w:r>
      <w:r w:rsidR="00277D2C">
        <w:rPr>
          <w:rFonts w:asciiTheme="minorHAnsi" w:hAnsiTheme="minorHAnsi" w:cstheme="minorBidi"/>
          <w:sz w:val="22"/>
          <w:szCs w:val="22"/>
        </w:rPr>
        <w:t>ing</w:t>
      </w:r>
      <w:r w:rsidR="009D4161">
        <w:rPr>
          <w:rFonts w:asciiTheme="minorHAnsi" w:hAnsiTheme="minorHAnsi" w:cstheme="minorBidi"/>
          <w:sz w:val="22"/>
          <w:szCs w:val="22"/>
        </w:rPr>
        <w:t xml:space="preserve"> </w:t>
      </w:r>
      <w:r w:rsidR="00DB6F11" w:rsidRPr="00BC5509">
        <w:rPr>
          <w:rFonts w:asciiTheme="minorHAnsi" w:hAnsiTheme="minorHAnsi" w:cstheme="minorBidi"/>
          <w:sz w:val="22"/>
          <w:szCs w:val="22"/>
        </w:rPr>
        <w:t>CLO investments.</w:t>
      </w:r>
      <w:r w:rsidR="009D4161">
        <w:rPr>
          <w:rFonts w:asciiTheme="minorHAnsi" w:hAnsiTheme="minorHAnsi" w:cstheme="minorBidi"/>
          <w:sz w:val="22"/>
          <w:szCs w:val="22"/>
        </w:rPr>
        <w:t xml:space="preserve">  </w:t>
      </w:r>
      <w:r w:rsidR="00BC5509" w:rsidRPr="00BC5509">
        <w:rPr>
          <w:rFonts w:asciiTheme="minorHAnsi" w:hAnsiTheme="minorHAnsi" w:cstheme="minorBidi"/>
          <w:sz w:val="22"/>
          <w:szCs w:val="22"/>
        </w:rPr>
        <w:t xml:space="preserve">SSG can model CLO investments and evaluate all tranche level losses across all debt and equity tranches under a series of calibrated and weighted collateral stress scenarios to assign NAIC Designations </w:t>
      </w:r>
      <w:r w:rsidR="00D106BE" w:rsidRPr="00D106BE">
        <w:rPr>
          <w:rFonts w:asciiTheme="minorHAnsi" w:hAnsiTheme="minorHAnsi" w:cstheme="minorBidi"/>
          <w:sz w:val="22"/>
          <w:szCs w:val="22"/>
        </w:rPr>
        <w:t xml:space="preserve">that create equivalency between securitization and direct holdings, thereby </w:t>
      </w:r>
      <w:r w:rsidR="00BC5509" w:rsidRPr="00BC5509">
        <w:rPr>
          <w:rFonts w:asciiTheme="minorHAnsi" w:hAnsiTheme="minorHAnsi" w:cstheme="minorBidi"/>
          <w:sz w:val="22"/>
          <w:szCs w:val="22"/>
        </w:rPr>
        <w:t>eliminat</w:t>
      </w:r>
      <w:r w:rsidR="00C534FB">
        <w:rPr>
          <w:rFonts w:asciiTheme="minorHAnsi" w:hAnsiTheme="minorHAnsi" w:cstheme="minorBidi"/>
          <w:sz w:val="22"/>
          <w:szCs w:val="22"/>
        </w:rPr>
        <w:t>ing</w:t>
      </w:r>
      <w:r w:rsidR="00BC5509" w:rsidRPr="00BC5509">
        <w:rPr>
          <w:rFonts w:asciiTheme="minorHAnsi" w:hAnsiTheme="minorHAnsi" w:cstheme="minorBidi"/>
          <w:sz w:val="22"/>
          <w:szCs w:val="22"/>
        </w:rPr>
        <w:t xml:space="preserve"> RBC arbitrage.  </w:t>
      </w:r>
    </w:p>
    <w:p w14:paraId="7D453829" w14:textId="215CAC91" w:rsidR="007A6EAF" w:rsidRPr="00AB35D7" w:rsidRDefault="00CA0D07" w:rsidP="00BC5509">
      <w:pPr>
        <w:spacing w:before="0" w:after="160" w:line="259" w:lineRule="auto"/>
        <w:rPr>
          <w:rFonts w:asciiTheme="minorHAnsi" w:hAnsiTheme="minorHAnsi" w:cstheme="minorHAnsi"/>
          <w:sz w:val="22"/>
          <w:szCs w:val="22"/>
        </w:rPr>
      </w:pPr>
      <w:r>
        <w:rPr>
          <w:rFonts w:asciiTheme="minorHAnsi" w:hAnsiTheme="minorHAnsi" w:cstheme="minorBidi"/>
          <w:sz w:val="22"/>
          <w:szCs w:val="22"/>
        </w:rPr>
        <w:t>The</w:t>
      </w:r>
      <w:r w:rsidR="009576AA">
        <w:rPr>
          <w:rFonts w:asciiTheme="minorHAnsi" w:hAnsiTheme="minorHAnsi" w:cstheme="minorBidi"/>
          <w:sz w:val="22"/>
          <w:szCs w:val="22"/>
        </w:rPr>
        <w:t xml:space="preserve"> </w:t>
      </w:r>
      <w:r w:rsidR="00BC5509" w:rsidRPr="00BC5509">
        <w:rPr>
          <w:rFonts w:asciiTheme="minorHAnsi" w:hAnsiTheme="minorHAnsi" w:cstheme="minorBidi"/>
          <w:sz w:val="22"/>
          <w:szCs w:val="22"/>
        </w:rPr>
        <w:t xml:space="preserve">Task Force </w:t>
      </w:r>
      <w:r>
        <w:rPr>
          <w:rFonts w:asciiTheme="minorHAnsi" w:hAnsiTheme="minorHAnsi" w:cstheme="minorBidi"/>
          <w:sz w:val="22"/>
          <w:szCs w:val="22"/>
        </w:rPr>
        <w:t>sent a referral</w:t>
      </w:r>
      <w:r w:rsidR="00BC5509" w:rsidRPr="00BC5509">
        <w:rPr>
          <w:rFonts w:asciiTheme="minorHAnsi" w:hAnsiTheme="minorHAnsi" w:cstheme="minorBidi"/>
          <w:sz w:val="22"/>
          <w:szCs w:val="22"/>
        </w:rPr>
        <w:t xml:space="preserve"> to the Capital Adequacy (E) Task Force (CATF) and its Risk-Based Capital Investment Risk and Evaluation (E) Working Group (RBCIREWG) request</w:t>
      </w:r>
      <w:r w:rsidR="0080267B">
        <w:rPr>
          <w:rFonts w:asciiTheme="minorHAnsi" w:hAnsiTheme="minorHAnsi" w:cstheme="minorBidi"/>
          <w:sz w:val="22"/>
          <w:szCs w:val="22"/>
        </w:rPr>
        <w:t>ing</w:t>
      </w:r>
      <w:r w:rsidR="00BC5509" w:rsidRPr="00BC5509">
        <w:rPr>
          <w:rFonts w:asciiTheme="minorHAnsi" w:hAnsiTheme="minorHAnsi" w:cstheme="minorBidi"/>
          <w:sz w:val="22"/>
          <w:szCs w:val="22"/>
        </w:rPr>
        <w:t xml:space="preserve"> those groups consider adding two new RBC factors.  These </w:t>
      </w:r>
      <w:r w:rsidR="005042AC">
        <w:rPr>
          <w:rFonts w:asciiTheme="minorHAnsi" w:hAnsiTheme="minorHAnsi" w:cstheme="minorBidi"/>
          <w:sz w:val="22"/>
          <w:szCs w:val="22"/>
        </w:rPr>
        <w:t xml:space="preserve">recommended </w:t>
      </w:r>
      <w:r w:rsidR="00BC5509" w:rsidRPr="00BC5509">
        <w:rPr>
          <w:rFonts w:asciiTheme="minorHAnsi" w:hAnsiTheme="minorHAnsi" w:cstheme="minorBidi"/>
          <w:sz w:val="22"/>
          <w:szCs w:val="22"/>
        </w:rPr>
        <w:t xml:space="preserve">new RBC factors </w:t>
      </w:r>
      <w:r w:rsidR="00A708BF">
        <w:rPr>
          <w:rFonts w:asciiTheme="minorHAnsi" w:hAnsiTheme="minorHAnsi" w:cstheme="minorBidi"/>
          <w:sz w:val="22"/>
          <w:szCs w:val="22"/>
        </w:rPr>
        <w:t>would</w:t>
      </w:r>
      <w:r w:rsidR="00A708BF" w:rsidRPr="00BC5509">
        <w:rPr>
          <w:rFonts w:asciiTheme="minorHAnsi" w:hAnsiTheme="minorHAnsi" w:cstheme="minorBidi"/>
          <w:sz w:val="22"/>
          <w:szCs w:val="22"/>
        </w:rPr>
        <w:t xml:space="preserve"> </w:t>
      </w:r>
      <w:r w:rsidR="00BC5509" w:rsidRPr="00BC5509">
        <w:rPr>
          <w:rFonts w:asciiTheme="minorHAnsi" w:hAnsiTheme="minorHAnsi" w:cstheme="minorBidi"/>
          <w:sz w:val="22"/>
          <w:szCs w:val="22"/>
        </w:rPr>
        <w:t xml:space="preserve">account for the tail risk in any structured finance tranche.  Staff </w:t>
      </w:r>
      <w:r w:rsidR="006D386E">
        <w:rPr>
          <w:rFonts w:asciiTheme="minorHAnsi" w:hAnsiTheme="minorHAnsi" w:cstheme="minorBidi"/>
          <w:sz w:val="22"/>
          <w:szCs w:val="22"/>
        </w:rPr>
        <w:t>also recommends</w:t>
      </w:r>
      <w:r w:rsidR="00BC5509" w:rsidRPr="00BC5509">
        <w:rPr>
          <w:rFonts w:asciiTheme="minorHAnsi" w:hAnsiTheme="minorHAnsi" w:cstheme="minorBidi"/>
          <w:sz w:val="22"/>
          <w:szCs w:val="22"/>
        </w:rPr>
        <w:t xml:space="preserve"> adding NAIC Designation Categories (e.g. 6.A, 6.B and 6.C) with </w:t>
      </w:r>
      <w:r w:rsidR="00EF3FE7">
        <w:rPr>
          <w:rFonts w:asciiTheme="minorHAnsi" w:hAnsiTheme="minorHAnsi" w:cstheme="minorBidi"/>
          <w:sz w:val="22"/>
          <w:szCs w:val="22"/>
        </w:rPr>
        <w:t xml:space="preserve">possible interim </w:t>
      </w:r>
      <w:r w:rsidR="00BC5509" w:rsidRPr="00BC5509">
        <w:rPr>
          <w:rFonts w:asciiTheme="minorHAnsi" w:hAnsiTheme="minorHAnsi" w:cstheme="minorBidi"/>
          <w:sz w:val="22"/>
          <w:szCs w:val="22"/>
        </w:rPr>
        <w:t>RBC factors of 30%, 75% and 100%, respectively</w:t>
      </w:r>
      <w:r w:rsidR="005F69BA">
        <w:rPr>
          <w:rFonts w:asciiTheme="minorHAnsi" w:hAnsiTheme="minorHAnsi" w:cstheme="minorBidi"/>
          <w:sz w:val="22"/>
          <w:szCs w:val="22"/>
        </w:rPr>
        <w:t xml:space="preserve">, until </w:t>
      </w:r>
      <w:r w:rsidR="00FD554D">
        <w:rPr>
          <w:rFonts w:asciiTheme="minorHAnsi" w:hAnsiTheme="minorHAnsi" w:cstheme="minorBidi"/>
          <w:sz w:val="22"/>
          <w:szCs w:val="22"/>
        </w:rPr>
        <w:t xml:space="preserve">those groups can further study structured securities. </w:t>
      </w:r>
      <w:r w:rsidR="00EC5909">
        <w:rPr>
          <w:rFonts w:asciiTheme="minorHAnsi" w:hAnsiTheme="minorHAnsi" w:cstheme="minorBidi"/>
          <w:sz w:val="22"/>
          <w:szCs w:val="22"/>
        </w:rPr>
        <w:t xml:space="preserve"> </w:t>
      </w:r>
      <w:r w:rsidR="008C4841">
        <w:rPr>
          <w:rFonts w:asciiTheme="minorHAnsi" w:hAnsiTheme="minorHAnsi" w:cstheme="minorBidi"/>
          <w:sz w:val="22"/>
          <w:szCs w:val="22"/>
        </w:rPr>
        <w:t xml:space="preserve">Staff request approval to </w:t>
      </w:r>
      <w:r w:rsidR="00EC5909">
        <w:rPr>
          <w:rFonts w:asciiTheme="minorHAnsi" w:hAnsiTheme="minorHAnsi" w:cstheme="minorBidi"/>
          <w:sz w:val="22"/>
          <w:szCs w:val="22"/>
        </w:rPr>
        <w:t xml:space="preserve">draft a Blanks proposal for the new </w:t>
      </w:r>
      <w:r w:rsidR="00EC5909" w:rsidRPr="00BC5509">
        <w:rPr>
          <w:rFonts w:asciiTheme="minorHAnsi" w:hAnsiTheme="minorHAnsi" w:cstheme="minorBidi"/>
          <w:sz w:val="22"/>
          <w:szCs w:val="22"/>
        </w:rPr>
        <w:t>NAIC Designation Categories</w:t>
      </w:r>
      <w:r w:rsidR="00EC5909">
        <w:rPr>
          <w:rFonts w:asciiTheme="minorHAnsi" w:hAnsiTheme="minorHAnsi" w:cstheme="minorBidi"/>
          <w:sz w:val="22"/>
          <w:szCs w:val="22"/>
        </w:rPr>
        <w:t xml:space="preserve">. </w:t>
      </w:r>
    </w:p>
    <w:p w14:paraId="17B8108A" w14:textId="6F177167" w:rsidR="007A6EAF" w:rsidRPr="00AB35D7" w:rsidRDefault="007A6EAF" w:rsidP="007A6EAF">
      <w:pPr>
        <w:spacing w:line="240" w:lineRule="auto"/>
        <w:rPr>
          <w:rFonts w:eastAsia="Calibri"/>
          <w:b/>
          <w:bCs/>
          <w:smallCaps/>
          <w:color w:val="000000"/>
          <w:sz w:val="22"/>
          <w:szCs w:val="22"/>
        </w:rPr>
      </w:pPr>
      <w:r w:rsidRPr="00AB35D7">
        <w:rPr>
          <w:rFonts w:asciiTheme="minorHAnsi" w:hAnsiTheme="minorHAnsi" w:cstheme="minorHAnsi"/>
          <w:b/>
          <w:bCs/>
          <w:sz w:val="22"/>
          <w:szCs w:val="22"/>
        </w:rPr>
        <w:t xml:space="preserve">Proposed Amendment - </w:t>
      </w:r>
      <w:r w:rsidRPr="00AB35D7">
        <w:rPr>
          <w:rFonts w:asciiTheme="minorHAnsi" w:hAnsiTheme="minorHAnsi" w:cstheme="minorHAnsi"/>
          <w:sz w:val="22"/>
          <w:szCs w:val="22"/>
        </w:rPr>
        <w:t xml:space="preserve">The proposed text changes to P&amp;P Manual are shown below with additions in </w:t>
      </w:r>
      <w:r w:rsidRPr="00AB35D7">
        <w:rPr>
          <w:rFonts w:asciiTheme="minorHAnsi" w:hAnsiTheme="minorHAnsi" w:cstheme="minorHAnsi"/>
          <w:color w:val="FF0000"/>
          <w:sz w:val="22"/>
          <w:szCs w:val="22"/>
          <w:u w:val="single"/>
        </w:rPr>
        <w:t>red underline</w:t>
      </w:r>
      <w:r w:rsidRPr="00AB35D7">
        <w:rPr>
          <w:rFonts w:asciiTheme="minorHAnsi" w:hAnsiTheme="minorHAnsi" w:cstheme="minorHAnsi"/>
          <w:sz w:val="22"/>
          <w:szCs w:val="22"/>
        </w:rPr>
        <w:t xml:space="preserve">, deletions in </w:t>
      </w:r>
      <w:r w:rsidRPr="00AB35D7">
        <w:rPr>
          <w:rFonts w:asciiTheme="minorHAnsi" w:hAnsiTheme="minorHAnsi" w:cstheme="minorHAnsi"/>
          <w:strike/>
          <w:color w:val="FF0000"/>
          <w:sz w:val="22"/>
          <w:szCs w:val="22"/>
        </w:rPr>
        <w:t>red strikethrough</w:t>
      </w:r>
      <w:r w:rsidRPr="00AB35D7">
        <w:rPr>
          <w:rFonts w:asciiTheme="minorHAnsi" w:hAnsiTheme="minorHAnsi" w:cstheme="minorHAnsi"/>
          <w:sz w:val="22"/>
          <w:szCs w:val="22"/>
        </w:rPr>
        <w:t xml:space="preserve"> as it would appear in the 2022 P&amp;P Manual format.</w:t>
      </w:r>
      <w:r w:rsidRPr="00AB35D7">
        <w:rPr>
          <w:sz w:val="22"/>
          <w:szCs w:val="22"/>
        </w:rPr>
        <w:br w:type="page"/>
      </w:r>
    </w:p>
    <w:p w14:paraId="353D0C5D" w14:textId="53CDC2D4" w:rsidR="009B47B0" w:rsidRPr="005C70F2" w:rsidRDefault="009B47B0" w:rsidP="009B47B0">
      <w:pPr>
        <w:pStyle w:val="Heading1"/>
      </w:pPr>
      <w:r w:rsidRPr="005C70F2">
        <w:lastRenderedPageBreak/>
        <w:t xml:space="preserve">Part Four </w:t>
      </w:r>
      <w:r w:rsidRPr="005C70F2">
        <w:br/>
        <w:t xml:space="preserve">The </w:t>
      </w:r>
      <w:r w:rsidRPr="00402331">
        <w:t>NAIC Structured Securities Group</w:t>
      </w:r>
      <w:bookmarkEnd w:id="0"/>
      <w:r w:rsidRPr="00362580">
        <w:fldChar w:fldCharType="begin"/>
      </w:r>
      <w:r w:rsidRPr="00402331">
        <w:instrText xml:space="preserve"> XE "NAIC Structured Securities Group" </w:instrText>
      </w:r>
      <w:r w:rsidRPr="00362580">
        <w:fldChar w:fldCharType="end"/>
      </w:r>
    </w:p>
    <w:p w14:paraId="021012D2" w14:textId="77777777" w:rsidR="009B47B0" w:rsidRDefault="009B47B0" w:rsidP="009B47B0">
      <w:pPr>
        <w:sectPr w:rsidR="009B47B0" w:rsidSect="005975B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pPr>
    </w:p>
    <w:p w14:paraId="3DAEBD42" w14:textId="77777777" w:rsidR="009B47B0" w:rsidRPr="005B326D" w:rsidRDefault="009B47B0" w:rsidP="009B47B0">
      <w:pPr>
        <w:pStyle w:val="Heading2"/>
      </w:pPr>
      <w:bookmarkStart w:id="1" w:name="_Toc508884443"/>
      <w:bookmarkStart w:id="2" w:name="_Toc508979045"/>
      <w:bookmarkStart w:id="3" w:name="_Toc508979098"/>
      <w:bookmarkStart w:id="4" w:name="_Toc508979217"/>
      <w:bookmarkStart w:id="5" w:name="_Toc509585574"/>
      <w:bookmarkStart w:id="6" w:name="_Toc509828145"/>
      <w:bookmarkStart w:id="7" w:name="_Toc534812491"/>
      <w:bookmarkStart w:id="8" w:name="_Toc534887395"/>
      <w:bookmarkStart w:id="9" w:name="_Toc534896778"/>
      <w:bookmarkStart w:id="10" w:name="_Toc90649827"/>
      <w:r w:rsidRPr="0018471D">
        <w:lastRenderedPageBreak/>
        <w:t>Definitions</w:t>
      </w:r>
      <w:bookmarkEnd w:id="1"/>
      <w:bookmarkEnd w:id="2"/>
      <w:bookmarkEnd w:id="3"/>
      <w:bookmarkEnd w:id="4"/>
      <w:bookmarkEnd w:id="5"/>
      <w:bookmarkEnd w:id="6"/>
      <w:bookmarkEnd w:id="7"/>
      <w:bookmarkEnd w:id="8"/>
      <w:bookmarkEnd w:id="9"/>
      <w:bookmarkEnd w:id="10"/>
    </w:p>
    <w:p w14:paraId="739F64F1" w14:textId="77777777" w:rsidR="009B47B0" w:rsidRPr="005B326D" w:rsidRDefault="009B47B0" w:rsidP="009B47B0">
      <w:pPr>
        <w:pStyle w:val="ListParagraph"/>
        <w:numPr>
          <w:ilvl w:val="0"/>
          <w:numId w:val="4"/>
        </w:numPr>
      </w:pPr>
      <w:r w:rsidRPr="005B326D">
        <w:t xml:space="preserve">The following terms used in this Part </w:t>
      </w:r>
      <w:r>
        <w:t xml:space="preserve">Four </w:t>
      </w:r>
      <w:r w:rsidRPr="005B326D">
        <w:t xml:space="preserve">have the meaning ascribed to them below. </w:t>
      </w:r>
    </w:p>
    <w:p w14:paraId="44F06BD5" w14:textId="77777777" w:rsidR="009B47B0" w:rsidRDefault="009B47B0" w:rsidP="009B47B0">
      <w:pPr>
        <w:pStyle w:val="Sublisting"/>
        <w:tabs>
          <w:tab w:val="clear" w:pos="360"/>
        </w:tabs>
      </w:pPr>
      <w:r w:rsidRPr="00192F5A">
        <w:rPr>
          <w:b/>
        </w:rPr>
        <w:t>ABS</w:t>
      </w:r>
      <w:r w:rsidRPr="005B326D">
        <w:t xml:space="preserve"> stands for </w:t>
      </w:r>
      <w:r w:rsidRPr="00402331">
        <w:t>asset-backed securities</w:t>
      </w:r>
      <w:r w:rsidRPr="00362580">
        <w:fldChar w:fldCharType="begin"/>
      </w:r>
      <w:r w:rsidRPr="005E77F8">
        <w:instrText xml:space="preserve"> XE "</w:instrText>
      </w:r>
      <w:r>
        <w:instrText>NAIC Structured Securities Group</w:instrText>
      </w:r>
      <w:r w:rsidRPr="005E77F8">
        <w:instrText xml:space="preserve">:Asset-Backed Securities" </w:instrText>
      </w:r>
      <w:r w:rsidRPr="00362580">
        <w:fldChar w:fldCharType="end"/>
      </w:r>
      <w:r w:rsidRPr="00362580">
        <w:fldChar w:fldCharType="begin"/>
      </w:r>
      <w:r w:rsidRPr="005E77F8">
        <w:instrText xml:space="preserve"> XE "</w:instrText>
      </w:r>
      <w:r>
        <w:instrText>A</w:instrText>
      </w:r>
      <w:r w:rsidRPr="005E77F8">
        <w:instrText>sset-</w:instrText>
      </w:r>
      <w:r>
        <w:instrText>B</w:instrText>
      </w:r>
      <w:r w:rsidRPr="005E77F8">
        <w:instrText xml:space="preserve">acked </w:instrText>
      </w:r>
      <w:r>
        <w:instrText>S</w:instrText>
      </w:r>
      <w:r w:rsidRPr="005E77F8">
        <w:instrText xml:space="preserve">ecurities" </w:instrText>
      </w:r>
      <w:r w:rsidRPr="00362580">
        <w:fldChar w:fldCharType="begin"/>
      </w:r>
      <w:r w:rsidRPr="005E77F8">
        <w:instrText xml:space="preserve"> XE "NAIC STRUCTURED SECURITIES GROUP:Commercial Mortgage Backed Securities" </w:instrText>
      </w:r>
      <w:r w:rsidRPr="00362580">
        <w:fldChar w:fldCharType="end"/>
      </w:r>
      <w:r w:rsidRPr="00362580">
        <w:fldChar w:fldCharType="end"/>
      </w:r>
      <w:r w:rsidRPr="005B326D">
        <w:t xml:space="preserve"> and means structured securities backed by consumer obligations originated in the United States.</w:t>
      </w:r>
    </w:p>
    <w:p w14:paraId="3071BB69" w14:textId="409B275C" w:rsidR="009B47B0" w:rsidRPr="009B47B0" w:rsidRDefault="009B47B0" w:rsidP="009B47B0">
      <w:pPr>
        <w:pStyle w:val="Sublisting"/>
        <w:tabs>
          <w:tab w:val="clear" w:pos="360"/>
        </w:tabs>
        <w:rPr>
          <w:b/>
          <w:bCs/>
          <w:color w:val="FF0000"/>
        </w:rPr>
      </w:pPr>
      <w:r w:rsidRPr="009B47B0">
        <w:rPr>
          <w:b/>
          <w:bCs/>
          <w:color w:val="FF0000"/>
        </w:rPr>
        <w:t>CLO</w:t>
      </w:r>
      <w:r w:rsidRPr="009B47B0">
        <w:rPr>
          <w:color w:val="FF0000"/>
        </w:rPr>
        <w:t xml:space="preserve"> stands f</w:t>
      </w:r>
      <w:r>
        <w:rPr>
          <w:color w:val="FF0000"/>
        </w:rPr>
        <w:t xml:space="preserve">or collateralized loan obligation and means structured securities </w:t>
      </w:r>
      <w:r w:rsidRPr="009B47B0">
        <w:rPr>
          <w:color w:val="FF0000"/>
        </w:rPr>
        <w:t xml:space="preserve">backed by a pool of debt, typically corporate loans with low credit ratings.  The loans are managed by a collateral manager which bundles the initial loans (generally 150 or more) together and then actively manages the portfolio -- buying and selling loans. To fund the purchase of new debt, the CLO manager sells various tranches of the CLO to outside investors, such as insurers.  Each tranche differs based on the order in which the investors will be paid when the underlying loan payments are made. As a result, they also differ with respect to the risk associated with the investment since investors who are paid last have a higher risk of default from the underlying loans. To compensate for the risk, the interest coupon payments on the subordinate tranches are higher.   Investors who are paid out first have lower overall risk, but they receive smaller interest coupon payments, as a result.   </w:t>
      </w:r>
    </w:p>
    <w:p w14:paraId="5665B500" w14:textId="44F97106" w:rsidR="009B47B0" w:rsidRPr="009F7CF5" w:rsidRDefault="009B47B0" w:rsidP="009B47B0">
      <w:pPr>
        <w:pStyle w:val="Sublisting"/>
        <w:tabs>
          <w:tab w:val="clear" w:pos="360"/>
        </w:tabs>
      </w:pPr>
      <w:r w:rsidRPr="009F7CF5">
        <w:rPr>
          <w:b/>
        </w:rPr>
        <w:t>CMBS</w:t>
      </w:r>
      <w:r w:rsidRPr="009F7CF5">
        <w:t xml:space="preserve"> stands for </w:t>
      </w:r>
      <w:r w:rsidRPr="00402331">
        <w:t>commercial mortgage-backed securities</w:t>
      </w:r>
      <w:r w:rsidRPr="009F7CF5">
        <w:t xml:space="preserve"> and means structured securities backed by commercial real estate mortgage loans originated in the United States. The definition of CMBS may refer to securitizations backed by commercial mortgages, respectively, originated outside of the Unites States if and to the extent that the vendor selected by the NAIC to conduct the financial modeling: (a) has the necessary information about the commercial mortgage and commercial mortgage loans originated outside of the United States to fully model the resulting securities; and (b) can adapt the modeling process to account for any structural peculiarities associated with the jurisdiction in which the mortgage was originated.</w:t>
      </w:r>
    </w:p>
    <w:p w14:paraId="16DDAD0D" w14:textId="0FF7E82D" w:rsidR="009B47B0" w:rsidRPr="005B326D" w:rsidRDefault="009B47B0" w:rsidP="009B47B0">
      <w:pPr>
        <w:pStyle w:val="Sublisting"/>
        <w:tabs>
          <w:tab w:val="clear" w:pos="360"/>
        </w:tabs>
      </w:pPr>
      <w:bookmarkStart w:id="11" w:name="_Hlk57707821"/>
      <w:bookmarkStart w:id="12" w:name="_Hlk70498215"/>
      <w:r w:rsidRPr="00402331">
        <w:rPr>
          <w:b/>
        </w:rPr>
        <w:t>Initial Information</w:t>
      </w:r>
      <w:r>
        <w:rPr>
          <w:b/>
        </w:rPr>
        <w:fldChar w:fldCharType="begin"/>
      </w:r>
      <w:r>
        <w:instrText xml:space="preserve"> XE "</w:instrText>
      </w:r>
      <w:r w:rsidRPr="000578B4">
        <w:rPr>
          <w:bCs/>
        </w:rPr>
        <w:instrText>NAIC STRUCTURED SECURITIES GROUP</w:instrText>
      </w:r>
      <w:r w:rsidRPr="00F47E66">
        <w:rPr>
          <w:b/>
        </w:rPr>
        <w:instrText>:</w:instrText>
      </w:r>
      <w:r w:rsidRPr="00F47E66">
        <w:instrText>Initial Information; Legacy Security</w:instrText>
      </w:r>
      <w:r>
        <w:instrText xml:space="preserve">" </w:instrText>
      </w:r>
      <w:r>
        <w:rPr>
          <w:b/>
        </w:rPr>
        <w:fldChar w:fldCharType="end"/>
      </w:r>
      <w:r w:rsidRPr="005B326D">
        <w:t xml:space="preserve"> </w:t>
      </w:r>
      <w:bookmarkEnd w:id="11"/>
      <w:r w:rsidRPr="005B326D">
        <w:t xml:space="preserve">means the documentation required to be filed with an Initial Filing of an </w:t>
      </w:r>
      <w:r w:rsidR="00F41075" w:rsidRPr="00F41075">
        <w:rPr>
          <w:color w:val="FF0000"/>
        </w:rPr>
        <w:t xml:space="preserve">CLO, </w:t>
      </w:r>
      <w:r w:rsidRPr="005B326D">
        <w:t xml:space="preserve">RMBS or a CMBS CUSIP, pursuant to </w:t>
      </w:r>
      <w:r>
        <w:t>the s</w:t>
      </w:r>
      <w:r w:rsidRPr="005B326D">
        <w:t xml:space="preserve">ection below and pertaining to Loan Information, Reps and Warranty Information and Structure and Formation Information for the transaction, where: </w:t>
      </w:r>
    </w:p>
    <w:bookmarkEnd w:id="12"/>
    <w:p w14:paraId="51447C5A" w14:textId="77777777" w:rsidR="009B47B0" w:rsidRPr="005B326D" w:rsidRDefault="009B47B0" w:rsidP="009B47B0">
      <w:pPr>
        <w:pStyle w:val="Sublisting2"/>
        <w:tabs>
          <w:tab w:val="clear" w:pos="360"/>
        </w:tabs>
      </w:pPr>
      <w:r w:rsidRPr="00277934">
        <w:rPr>
          <w:i/>
        </w:rPr>
        <w:t>Loan Information</w:t>
      </w:r>
      <w:r w:rsidRPr="005B326D">
        <w:t xml:space="preserve"> means a review </w:t>
      </w:r>
      <w:r w:rsidRPr="00D4132A">
        <w:t>of</w:t>
      </w:r>
      <w:r w:rsidRPr="005B326D">
        <w:t xml:space="preserve"> the loan files by a third party to assess the sufficiency of legal title and other related issues</w:t>
      </w:r>
      <w:r>
        <w:t>.</w:t>
      </w:r>
      <w:r w:rsidRPr="005B326D">
        <w:t xml:space="preserve"> </w:t>
      </w:r>
    </w:p>
    <w:p w14:paraId="4B635E1D" w14:textId="77777777" w:rsidR="009B47B0" w:rsidRPr="005B326D" w:rsidRDefault="009B47B0" w:rsidP="009B47B0">
      <w:pPr>
        <w:pStyle w:val="Sublisting2"/>
        <w:tabs>
          <w:tab w:val="clear" w:pos="360"/>
        </w:tabs>
      </w:pPr>
      <w:r w:rsidRPr="00277934">
        <w:rPr>
          <w:i/>
        </w:rPr>
        <w:lastRenderedPageBreak/>
        <w:t>Reps and Warranty Information</w:t>
      </w:r>
      <w:r w:rsidRPr="005B326D">
        <w:t xml:space="preserve"> means the actual representation and warranties in effect for the securitization given by the mortgage originator(s) to the Trust pertaining to loan origination processes and standards, compliance with applicable law, loan documentation and the process governing put backs of defective mortgages back to the originator(s)</w:t>
      </w:r>
      <w:r>
        <w:t xml:space="preserve">. </w:t>
      </w:r>
    </w:p>
    <w:p w14:paraId="3E1E5B12" w14:textId="77777777" w:rsidR="009B47B0" w:rsidRDefault="009B47B0" w:rsidP="009B47B0">
      <w:pPr>
        <w:pStyle w:val="Sublisting2"/>
        <w:tabs>
          <w:tab w:val="clear" w:pos="360"/>
        </w:tabs>
      </w:pPr>
      <w:r w:rsidRPr="00277934">
        <w:rPr>
          <w:i/>
        </w:rPr>
        <w:t>Structure and Formation Information</w:t>
      </w:r>
      <w:r w:rsidRPr="005B326D">
        <w:t xml:space="preserve"> means the waterfall, as described in the definition of Ongoing Information, information and documentation in the form of legal opinions and documentation governing the formation of the securitization and its entities relative to issues such as bankruptcy remoteness, true sale characterization, the legal standards and procedures governing the securitization and other similar issues.</w:t>
      </w:r>
    </w:p>
    <w:p w14:paraId="2D98A7E4" w14:textId="77777777" w:rsidR="009B47B0" w:rsidRPr="005B326D" w:rsidRDefault="009B47B0" w:rsidP="009B47B0">
      <w:pPr>
        <w:pStyle w:val="Sublisting"/>
        <w:tabs>
          <w:tab w:val="clear" w:pos="360"/>
        </w:tabs>
      </w:pPr>
      <w:r w:rsidRPr="00033B06">
        <w:rPr>
          <w:b/>
          <w:bCs/>
        </w:rPr>
        <w:t>Intrinsic Price</w:t>
      </w:r>
      <w:r>
        <w:t xml:space="preserve"> is an output of financial modeling, defined as ‘1 – weighted average of discounted principal loss’ expressed as a percentage, reflecting the credit risk of the security.</w:t>
      </w:r>
    </w:p>
    <w:p w14:paraId="546DB450" w14:textId="77777777" w:rsidR="009B47B0" w:rsidRPr="005B326D" w:rsidRDefault="009B47B0" w:rsidP="009B47B0">
      <w:pPr>
        <w:pStyle w:val="Sublisting"/>
        <w:tabs>
          <w:tab w:val="clear" w:pos="360"/>
        </w:tabs>
      </w:pPr>
      <w:r w:rsidRPr="00402331">
        <w:rPr>
          <w:b/>
        </w:rPr>
        <w:t>Legacy Security</w:t>
      </w:r>
      <w:r w:rsidRPr="00362580">
        <w:rPr>
          <w:b/>
          <w:highlight w:val="cyan"/>
        </w:rPr>
        <w:fldChar w:fldCharType="begin"/>
      </w:r>
      <w:r w:rsidRPr="00362580">
        <w:rPr>
          <w:highlight w:val="cyan"/>
        </w:rPr>
        <w:instrText xml:space="preserve"> </w:instrText>
      </w:r>
      <w:r w:rsidRPr="00362580">
        <w:rPr>
          <w:b/>
          <w:highlight w:val="cyan"/>
        </w:rPr>
        <w:fldChar w:fldCharType="end"/>
      </w:r>
      <w:r w:rsidRPr="005B326D">
        <w:t>, for the purposes of this section shall mean any RMBS and any CMBS that closed prior to Jan</w:t>
      </w:r>
      <w:r>
        <w:t>uary</w:t>
      </w:r>
      <w:r w:rsidRPr="005B326D">
        <w:t xml:space="preserve"> 1, 2013.</w:t>
      </w:r>
      <w:r>
        <w:t xml:space="preserve"> </w:t>
      </w:r>
    </w:p>
    <w:p w14:paraId="0FAB3CC7" w14:textId="77777777" w:rsidR="009B47B0" w:rsidRPr="005B326D" w:rsidRDefault="009B47B0" w:rsidP="009B47B0">
      <w:pPr>
        <w:pStyle w:val="Sublisting"/>
        <w:tabs>
          <w:tab w:val="clear" w:pos="360"/>
        </w:tabs>
      </w:pPr>
      <w:r>
        <w:rPr>
          <w:b/>
        </w:rPr>
        <w:fldChar w:fldCharType="begin"/>
      </w:r>
      <w:r>
        <w:instrText xml:space="preserve"> XE "NAIC Structured Securities Group</w:instrText>
      </w:r>
      <w:r w:rsidRPr="00FD246A">
        <w:instrText>:Legacy Security, Price Grids; Re-REMIC</w:instrText>
      </w:r>
      <w:r>
        <w:instrText xml:space="preserve">" </w:instrText>
      </w:r>
      <w:r>
        <w:rPr>
          <w:b/>
        </w:rPr>
        <w:fldChar w:fldCharType="end"/>
      </w:r>
      <w:r w:rsidRPr="00654EC5">
        <w:rPr>
          <w:b/>
        </w:rPr>
        <w:t>Official Price Grids</w:t>
      </w:r>
      <w:r w:rsidRPr="005B326D">
        <w:t xml:space="preserve"> means and refers to those generated by the SSG and provided to an insurance company or insurance companies that own the security for regulatory reporting purposes.</w:t>
      </w:r>
    </w:p>
    <w:p w14:paraId="37475E5C" w14:textId="77777777" w:rsidR="009B47B0" w:rsidRPr="005633B7" w:rsidRDefault="009B47B0" w:rsidP="009B47B0">
      <w:pPr>
        <w:pStyle w:val="Sublisting"/>
        <w:tabs>
          <w:tab w:val="clear" w:pos="360"/>
        </w:tabs>
      </w:pPr>
      <w:r w:rsidRPr="005633B7">
        <w:rPr>
          <w:b/>
        </w:rPr>
        <w:t>Ongoing Information</w:t>
      </w:r>
      <w:r w:rsidRPr="005633B7">
        <w:t xml:space="preserve"> consists of: (a) tranche level data; such as principal balance, factors, principal and interest due and paid, interest shortfalls, allocated realized losses, appraisal reductions and other similar information for the specific tranche; (b) trust level data, such as aggregate interest and principal and other payments received, balances and payments to non-trance accounts, aggregate pool performance data and other similar information; (c) loan level performance information; and (d) a computerized model of rules that govern the order and priority of the distribution of cash from the collateral pool (i.e., the “waterfall”) to the holders of the certificates/securities—provided in the format and modeling package used by the NAIC financial modeling vendor.</w:t>
      </w:r>
    </w:p>
    <w:p w14:paraId="47FBAE83" w14:textId="77777777" w:rsidR="009B47B0" w:rsidRDefault="009B47B0" w:rsidP="009B47B0">
      <w:pPr>
        <w:pStyle w:val="Sublisting"/>
        <w:tabs>
          <w:tab w:val="clear" w:pos="360"/>
        </w:tabs>
      </w:pPr>
      <w:r w:rsidRPr="00EE5841">
        <w:rPr>
          <w:b/>
        </w:rPr>
        <w:lastRenderedPageBreak/>
        <w:t>Original Source</w:t>
      </w:r>
      <w:r w:rsidRPr="005B326D">
        <w:t>, with respect to a specific set of data, means the Trustee, Servicer or similar entity that is contractually obligated under the agreement governing the RMBS or CMBS to generate and maintain the relevant data and information in accordance with standards specified in applicable agreements or an authorized re-distributor of the same.</w:t>
      </w:r>
      <w:r>
        <w:t xml:space="preserve"> </w:t>
      </w:r>
    </w:p>
    <w:p w14:paraId="1D62AF2F" w14:textId="77777777" w:rsidR="009B47B0" w:rsidRDefault="009B47B0" w:rsidP="009B47B0">
      <w:pPr>
        <w:pStyle w:val="Sublisting"/>
        <w:tabs>
          <w:tab w:val="clear" w:pos="360"/>
        </w:tabs>
      </w:pPr>
      <w:r>
        <w:rPr>
          <w:b/>
        </w:rPr>
        <w:t xml:space="preserve">NAIC Designation Intrinsic Price Mapping </w:t>
      </w:r>
      <w:r>
        <w:rPr>
          <w:bCs/>
        </w:rPr>
        <w:t xml:space="preserve">is the mapping of the Intrinsic Price to a single NAIC Designation and Designation Category employing the midpoints between each adjoining AVR RBC charges (pre-tax). The midpoints are directly used as the minimum Intrinsic Prices (weighted average loss points) for corresponding NAIC Designations and Designation Categories. </w:t>
      </w:r>
    </w:p>
    <w:p w14:paraId="6DE75E83" w14:textId="77777777" w:rsidR="009B47B0" w:rsidRPr="005B326D" w:rsidRDefault="009B47B0" w:rsidP="009B47B0">
      <w:pPr>
        <w:pStyle w:val="Sublisting"/>
        <w:tabs>
          <w:tab w:val="clear" w:pos="360"/>
        </w:tabs>
      </w:pPr>
      <w:r w:rsidRPr="00402331">
        <w:rPr>
          <w:b/>
        </w:rPr>
        <w:t>Price Grids</w:t>
      </w:r>
      <w:r w:rsidRPr="00EE5841">
        <w:rPr>
          <w:b/>
        </w:rPr>
        <w:t xml:space="preserve"> </w:t>
      </w:r>
      <w:r w:rsidRPr="00CF3537">
        <w:t>means</w:t>
      </w:r>
      <w:r w:rsidRPr="005B326D">
        <w:t xml:space="preserve"> and refers to CUSIP-specific price matrices containing six price breakpoints; i.e., each price corresponding to a specific NAIC Designation category. Each breakpoint on a Price Grid is the price point that tips the NAIC Designation for the RMBS CUSIP into the next NAIC Designation (credit quality/credit risk) category. The plural is used because two Price Grids are generated for any CUSIP. This reflects the difference in RBC for those insurance companies that maintain an asset valuation reserve and for those insurance companies that do not.</w:t>
      </w:r>
    </w:p>
    <w:p w14:paraId="6021A985" w14:textId="77777777" w:rsidR="009B47B0" w:rsidRPr="00BC1917" w:rsidRDefault="009B47B0" w:rsidP="009B47B0">
      <w:pPr>
        <w:pStyle w:val="Sublisting"/>
        <w:tabs>
          <w:tab w:val="clear" w:pos="360"/>
        </w:tabs>
      </w:pPr>
      <w:r w:rsidRPr="00402331">
        <w:rPr>
          <w:b/>
        </w:rPr>
        <w:t>Re-REMIC</w:t>
      </w:r>
      <w:r w:rsidRPr="00BC1917">
        <w:t xml:space="preserve"> is a securitization backed by: (a) otherwise eligible RMBS from one or two transactions; or (b) otherwise eligible CMBS from one or two transactions at closing. Re-REMICs cannot acquire any Underlying Securities after closing. </w:t>
      </w:r>
    </w:p>
    <w:p w14:paraId="06713CBF" w14:textId="77777777" w:rsidR="009B47B0" w:rsidRPr="009F7CF5" w:rsidRDefault="009B47B0" w:rsidP="009B47B0">
      <w:pPr>
        <w:pStyle w:val="Sublisting"/>
        <w:tabs>
          <w:tab w:val="clear" w:pos="360"/>
        </w:tabs>
      </w:pPr>
      <w:r w:rsidRPr="009F7CF5">
        <w:rPr>
          <w:b/>
        </w:rPr>
        <w:lastRenderedPageBreak/>
        <w:t>RMBS</w:t>
      </w:r>
      <w:r w:rsidRPr="009F7CF5">
        <w:t xml:space="preserve"> stands for </w:t>
      </w:r>
      <w:r w:rsidRPr="00525F22">
        <w:t xml:space="preserve">residential mortgage-backed </w:t>
      </w:r>
      <w:r w:rsidRPr="005E77F8">
        <w:t>securities</w:t>
      </w:r>
      <w:r w:rsidRPr="00362580">
        <w:fldChar w:fldCharType="begin"/>
      </w:r>
      <w:r w:rsidRPr="005E77F8">
        <w:instrText xml:space="preserve"> XE "NAIC Structured Securities Group:Residential Mortgage-Backed Securities" </w:instrText>
      </w:r>
      <w:r w:rsidRPr="00362580">
        <w:fldChar w:fldCharType="end"/>
      </w:r>
      <w:r w:rsidRPr="005E77F8">
        <w:t xml:space="preserve"> a</w:t>
      </w:r>
      <w:r w:rsidRPr="009F7CF5">
        <w:t>nd means structured securities backed by non-agency residential mortgages originated in the United States, where the collateral consists of loans pertaining to non-multi-family homes. That includes prime, subprime and Alt-A mortgages, as well as home-equity loans, home-equity lines of credit and Re-REMICs of the above. Excluded from this definition is agency RMBS, where the mortgages are guaranteed by federal and federally sponsored agencies such as the Government National Mortgage Association (GNMA), Federal National Mortgage Association (FNMA) or Federal Home Loan Mortgage Corporation (FHLMC) and loans against manufactured or mobile homes or collateralized debt obligations backed by RMBS. The exclusion covers bonds issued and guaranteed by, or only guaranteed by, the respective agency. Also not included are loans guaranteed by the U.S. Department of Veteran Affairs or the U.S. Department of Agriculture’s Rural Development Housing and Community Facilities Programs. The definition of RMBS may refer to securitizations backed by residential mortgages, respectively, originated outside of the Unites States if and to the extent that the vendor selected by the NAIC to conduct the financial modeling: (a) has the necessary information about the residential mortgage and residential mortgage loans originated outside of the United States to fully model the resulting securities; and (b) can adapt the modeling process to account for any structural peculiarities associated with the jurisdiction in which the mortgage was originated.</w:t>
      </w:r>
    </w:p>
    <w:p w14:paraId="41340E4E" w14:textId="1BB35EEC" w:rsidR="009B47B0" w:rsidRPr="005B326D" w:rsidRDefault="009B47B0" w:rsidP="009B47B0">
      <w:pPr>
        <w:pStyle w:val="Sublisting"/>
        <w:tabs>
          <w:tab w:val="clear" w:pos="360"/>
        </w:tabs>
      </w:pPr>
      <w:r w:rsidRPr="00EE5841">
        <w:rPr>
          <w:b/>
        </w:rPr>
        <w:t>Underlying Security</w:t>
      </w:r>
      <w:r w:rsidRPr="005B326D">
        <w:t xml:space="preserve"> means the RMBS or CMBS backing a Re-REMIC. A Re-REMIC cannot be an Underlying Security.</w:t>
      </w:r>
      <w:r w:rsidR="00F41075">
        <w:t xml:space="preserve"> </w:t>
      </w:r>
    </w:p>
    <w:p w14:paraId="0515928B" w14:textId="3D8C8DF3" w:rsidR="009B47B0" w:rsidRPr="003B5C8F" w:rsidRDefault="009B47B0" w:rsidP="009B47B0">
      <w:pPr>
        <w:ind w:left="1080"/>
      </w:pPr>
      <w:r w:rsidRPr="003B5C8F">
        <w:rPr>
          <w:b/>
          <w:smallCaps/>
        </w:rPr>
        <w:t>Note</w:t>
      </w:r>
      <w:r w:rsidRPr="003B5C8F">
        <w:t xml:space="preserve">: The definitions of </w:t>
      </w:r>
      <w:r w:rsidR="00EB6CFB" w:rsidRPr="00EB6CFB">
        <w:rPr>
          <w:color w:val="FF0000"/>
        </w:rPr>
        <w:t xml:space="preserve">CLO, </w:t>
      </w:r>
      <w:r w:rsidRPr="003B5C8F">
        <w:t>RMBS and CMBS reflect limitations associated with the financial modeling process, NAIC credit rating provider (CRP) internal naming conventions and SSG processes, as more fully discussed below and may, therefore, be subject to a narrower or a broader reading in any reporting period. Please call the SSG with any concerns or questions about the scope of the definitions for a given reporting period. Also note:</w:t>
      </w:r>
    </w:p>
    <w:p w14:paraId="27A3878F" w14:textId="7D590B0F" w:rsidR="009B47B0" w:rsidRPr="003B5C8F" w:rsidRDefault="009B47B0" w:rsidP="009B47B0">
      <w:pPr>
        <w:pStyle w:val="Sublisting"/>
        <w:tabs>
          <w:tab w:val="clear" w:pos="360"/>
        </w:tabs>
      </w:pPr>
      <w:r w:rsidRPr="003B5C8F">
        <w:t xml:space="preserve">It is possible that the scope of the </w:t>
      </w:r>
      <w:r w:rsidR="00EB6CFB" w:rsidRPr="00EB6CFB">
        <w:rPr>
          <w:color w:val="FF0000"/>
        </w:rPr>
        <w:t xml:space="preserve">CLO, </w:t>
      </w:r>
      <w:r w:rsidRPr="003B5C8F">
        <w:t xml:space="preserve">RMBS and CMBS definitions may be broadened because the financial modeling vendors indicate other collateral or waterfall structures can be modeled. </w:t>
      </w:r>
    </w:p>
    <w:p w14:paraId="4794411B" w14:textId="1A9CA87B" w:rsidR="009B47B0" w:rsidRPr="003B5C8F" w:rsidRDefault="009B47B0" w:rsidP="009B47B0">
      <w:pPr>
        <w:pStyle w:val="Sublisting"/>
        <w:tabs>
          <w:tab w:val="clear" w:pos="360"/>
        </w:tabs>
      </w:pPr>
      <w:r w:rsidRPr="003B5C8F">
        <w:lastRenderedPageBreak/>
        <w:t xml:space="preserve">NAIC CRPs may adopt different internal conventions with respect to what market or asset segments are within their rated populations of </w:t>
      </w:r>
      <w:r w:rsidR="00EB6CFB" w:rsidRPr="00EB6CFB">
        <w:rPr>
          <w:color w:val="FF0000"/>
        </w:rPr>
        <w:t xml:space="preserve">CLO, </w:t>
      </w:r>
      <w:r w:rsidRPr="003B5C8F">
        <w:t xml:space="preserve">RMBS, CMBS or ABS. This could affect the application of the adopted NAIC methodology or require the NAIC to select which naming process it wishes to adopt. </w:t>
      </w:r>
    </w:p>
    <w:p w14:paraId="1D927F94" w14:textId="77777777" w:rsidR="009B47B0" w:rsidRPr="003B5C8F" w:rsidRDefault="009B47B0" w:rsidP="009B47B0">
      <w:pPr>
        <w:pStyle w:val="Sublisting"/>
        <w:tabs>
          <w:tab w:val="clear" w:pos="360"/>
        </w:tabs>
      </w:pPr>
      <w:r w:rsidRPr="003B5C8F">
        <w:t>It is possible that the SSG will acquire analytical assessment capabilities that permit the assessment of existing, additional or different structured securities that cannot now be modeled or that are not currently rated.</w:t>
      </w:r>
    </w:p>
    <w:p w14:paraId="18351148" w14:textId="77777777" w:rsidR="009B47B0" w:rsidRPr="005B326D" w:rsidRDefault="009B47B0" w:rsidP="009B47B0">
      <w:pPr>
        <w:pStyle w:val="Heading2"/>
      </w:pPr>
      <w:bookmarkStart w:id="13" w:name="_Toc508884445"/>
      <w:bookmarkStart w:id="14" w:name="_Toc508979047"/>
      <w:bookmarkStart w:id="15" w:name="_Toc508979100"/>
      <w:bookmarkStart w:id="16" w:name="_Toc508979223"/>
      <w:bookmarkStart w:id="17" w:name="_Toc509585579"/>
      <w:bookmarkStart w:id="18" w:name="_Toc509828150"/>
      <w:bookmarkStart w:id="19" w:name="_Toc534812492"/>
      <w:bookmarkStart w:id="20" w:name="_Toc534887396"/>
      <w:bookmarkStart w:id="21" w:name="_Toc534896779"/>
      <w:bookmarkStart w:id="22" w:name="_Toc90649828"/>
      <w:r w:rsidRPr="005B326D">
        <w:lastRenderedPageBreak/>
        <w:t>Administrative And Operational Matters</w:t>
      </w:r>
      <w:bookmarkEnd w:id="13"/>
      <w:bookmarkEnd w:id="14"/>
      <w:bookmarkEnd w:id="15"/>
      <w:bookmarkEnd w:id="16"/>
      <w:bookmarkEnd w:id="17"/>
      <w:bookmarkEnd w:id="18"/>
      <w:bookmarkEnd w:id="19"/>
      <w:bookmarkEnd w:id="20"/>
      <w:bookmarkEnd w:id="21"/>
      <w:bookmarkEnd w:id="22"/>
      <w:r w:rsidRPr="005B326D">
        <w:t xml:space="preserve"> </w:t>
      </w:r>
    </w:p>
    <w:p w14:paraId="46E4B9B1" w14:textId="77777777" w:rsidR="009B47B0" w:rsidRPr="002E17C2" w:rsidRDefault="009B47B0" w:rsidP="009B47B0">
      <w:pPr>
        <w:pStyle w:val="Heading4"/>
      </w:pPr>
      <w:bookmarkStart w:id="23" w:name="_Toc508884446"/>
      <w:bookmarkStart w:id="24" w:name="_Toc508979224"/>
      <w:bookmarkStart w:id="25" w:name="_Toc534887397"/>
      <w:bookmarkStart w:id="26" w:name="_Toc90649829"/>
      <w:r w:rsidRPr="002E17C2">
        <w:t xml:space="preserve">Certain </w:t>
      </w:r>
      <w:r w:rsidRPr="0077769B">
        <w:t>Administrative Symbols</w:t>
      </w:r>
      <w:bookmarkEnd w:id="23"/>
      <w:bookmarkEnd w:id="24"/>
      <w:bookmarkEnd w:id="25"/>
      <w:bookmarkEnd w:id="26"/>
      <w:r w:rsidRPr="00BD3BDB">
        <w:fldChar w:fldCharType="begin"/>
      </w:r>
      <w:r w:rsidRPr="00BD3BDB">
        <w:instrText xml:space="preserve"> XE "Structured Securities Group:Administrative Symbols" </w:instrText>
      </w:r>
      <w:r w:rsidRPr="00BD3BDB">
        <w:fldChar w:fldCharType="end"/>
      </w:r>
      <w:r w:rsidRPr="002E17C2">
        <w:t xml:space="preserve"> </w:t>
      </w:r>
    </w:p>
    <w:p w14:paraId="4FB4A087" w14:textId="369060B8" w:rsidR="009B47B0" w:rsidRPr="005B326D" w:rsidRDefault="009B47B0" w:rsidP="009B47B0">
      <w:pPr>
        <w:pStyle w:val="ListParagraph"/>
      </w:pPr>
      <w:r w:rsidRPr="005B326D">
        <w:t xml:space="preserve">The following administrative symbols are used in the Valuation of Securities (VOS) Products to identify RMBS and CMBS that the NAIC vendor has confirmed will be subject to the financial modeling methodology </w:t>
      </w:r>
      <w:r w:rsidR="000009BC" w:rsidRPr="0040608D">
        <w:rPr>
          <w:color w:val="FF0000"/>
          <w:u w:val="single"/>
        </w:rPr>
        <w:t>and application of Price Grids</w:t>
      </w:r>
      <w:r w:rsidRPr="005B326D">
        <w:t xml:space="preserve"> described in this Part. </w:t>
      </w:r>
    </w:p>
    <w:p w14:paraId="5F7F4417" w14:textId="77777777" w:rsidR="009B47B0" w:rsidRPr="005B326D" w:rsidRDefault="009B47B0" w:rsidP="009B47B0">
      <w:pPr>
        <w:pStyle w:val="Sublisting"/>
        <w:tabs>
          <w:tab w:val="clear" w:pos="360"/>
        </w:tabs>
      </w:pPr>
      <w:r w:rsidRPr="00525F22">
        <w:rPr>
          <w:b/>
        </w:rPr>
        <w:t>FMR</w:t>
      </w:r>
      <w:r w:rsidRPr="005B326D">
        <w:t xml:space="preserve"> </w:t>
      </w:r>
      <w:r>
        <w:t>– I</w:t>
      </w:r>
      <w:r w:rsidRPr="005B326D">
        <w:t>ndicates that the specific CUSIP identifies a</w:t>
      </w:r>
      <w:r>
        <w:t xml:space="preserve"> Legacy Security</w:t>
      </w:r>
      <w:r w:rsidRPr="005B326D">
        <w:t xml:space="preserve"> RMBS that is subject to the financial modeling methodology</w:t>
      </w:r>
      <w:r>
        <w:t xml:space="preserve"> and the application of Price Grids to determine a NAIC Designation and Designation Category. </w:t>
      </w:r>
    </w:p>
    <w:p w14:paraId="30641986" w14:textId="77777777" w:rsidR="009B47B0" w:rsidRDefault="009B47B0" w:rsidP="009B47B0">
      <w:pPr>
        <w:pStyle w:val="Sublisting"/>
        <w:tabs>
          <w:tab w:val="clear" w:pos="360"/>
        </w:tabs>
      </w:pPr>
      <w:r w:rsidRPr="00525F22">
        <w:rPr>
          <w:b/>
        </w:rPr>
        <w:t>FMC</w:t>
      </w:r>
      <w:r w:rsidRPr="005B326D">
        <w:t xml:space="preserve"> </w:t>
      </w:r>
      <w:r>
        <w:t>– I</w:t>
      </w:r>
      <w:r w:rsidRPr="005B326D">
        <w:t xml:space="preserve">ndicates that the specific CUSIP identifies a </w:t>
      </w:r>
      <w:r>
        <w:t xml:space="preserve">Legacy Security </w:t>
      </w:r>
      <w:r w:rsidRPr="005B326D">
        <w:t>CMBS that is subject to the financial modeling methodology</w:t>
      </w:r>
      <w:r>
        <w:t xml:space="preserve"> and the application of Price Grids to determine a NAIC Designation and Designation Category</w:t>
      </w:r>
      <w:r w:rsidRPr="005B326D">
        <w:t xml:space="preserve"> </w:t>
      </w:r>
    </w:p>
    <w:p w14:paraId="0B33E421" w14:textId="3F017A34" w:rsidR="009B47B0" w:rsidRDefault="009B47B0" w:rsidP="009B47B0">
      <w:pPr>
        <w:pStyle w:val="Sublisting"/>
        <w:tabs>
          <w:tab w:val="clear" w:pos="360"/>
        </w:tabs>
      </w:pPr>
      <w:r w:rsidRPr="005039B6">
        <w:rPr>
          <w:bCs/>
        </w:rPr>
        <w:t>Non</w:t>
      </w:r>
      <w:r w:rsidRPr="005039B6">
        <w:t>-</w:t>
      </w:r>
      <w:r>
        <w:t>Legacy RMBS and CMBS subject to the financial modeling methodology would be assigned an NAIC Designation and Designation Category by the SSG without an administrative symbol.</w:t>
      </w:r>
    </w:p>
    <w:p w14:paraId="36B9F349" w14:textId="4470AE6E" w:rsidR="00EB6CFB" w:rsidRPr="00EB6CFB" w:rsidRDefault="00EB6CFB" w:rsidP="009B47B0">
      <w:pPr>
        <w:pStyle w:val="Sublisting"/>
        <w:tabs>
          <w:tab w:val="clear" w:pos="360"/>
        </w:tabs>
        <w:rPr>
          <w:color w:val="FF0000"/>
        </w:rPr>
      </w:pPr>
      <w:r>
        <w:rPr>
          <w:bCs/>
          <w:color w:val="FF0000"/>
        </w:rPr>
        <w:t>CLO</w:t>
      </w:r>
      <w:r w:rsidRPr="00EB6CFB">
        <w:rPr>
          <w:color w:val="FF0000"/>
        </w:rPr>
        <w:t xml:space="preserve"> subject to the financial modeling methodology would be assigned an NAIC Designation and Designation Category by the SSG without an administrative symbol.</w:t>
      </w:r>
    </w:p>
    <w:p w14:paraId="60C36D2D" w14:textId="521B25E7" w:rsidR="009B47B0" w:rsidRPr="005B326D" w:rsidRDefault="009B47B0" w:rsidP="009B47B0">
      <w:pPr>
        <w:ind w:left="1440"/>
      </w:pPr>
      <w:r w:rsidRPr="008B4B37">
        <w:rPr>
          <w:b/>
          <w:smallCaps/>
        </w:rPr>
        <w:t>Note</w:t>
      </w:r>
      <w:r w:rsidRPr="008B4B37">
        <w:t xml:space="preserve">: </w:t>
      </w:r>
      <w:r w:rsidRPr="005B326D">
        <w:t xml:space="preserve">The administrative symbols </w:t>
      </w:r>
      <w:r w:rsidRPr="005B326D">
        <w:rPr>
          <w:b/>
        </w:rPr>
        <w:t>FMR</w:t>
      </w:r>
      <w:r w:rsidRPr="005B326D">
        <w:t xml:space="preserve"> and </w:t>
      </w:r>
      <w:r w:rsidRPr="005B326D">
        <w:rPr>
          <w:b/>
        </w:rPr>
        <w:t>FMC</w:t>
      </w:r>
      <w:r w:rsidRPr="005B326D">
        <w:t xml:space="preserve"> are related to symbols that insurers are required to use in the financial statement reporting process. Under applicable financial statement reporting rules, an insurer uses the symbol</w:t>
      </w:r>
      <w:r>
        <w:t xml:space="preserve"> </w:t>
      </w:r>
      <w:r w:rsidRPr="005B326D">
        <w:rPr>
          <w:b/>
        </w:rPr>
        <w:t>FM</w:t>
      </w:r>
      <w:r w:rsidRPr="005B326D">
        <w:t xml:space="preserve"> as a suffix to identify</w:t>
      </w:r>
      <w:r>
        <w:t xml:space="preserve"> Legacy Security</w:t>
      </w:r>
      <w:r w:rsidRPr="005B326D">
        <w:t xml:space="preserve"> modeled RMBS and CMBS CUSIPs</w:t>
      </w:r>
      <w:r>
        <w:t xml:space="preserve">. </w:t>
      </w:r>
      <w:r w:rsidRPr="005B326D">
        <w:t xml:space="preserve">The symbol </w:t>
      </w:r>
      <w:r w:rsidRPr="00786799">
        <w:rPr>
          <w:b/>
        </w:rPr>
        <w:t>FM</w:t>
      </w:r>
      <w:r w:rsidRPr="005B326D">
        <w:t xml:space="preserve"> </w:t>
      </w:r>
      <w:r>
        <w:t>is</w:t>
      </w:r>
      <w:r w:rsidRPr="005B326D">
        <w:t xml:space="preserve"> inserted by the insurer in the financial statement as a suffix </w:t>
      </w:r>
      <w:r>
        <w:t>following</w:t>
      </w:r>
      <w:r w:rsidRPr="005B326D">
        <w:t xml:space="preserve"> the NAIC Designation </w:t>
      </w:r>
      <w:r>
        <w:t>C</w:t>
      </w:r>
      <w:r w:rsidRPr="005B326D">
        <w:t>ategory</w:t>
      </w:r>
      <w:r>
        <w:t xml:space="preserve"> for Legacy Security RMBS and CMBS; (</w:t>
      </w:r>
      <w:r w:rsidRPr="005B326D">
        <w:t>e.</w:t>
      </w:r>
      <w:r>
        <w:t>g.</w:t>
      </w:r>
      <w:r w:rsidRPr="005B326D">
        <w:t xml:space="preserve">, </w:t>
      </w:r>
      <w:r w:rsidRPr="00786799">
        <w:rPr>
          <w:b/>
        </w:rPr>
        <w:t>2</w:t>
      </w:r>
      <w:r>
        <w:rPr>
          <w:b/>
        </w:rPr>
        <w:t xml:space="preserve">.B </w:t>
      </w:r>
      <w:r w:rsidRPr="00786799">
        <w:rPr>
          <w:b/>
        </w:rPr>
        <w:t>FM</w:t>
      </w:r>
      <w:r w:rsidRPr="005039B6">
        <w:rPr>
          <w:bCs/>
        </w:rPr>
        <w:t xml:space="preserve">), and for </w:t>
      </w:r>
      <w:r w:rsidR="00D75126" w:rsidRPr="00D75126">
        <w:rPr>
          <w:bCs/>
          <w:color w:val="FF0000"/>
        </w:rPr>
        <w:t xml:space="preserve">CLO and </w:t>
      </w:r>
      <w:r w:rsidRPr="005039B6">
        <w:rPr>
          <w:bCs/>
        </w:rPr>
        <w:t xml:space="preserve">Non-Legacy RMBS and CMBS it would be left blank (e.g. </w:t>
      </w:r>
      <w:r>
        <w:rPr>
          <w:b/>
        </w:rPr>
        <w:t>3.C</w:t>
      </w:r>
      <w:r w:rsidRPr="005039B6">
        <w:rPr>
          <w:bCs/>
        </w:rPr>
        <w:t>).</w:t>
      </w:r>
    </w:p>
    <w:p w14:paraId="4440311D" w14:textId="77777777" w:rsidR="009B47B0" w:rsidRPr="005B326D" w:rsidRDefault="009B47B0" w:rsidP="009B47B0">
      <w:pPr>
        <w:ind w:left="1440"/>
      </w:pPr>
      <w:r w:rsidRPr="003425C6">
        <w:t>The use of these administrative symbols in the VOS Product means the insurer should not use the filing exempt process for the security so identified.</w:t>
      </w:r>
      <w:r w:rsidRPr="005B326D">
        <w:t xml:space="preserve"> </w:t>
      </w:r>
    </w:p>
    <w:p w14:paraId="6DA8F03C" w14:textId="77777777" w:rsidR="009B47B0" w:rsidRPr="005B326D" w:rsidRDefault="009B47B0" w:rsidP="009B47B0">
      <w:pPr>
        <w:ind w:left="1440"/>
      </w:pPr>
    </w:p>
    <w:p w14:paraId="051531AD" w14:textId="77777777" w:rsidR="009B47B0" w:rsidRPr="00EE5841" w:rsidRDefault="009B47B0" w:rsidP="009B47B0">
      <w:pPr>
        <w:pStyle w:val="Heading4"/>
      </w:pPr>
      <w:bookmarkStart w:id="27" w:name="_Toc508884447"/>
      <w:bookmarkStart w:id="28" w:name="_Toc508979225"/>
      <w:bookmarkStart w:id="29" w:name="_Toc534887398"/>
      <w:bookmarkStart w:id="30" w:name="_Toc90649830"/>
      <w:r w:rsidRPr="00843346">
        <w:lastRenderedPageBreak/>
        <w:t>Quarterly Reporting</w:t>
      </w:r>
      <w:r w:rsidRPr="005E77F8">
        <w:fldChar w:fldCharType="begin"/>
      </w:r>
      <w:r w:rsidRPr="005E77F8">
        <w:instrText xml:space="preserve"> XE "NAIC Structured Securities Group:Quarterly Reporting" </w:instrText>
      </w:r>
      <w:r w:rsidRPr="005E77F8">
        <w:fldChar w:fldCharType="end"/>
      </w:r>
      <w:r w:rsidRPr="005E77F8">
        <w:fldChar w:fldCharType="begin"/>
      </w:r>
      <w:r w:rsidRPr="005E77F8">
        <w:instrText xml:space="preserve"> XE "NAIC Structured Securities Group:Liminted Filing Exemption for RMBS and CMBS, Filing Exemtion for ABS, Review of Decisions of the SSG" </w:instrText>
      </w:r>
      <w:r w:rsidRPr="005E77F8">
        <w:fldChar w:fldCharType="end"/>
      </w:r>
      <w:r w:rsidRPr="00EE5841">
        <w:t xml:space="preserve"> of RMBS and CMBS</w:t>
      </w:r>
      <w:bookmarkEnd w:id="27"/>
      <w:bookmarkEnd w:id="28"/>
      <w:bookmarkEnd w:id="29"/>
      <w:bookmarkEnd w:id="30"/>
      <w:r w:rsidRPr="00EE5841">
        <w:t xml:space="preserve"> </w:t>
      </w:r>
    </w:p>
    <w:p w14:paraId="191F6156" w14:textId="521E0A61" w:rsidR="009B47B0" w:rsidRPr="005B326D" w:rsidRDefault="009B47B0" w:rsidP="009B47B0">
      <w:pPr>
        <w:pStyle w:val="ListParagraph"/>
      </w:pPr>
      <w:r w:rsidRPr="005B326D">
        <w:t xml:space="preserve">To determine the NAIC Designation to be used for quarterly financial statement reporting for a </w:t>
      </w:r>
      <w:r w:rsidR="00F41075" w:rsidRPr="00F41075">
        <w:rPr>
          <w:color w:val="FF0000"/>
        </w:rPr>
        <w:t xml:space="preserve">CLO, </w:t>
      </w:r>
      <w:r w:rsidRPr="005B326D">
        <w:t>RMBS or CMBS purchased subsequent to the annual surveillance described in this Part, the insurer uses the prior year-end modeling data for that CUSIP (which can be obtained from the NAIC) and follows the instructions in</w:t>
      </w:r>
      <w:r>
        <w:t xml:space="preserve"> contained under the heading “Use of Net Present Value and Carrying Value for Financially Modelled Legacy Security RMBS and CMBS” </w:t>
      </w:r>
      <w:r w:rsidRPr="005B326D">
        <w:t xml:space="preserve">or </w:t>
      </w:r>
      <w:r>
        <w:t xml:space="preserve"> “Use of Intrinsic Price for Financially Modelled non-Legacy Security RMBS and CMBS" </w:t>
      </w:r>
      <w:r w:rsidRPr="005B326D">
        <w:t xml:space="preserve">below, subject to, and in accordance with, </w:t>
      </w:r>
      <w:r w:rsidRPr="00446CB3">
        <w:rPr>
          <w:i/>
        </w:rPr>
        <w:t>SSAP No. 43R—Loan-Backed and Structured Securities</w:t>
      </w:r>
      <w:r w:rsidRPr="005B326D">
        <w:t>.</w:t>
      </w:r>
    </w:p>
    <w:p w14:paraId="63E5EF84" w14:textId="77777777" w:rsidR="009B47B0" w:rsidRPr="005B326D" w:rsidRDefault="009B47B0" w:rsidP="009B47B0">
      <w:pPr>
        <w:pStyle w:val="Heading2"/>
      </w:pPr>
      <w:bookmarkStart w:id="31" w:name="_Toc508884448"/>
      <w:bookmarkStart w:id="32" w:name="_Toc508979226"/>
      <w:bookmarkStart w:id="33" w:name="_Toc509585580"/>
      <w:bookmarkStart w:id="34" w:name="_Toc509828151"/>
      <w:bookmarkStart w:id="35" w:name="_Toc534812493"/>
      <w:bookmarkStart w:id="36" w:name="_Toc534887399"/>
      <w:bookmarkStart w:id="37" w:name="_Toc534896780"/>
      <w:bookmarkStart w:id="38" w:name="_Toc90649831"/>
      <w:r w:rsidRPr="005B326D">
        <w:lastRenderedPageBreak/>
        <w:t>Filing Exemptions</w:t>
      </w:r>
      <w:bookmarkEnd w:id="31"/>
      <w:bookmarkEnd w:id="32"/>
      <w:bookmarkEnd w:id="33"/>
      <w:bookmarkEnd w:id="34"/>
      <w:bookmarkEnd w:id="35"/>
      <w:bookmarkEnd w:id="36"/>
      <w:bookmarkEnd w:id="37"/>
      <w:bookmarkEnd w:id="38"/>
      <w:r w:rsidRPr="005B326D">
        <w:t xml:space="preserve"> </w:t>
      </w:r>
    </w:p>
    <w:p w14:paraId="07227B8A" w14:textId="77777777" w:rsidR="009B47B0" w:rsidRPr="001B0683" w:rsidRDefault="009B47B0" w:rsidP="009B47B0">
      <w:pPr>
        <w:pStyle w:val="Heading4"/>
      </w:pPr>
      <w:bookmarkStart w:id="39" w:name="_Toc534887400"/>
      <w:bookmarkStart w:id="40" w:name="_Toc90649832"/>
      <w:r w:rsidRPr="00843346">
        <w:t>Limited Filing Exemption for RMBS and CMBS</w:t>
      </w:r>
      <w:bookmarkEnd w:id="39"/>
      <w:bookmarkEnd w:id="40"/>
      <w:r w:rsidRPr="001B0683">
        <w:t xml:space="preserve"> </w:t>
      </w:r>
    </w:p>
    <w:p w14:paraId="50EA15C7" w14:textId="2BA9D50D" w:rsidR="009B47B0" w:rsidRPr="005B326D" w:rsidRDefault="009445AB" w:rsidP="009B47B0">
      <w:pPr>
        <w:pStyle w:val="ListParagraph"/>
      </w:pPr>
      <w:r w:rsidRPr="009445AB">
        <w:rPr>
          <w:b/>
          <w:color w:val="FF0000"/>
        </w:rPr>
        <w:t xml:space="preserve">CLO, </w:t>
      </w:r>
      <w:r w:rsidR="009B47B0" w:rsidRPr="00CF57B8">
        <w:rPr>
          <w:b/>
        </w:rPr>
        <w:t xml:space="preserve">RMBS and CMBS that </w:t>
      </w:r>
      <w:r w:rsidR="009B47B0">
        <w:rPr>
          <w:b/>
        </w:rPr>
        <w:t>C</w:t>
      </w:r>
      <w:r w:rsidR="009B47B0" w:rsidRPr="00CF57B8">
        <w:rPr>
          <w:b/>
        </w:rPr>
        <w:t>an be Financially</w:t>
      </w:r>
      <w:r w:rsidR="009B47B0" w:rsidRPr="005B326D">
        <w:t xml:space="preserve"> </w:t>
      </w:r>
      <w:r w:rsidR="009B47B0" w:rsidRPr="00CF57B8">
        <w:rPr>
          <w:b/>
        </w:rPr>
        <w:t>Modeled</w:t>
      </w:r>
      <w:r w:rsidR="009B47B0">
        <w:t xml:space="preserve"> – </w:t>
      </w:r>
      <w:r w:rsidRPr="009445AB">
        <w:rPr>
          <w:color w:val="FF0000"/>
        </w:rPr>
        <w:t xml:space="preserve">CLO, </w:t>
      </w:r>
      <w:r w:rsidR="009B47B0" w:rsidRPr="005B326D">
        <w:t xml:space="preserve">RMBS and CMBS that can be financially modeled are exempt from filing with the SVO. NAIC Designations for </w:t>
      </w:r>
      <w:r w:rsidRPr="009445AB">
        <w:rPr>
          <w:color w:val="FF0000"/>
        </w:rPr>
        <w:t xml:space="preserve">CLO, </w:t>
      </w:r>
      <w:r w:rsidR="009B47B0" w:rsidRPr="005B326D">
        <w:t xml:space="preserve">RMBS and CMBS that can be financially modeled are determined by application of the methodology discussed in this Part, not by the use of credit ratings of CRPs. </w:t>
      </w:r>
    </w:p>
    <w:p w14:paraId="3F52596C" w14:textId="48EB00EC" w:rsidR="009B47B0" w:rsidRPr="009B2E71" w:rsidRDefault="009445AB" w:rsidP="009B47B0">
      <w:pPr>
        <w:pStyle w:val="ListParagraph"/>
        <w:rPr>
          <w:b/>
          <w:bCs/>
        </w:rPr>
      </w:pPr>
      <w:r w:rsidRPr="009445AB">
        <w:rPr>
          <w:b/>
          <w:bCs/>
          <w:color w:val="FF0000"/>
        </w:rPr>
        <w:t xml:space="preserve">CLO, </w:t>
      </w:r>
      <w:r w:rsidR="009B47B0" w:rsidRPr="009B2E71">
        <w:rPr>
          <w:b/>
          <w:bCs/>
        </w:rPr>
        <w:t>RMBS and CMBS securities that Cannot be Financially Modeled</w:t>
      </w:r>
    </w:p>
    <w:p w14:paraId="553D4DD0" w14:textId="34CDF785" w:rsidR="009B47B0" w:rsidRPr="005B326D" w:rsidRDefault="009B47B0" w:rsidP="009B47B0">
      <w:pPr>
        <w:pStyle w:val="Sublisting"/>
        <w:tabs>
          <w:tab w:val="clear" w:pos="360"/>
        </w:tabs>
      </w:pPr>
      <w:r w:rsidRPr="00831769">
        <w:rPr>
          <w:b/>
        </w:rPr>
        <w:t xml:space="preserve">But </w:t>
      </w:r>
      <w:r>
        <w:rPr>
          <w:b/>
        </w:rPr>
        <w:t>A</w:t>
      </w:r>
      <w:r w:rsidRPr="00831769">
        <w:rPr>
          <w:b/>
        </w:rPr>
        <w:t xml:space="preserve">re </w:t>
      </w:r>
      <w:r>
        <w:rPr>
          <w:b/>
        </w:rPr>
        <w:t>R</w:t>
      </w:r>
      <w:r w:rsidRPr="00831769">
        <w:rPr>
          <w:b/>
        </w:rPr>
        <w:t>ated by a CRP</w:t>
      </w:r>
      <w:r>
        <w:t xml:space="preserve"> – </w:t>
      </w:r>
      <w:r w:rsidR="009445AB" w:rsidRPr="009445AB">
        <w:rPr>
          <w:color w:val="FF0000"/>
        </w:rPr>
        <w:t xml:space="preserve">CLO, </w:t>
      </w:r>
      <w:r w:rsidRPr="005B326D">
        <w:t xml:space="preserve">RMBS and CMBS that cannot be financially modeled but that are rated by a CRP are exempt from filing with the SSG. The NAIC Designations for these </w:t>
      </w:r>
      <w:r w:rsidR="009445AB" w:rsidRPr="009445AB">
        <w:rPr>
          <w:color w:val="FF0000"/>
        </w:rPr>
        <w:t xml:space="preserve">CLO, </w:t>
      </w:r>
      <w:r w:rsidRPr="005B326D">
        <w:t xml:space="preserve">RMBS and CMBS are determined by application of the filing exemption </w:t>
      </w:r>
      <w:r>
        <w:t xml:space="preserve">procedures </w:t>
      </w:r>
      <w:r w:rsidRPr="005B326D">
        <w:t xml:space="preserve">discussed in this </w:t>
      </w:r>
      <w:r>
        <w:t>Manual</w:t>
      </w:r>
      <w:r w:rsidRPr="005B326D">
        <w:t>.</w:t>
      </w:r>
    </w:p>
    <w:p w14:paraId="2BDF0CA4" w14:textId="2E5D398B" w:rsidR="009B47B0" w:rsidRPr="005B326D" w:rsidRDefault="009B47B0" w:rsidP="009B47B0">
      <w:pPr>
        <w:pStyle w:val="Sublisting"/>
        <w:tabs>
          <w:tab w:val="clear" w:pos="360"/>
        </w:tabs>
      </w:pPr>
      <w:r w:rsidRPr="00831769">
        <w:rPr>
          <w:b/>
        </w:rPr>
        <w:t xml:space="preserve">But </w:t>
      </w:r>
      <w:r>
        <w:rPr>
          <w:b/>
        </w:rPr>
        <w:t>A</w:t>
      </w:r>
      <w:r w:rsidRPr="00831769">
        <w:rPr>
          <w:b/>
        </w:rPr>
        <w:t xml:space="preserve">re </w:t>
      </w:r>
      <w:r>
        <w:rPr>
          <w:b/>
        </w:rPr>
        <w:t>N</w:t>
      </w:r>
      <w:r w:rsidRPr="00831769">
        <w:rPr>
          <w:b/>
        </w:rPr>
        <w:t xml:space="preserve">ot </w:t>
      </w:r>
      <w:r>
        <w:rPr>
          <w:b/>
        </w:rPr>
        <w:t>R</w:t>
      </w:r>
      <w:r w:rsidRPr="00831769">
        <w:rPr>
          <w:b/>
        </w:rPr>
        <w:t>ated by a CRP</w:t>
      </w:r>
      <w:r>
        <w:t xml:space="preserve"> – </w:t>
      </w:r>
      <w:r w:rsidR="009445AB" w:rsidRPr="009445AB">
        <w:rPr>
          <w:color w:val="FF0000"/>
        </w:rPr>
        <w:t xml:space="preserve">CLO, </w:t>
      </w:r>
      <w:r w:rsidRPr="005B326D">
        <w:t>RMBS and CMBS that cannot be financially modeled and that are not rated by a CRP are not filing exempt and must be filed with the SSG</w:t>
      </w:r>
      <w:r>
        <w:t xml:space="preserve"> or follow the procedures,</w:t>
      </w:r>
      <w:r w:rsidRPr="005B326D">
        <w:t xml:space="preserve"> as discussed below in this Part.</w:t>
      </w:r>
      <w:r>
        <w:t xml:space="preserve"> </w:t>
      </w:r>
    </w:p>
    <w:p w14:paraId="26F4AE85" w14:textId="77777777" w:rsidR="009B47B0" w:rsidRPr="005B326D" w:rsidRDefault="009B47B0" w:rsidP="009B47B0">
      <w:pPr>
        <w:pStyle w:val="Heading4"/>
      </w:pPr>
      <w:bookmarkStart w:id="41" w:name="_Toc508884449"/>
      <w:bookmarkStart w:id="42" w:name="_Toc508979227"/>
      <w:bookmarkStart w:id="43" w:name="_Toc534887401"/>
      <w:bookmarkStart w:id="44" w:name="_Toc90649833"/>
      <w:r w:rsidRPr="00843346">
        <w:t>Filing Exemption for ABS</w:t>
      </w:r>
      <w:bookmarkEnd w:id="41"/>
      <w:bookmarkEnd w:id="42"/>
      <w:bookmarkEnd w:id="43"/>
      <w:bookmarkEnd w:id="44"/>
    </w:p>
    <w:p w14:paraId="13D7EDF9" w14:textId="77777777" w:rsidR="009B47B0" w:rsidRPr="005B326D" w:rsidRDefault="009B47B0" w:rsidP="009B47B0">
      <w:pPr>
        <w:pStyle w:val="ListParagraph"/>
      </w:pPr>
      <w:r w:rsidRPr="005B326D">
        <w:t xml:space="preserve">ABS rated by a CRP are exempt from filing with the SSG. </w:t>
      </w:r>
    </w:p>
    <w:p w14:paraId="5DD13223" w14:textId="77777777" w:rsidR="009B47B0" w:rsidRPr="005B326D" w:rsidRDefault="009B47B0" w:rsidP="009B47B0">
      <w:pPr>
        <w:pStyle w:val="Heading4"/>
      </w:pPr>
      <w:bookmarkStart w:id="45" w:name="_Toc534887402"/>
      <w:bookmarkStart w:id="46" w:name="_Toc90649834"/>
      <w:r w:rsidRPr="00843346">
        <w:t>Review of Decisions of the SSG</w:t>
      </w:r>
      <w:bookmarkEnd w:id="45"/>
      <w:bookmarkEnd w:id="46"/>
      <w:r w:rsidRPr="005B326D">
        <w:t xml:space="preserve"> </w:t>
      </w:r>
    </w:p>
    <w:p w14:paraId="3D7D49E6" w14:textId="77777777" w:rsidR="009B47B0" w:rsidRPr="005B326D" w:rsidRDefault="009B47B0" w:rsidP="009B47B0">
      <w:pPr>
        <w:pStyle w:val="ListParagraph"/>
      </w:pPr>
      <w:r w:rsidRPr="005B326D">
        <w:t xml:space="preserve">Analytical decisions made through the application of financial modeling are not subject to the appeal process. In the absence of an appeal, the SSG shall provide whatever clarification as to the results of financial modeling is possible to any insurer who requests it and owns the security, provided that it is not unduly burdensome for the SSG to do so. Any decision made by the SSG that results in the assignment of an NAIC Designation and does not involve financial modeling methodology, whether developed by the SSG on its own or in collaboration with the SVO, is subject to the appeal process. </w:t>
      </w:r>
    </w:p>
    <w:p w14:paraId="0A88C696" w14:textId="77777777" w:rsidR="009B47B0" w:rsidRPr="005B326D" w:rsidRDefault="009B47B0" w:rsidP="009B47B0">
      <w:pPr>
        <w:pStyle w:val="Heading2"/>
      </w:pPr>
      <w:bookmarkStart w:id="47" w:name="_Toc508979048"/>
      <w:bookmarkStart w:id="48" w:name="_Toc508979101"/>
      <w:bookmarkStart w:id="49" w:name="_Toc508979228"/>
      <w:bookmarkStart w:id="50" w:name="_Toc509585581"/>
      <w:bookmarkStart w:id="51" w:name="_Toc509828152"/>
      <w:bookmarkStart w:id="52" w:name="_Toc534812494"/>
      <w:bookmarkStart w:id="53" w:name="_Toc534887403"/>
      <w:bookmarkStart w:id="54" w:name="_Toc534896781"/>
      <w:bookmarkStart w:id="55" w:name="_Toc90649835"/>
      <w:r w:rsidRPr="00843346">
        <w:lastRenderedPageBreak/>
        <w:t>Required Data and Documents</w:t>
      </w:r>
      <w:r>
        <w:fldChar w:fldCharType="begin"/>
      </w:r>
      <w:r>
        <w:instrText xml:space="preserve"> XE "</w:instrText>
      </w:r>
      <w:r w:rsidRPr="00D907B6">
        <w:instrText>NAIC Structured Securities Group:Required Data adn Documents</w:instrText>
      </w:r>
      <w:r>
        <w:instrText xml:space="preserve">" </w:instrText>
      </w:r>
      <w:r>
        <w:fldChar w:fldCharType="end"/>
      </w:r>
      <w:r w:rsidRPr="005B326D">
        <w:t xml:space="preserve"> </w:t>
      </w:r>
      <w:r>
        <w:t>f</w:t>
      </w:r>
      <w:r w:rsidRPr="005B326D">
        <w:t xml:space="preserve">or Transactions Submitted </w:t>
      </w:r>
      <w:r>
        <w:t>t</w:t>
      </w:r>
      <w:r w:rsidRPr="005B326D">
        <w:t xml:space="preserve">o </w:t>
      </w:r>
      <w:r>
        <w:t>t</w:t>
      </w:r>
      <w:r w:rsidRPr="005B326D">
        <w:t>he SSG</w:t>
      </w:r>
      <w:bookmarkEnd w:id="47"/>
      <w:bookmarkEnd w:id="48"/>
      <w:bookmarkEnd w:id="49"/>
      <w:bookmarkEnd w:id="50"/>
      <w:bookmarkEnd w:id="51"/>
      <w:bookmarkEnd w:id="52"/>
      <w:bookmarkEnd w:id="53"/>
      <w:bookmarkEnd w:id="54"/>
      <w:bookmarkEnd w:id="55"/>
    </w:p>
    <w:p w14:paraId="3C372DA7" w14:textId="77777777" w:rsidR="009B47B0" w:rsidRPr="007D1C45" w:rsidRDefault="009B47B0" w:rsidP="009B47B0">
      <w:pPr>
        <w:pStyle w:val="ListParagraph"/>
      </w:pPr>
      <w:r w:rsidRPr="007D1C45">
        <w:t xml:space="preserve">The policy statement set forth in this </w:t>
      </w:r>
      <w:r>
        <w:t>s</w:t>
      </w:r>
      <w:r w:rsidRPr="007D1C45">
        <w:t>ection shall be applicable generally to any transaction filed with the SSG for an analytical assessment, including, but not limited to, a Price Grid or for assignment of an NAIC</w:t>
      </w:r>
      <w:r>
        <w:t xml:space="preserve"> Designation</w:t>
      </w:r>
      <w:r w:rsidRPr="007D1C45">
        <w:t>. Any filing with the SSG is deemed to be incomplete unless the insurer has provided the information, documentation, and data in quantity and quality sufficient to permit the SSG to conduct an analysis of the creditworthiness of the issuer and the terms of the security to determine the requested analytical value. It is the obligation of the reporting insurance company to provide the SSG with all necessary information. It is the responsibility of the SSG to determine whether the information provided is sufficient and reliable for its purposes and to communicate informational deficiencies</w:t>
      </w:r>
      <w:r>
        <w:fldChar w:fldCharType="begin"/>
      </w:r>
      <w:r>
        <w:instrText xml:space="preserve"> XE "</w:instrText>
      </w:r>
      <w:r w:rsidRPr="0040508A">
        <w:instrText>informational deficiencies</w:instrText>
      </w:r>
      <w:r>
        <w:instrText xml:space="preserve">" </w:instrText>
      </w:r>
      <w:r>
        <w:fldChar w:fldCharType="end"/>
      </w:r>
      <w:r w:rsidRPr="007D1C45">
        <w:t xml:space="preserve"> to the reporting insurance company.</w:t>
      </w:r>
      <w:r>
        <w:t xml:space="preserve"> </w:t>
      </w:r>
    </w:p>
    <w:p w14:paraId="2BDF2C3F" w14:textId="77777777" w:rsidR="009B47B0" w:rsidRPr="005B326D" w:rsidRDefault="009B47B0" w:rsidP="009B47B0">
      <w:pPr>
        <w:pStyle w:val="Heading4"/>
      </w:pPr>
      <w:bookmarkStart w:id="56" w:name="_Toc534887404"/>
      <w:bookmarkStart w:id="57" w:name="_Toc90649836"/>
      <w:bookmarkStart w:id="58" w:name="_Toc508884451"/>
      <w:bookmarkStart w:id="59" w:name="_Toc508979230"/>
      <w:bookmarkStart w:id="60" w:name="_Toc509585583"/>
      <w:bookmarkStart w:id="61" w:name="_Toc509828154"/>
      <w:r w:rsidRPr="005B326D">
        <w:t>Documentation Standards</w:t>
      </w:r>
      <w:bookmarkEnd w:id="56"/>
      <w:bookmarkEnd w:id="57"/>
      <w:r w:rsidRPr="005B326D">
        <w:t xml:space="preserve"> </w:t>
      </w:r>
      <w:bookmarkEnd w:id="58"/>
      <w:bookmarkEnd w:id="59"/>
      <w:bookmarkEnd w:id="60"/>
      <w:bookmarkEnd w:id="61"/>
    </w:p>
    <w:p w14:paraId="2BB138CA" w14:textId="277521A4" w:rsidR="009B47B0" w:rsidRPr="005B326D" w:rsidRDefault="009B47B0" w:rsidP="009B47B0">
      <w:pPr>
        <w:pStyle w:val="ListParagraph"/>
      </w:pPr>
      <w:r w:rsidRPr="005B326D">
        <w:t xml:space="preserve">In order for an insurer-owned </w:t>
      </w:r>
      <w:r w:rsidR="00B73916" w:rsidRPr="004B35F7">
        <w:rPr>
          <w:color w:val="FF0000"/>
        </w:rPr>
        <w:t>CLO,</w:t>
      </w:r>
      <w:r>
        <w:rPr>
          <w:color w:val="FF0000"/>
        </w:rPr>
        <w:t xml:space="preserve"> </w:t>
      </w:r>
      <w:r w:rsidRPr="005B326D">
        <w:t xml:space="preserve">RMBS or CMBS to be eligible for the year-end modeling process, conducted pursuant to this </w:t>
      </w:r>
      <w:r>
        <w:t>s</w:t>
      </w:r>
      <w:r w:rsidRPr="005B326D">
        <w:t>ection below, the analysis must be based on information, documentation and data of the utmost integrity.</w:t>
      </w:r>
      <w:r>
        <w:t xml:space="preserve"> </w:t>
      </w:r>
      <w:r w:rsidRPr="005B326D">
        <w:t>A Legacy Security must meet the Ongoing Information requirements.</w:t>
      </w:r>
      <w:r>
        <w:t xml:space="preserve"> </w:t>
      </w:r>
      <w:r w:rsidRPr="005B326D">
        <w:t xml:space="preserve">A </w:t>
      </w:r>
      <w:r w:rsidR="009445AB" w:rsidRPr="009445AB">
        <w:rPr>
          <w:color w:val="FF0000"/>
        </w:rPr>
        <w:t>CLO,</w:t>
      </w:r>
      <w:r w:rsidR="009445AB">
        <w:t xml:space="preserve"> </w:t>
      </w:r>
      <w:r w:rsidRPr="005B326D">
        <w:t>RMBS, CMBS or Re-REMIC that is not a Legacy Security must meet the Initial Information and Ongoing Information requirements. For the purposes of determining a Re-REMIC</w:t>
      </w:r>
      <w:r>
        <w:t>’</w:t>
      </w:r>
      <w:r w:rsidRPr="005B326D">
        <w:t>s status as a Legacy Security, the closing date of the Re-REMIC (not the Underlying Security) shall be used.</w:t>
      </w:r>
      <w:r>
        <w:t xml:space="preserve"> </w:t>
      </w:r>
      <w:r w:rsidRPr="005B326D">
        <w:t xml:space="preserve">The SSG may, in its sole discretion, determine that the Initial Information and/or Ongoing Information is not sufficient and/or not reliable to permit the </w:t>
      </w:r>
      <w:r w:rsidR="009445AB" w:rsidRPr="009445AB">
        <w:rPr>
          <w:color w:val="FF0000"/>
        </w:rPr>
        <w:t xml:space="preserve">CLO, </w:t>
      </w:r>
      <w:r w:rsidRPr="005B326D">
        <w:t xml:space="preserve">RMBS or CMBS CUSIP to be eligible for financial modeling. If the SSG determines that the Initial Information and/or Ongoing Information is not sufficient and/or not reliable to permit the </w:t>
      </w:r>
      <w:r w:rsidR="009445AB" w:rsidRPr="009445AB">
        <w:rPr>
          <w:color w:val="FF0000"/>
        </w:rPr>
        <w:t>CLO,</w:t>
      </w:r>
      <w:r w:rsidR="009445AB">
        <w:t xml:space="preserve"> </w:t>
      </w:r>
      <w:r w:rsidRPr="005B326D">
        <w:t xml:space="preserve">RMBS or CMBS CUSIP to be eligible for financial modeling, it will communicate this decision to the insurer and invite a dialogue to ascertain whether alternative information is available that would be deemed sufficient and/or reliable by the SSG. </w:t>
      </w:r>
    </w:p>
    <w:p w14:paraId="48DC774C" w14:textId="77777777" w:rsidR="009B47B0" w:rsidRPr="005B326D" w:rsidRDefault="009B47B0" w:rsidP="009B47B0">
      <w:pPr>
        <w:pStyle w:val="Heading4"/>
      </w:pPr>
      <w:bookmarkStart w:id="62" w:name="_Toc508884452"/>
      <w:bookmarkStart w:id="63" w:name="_Toc508979231"/>
      <w:bookmarkStart w:id="64" w:name="_Toc534887405"/>
      <w:bookmarkStart w:id="65" w:name="_Toc90649837"/>
      <w:r w:rsidRPr="00843346">
        <w:t>Initial Information Requir</w:t>
      </w:r>
      <w:r>
        <w:fldChar w:fldCharType="begin"/>
      </w:r>
      <w:r>
        <w:instrText xml:space="preserve"> XE "</w:instrText>
      </w:r>
      <w:r w:rsidRPr="00E22D5C">
        <w:instrText>NAIC Structured Securities Group:Initial Information Requirements</w:instrText>
      </w:r>
      <w:r>
        <w:instrText xml:space="preserve">" </w:instrText>
      </w:r>
      <w:r>
        <w:fldChar w:fldCharType="end"/>
      </w:r>
      <w:r>
        <w:fldChar w:fldCharType="begin"/>
      </w:r>
      <w:r>
        <w:instrText xml:space="preserve"> XE "</w:instrText>
      </w:r>
      <w:r w:rsidRPr="00CB0579">
        <w:instrText>NAIC Structured Securities Group:Initial Sufficiency Information Filing</w:instrText>
      </w:r>
      <w:r>
        <w:instrText xml:space="preserve">" </w:instrText>
      </w:r>
      <w:r>
        <w:fldChar w:fldCharType="end"/>
      </w:r>
      <w:r w:rsidRPr="00843346">
        <w:t>ements</w:t>
      </w:r>
      <w:bookmarkEnd w:id="62"/>
      <w:bookmarkEnd w:id="63"/>
      <w:bookmarkEnd w:id="64"/>
      <w:bookmarkEnd w:id="65"/>
      <w:r w:rsidRPr="005B326D">
        <w:t xml:space="preserve"> </w:t>
      </w:r>
    </w:p>
    <w:p w14:paraId="4CD97740" w14:textId="7BB6FDF6" w:rsidR="009B47B0" w:rsidRPr="004531A1" w:rsidRDefault="009B47B0" w:rsidP="009B47B0">
      <w:pPr>
        <w:pStyle w:val="ListParagraph"/>
      </w:pPr>
      <w:r w:rsidRPr="004531A1">
        <w:t xml:space="preserve">A </w:t>
      </w:r>
      <w:r w:rsidR="009445AB" w:rsidRPr="009445AB">
        <w:rPr>
          <w:color w:val="FF0000"/>
        </w:rPr>
        <w:t>CLO,</w:t>
      </w:r>
      <w:r w:rsidR="009445AB">
        <w:t xml:space="preserve"> </w:t>
      </w:r>
      <w:r w:rsidRPr="004531A1">
        <w:t>RMBS or CMBS meets the Initial Information Requirements if the security meets one of the following three conditions:</w:t>
      </w:r>
    </w:p>
    <w:p w14:paraId="4DC0A785" w14:textId="77777777" w:rsidR="009B47B0" w:rsidRPr="005B326D" w:rsidRDefault="009B47B0" w:rsidP="009B47B0">
      <w:pPr>
        <w:pStyle w:val="Sublisting"/>
        <w:tabs>
          <w:tab w:val="clear" w:pos="360"/>
        </w:tabs>
      </w:pPr>
      <w:r w:rsidRPr="00342952">
        <w:rPr>
          <w:b/>
        </w:rPr>
        <w:lastRenderedPageBreak/>
        <w:t>RTAS</w:t>
      </w:r>
      <w:r>
        <w:t xml:space="preserve"> – </w:t>
      </w:r>
      <w:r w:rsidRPr="005B326D">
        <w:t>The RMBS or CMBS was assigned a preliminary price grid or designation as described in this Part;</w:t>
      </w:r>
    </w:p>
    <w:p w14:paraId="72E767EA" w14:textId="5DF5C110" w:rsidR="009B47B0" w:rsidRPr="005B326D" w:rsidRDefault="009B47B0" w:rsidP="009B47B0">
      <w:pPr>
        <w:pStyle w:val="Sublisting"/>
        <w:tabs>
          <w:tab w:val="clear" w:pos="360"/>
        </w:tabs>
      </w:pPr>
      <w:r w:rsidRPr="00342952">
        <w:rPr>
          <w:b/>
        </w:rPr>
        <w:t>Initial Sufficiency Filing</w:t>
      </w:r>
      <w:r>
        <w:t xml:space="preserve"> – </w:t>
      </w:r>
      <w:r w:rsidRPr="005B326D">
        <w:t xml:space="preserve">The </w:t>
      </w:r>
      <w:r w:rsidR="009445AB" w:rsidRPr="009445AB">
        <w:rPr>
          <w:color w:val="FF0000"/>
        </w:rPr>
        <w:t xml:space="preserve">CLO, </w:t>
      </w:r>
      <w:r w:rsidRPr="005B326D">
        <w:t>RMBS or CMBS was reviewed by SSG through an Initial Sufficiency Filing; or</w:t>
      </w:r>
    </w:p>
    <w:p w14:paraId="328A6A9A" w14:textId="76AC6719" w:rsidR="009B47B0" w:rsidRPr="005B326D" w:rsidRDefault="009B47B0" w:rsidP="009B47B0">
      <w:pPr>
        <w:pStyle w:val="Sublisting"/>
        <w:tabs>
          <w:tab w:val="clear" w:pos="360"/>
        </w:tabs>
      </w:pPr>
      <w:r w:rsidRPr="00342952">
        <w:rPr>
          <w:b/>
        </w:rPr>
        <w:t>Safe Harbor</w:t>
      </w:r>
      <w:r>
        <w:t xml:space="preserve"> – </w:t>
      </w:r>
      <w:r w:rsidRPr="005B326D">
        <w:t xml:space="preserve">The </w:t>
      </w:r>
      <w:r w:rsidR="009445AB" w:rsidRPr="009445AB">
        <w:rPr>
          <w:color w:val="FF0000"/>
        </w:rPr>
        <w:t>CLO,</w:t>
      </w:r>
      <w:r w:rsidR="009445AB">
        <w:t xml:space="preserve"> </w:t>
      </w:r>
      <w:r w:rsidRPr="005B326D">
        <w:t>RMBS or CMBS meets the Safe Harbor requirements.</w:t>
      </w:r>
    </w:p>
    <w:p w14:paraId="032873AF" w14:textId="77777777" w:rsidR="009B47B0" w:rsidRPr="005B326D" w:rsidRDefault="009B47B0" w:rsidP="009B47B0">
      <w:pPr>
        <w:pStyle w:val="Heading4"/>
      </w:pPr>
      <w:bookmarkStart w:id="66" w:name="_Toc508884453"/>
      <w:bookmarkStart w:id="67" w:name="_Toc508979232"/>
      <w:bookmarkStart w:id="68" w:name="_Toc534887406"/>
      <w:bookmarkStart w:id="69" w:name="_Toc90649838"/>
      <w:r w:rsidRPr="00843346">
        <w:t>Initial Sufficiency Information Filing</w:t>
      </w:r>
      <w:bookmarkEnd w:id="66"/>
      <w:bookmarkEnd w:id="67"/>
      <w:bookmarkEnd w:id="68"/>
      <w:bookmarkEnd w:id="69"/>
    </w:p>
    <w:p w14:paraId="41EABCF7" w14:textId="4F3B6AFC" w:rsidR="009B47B0" w:rsidRPr="005B326D" w:rsidRDefault="009B47B0" w:rsidP="009B47B0">
      <w:pPr>
        <w:pStyle w:val="ListParagraph"/>
      </w:pPr>
      <w:r w:rsidRPr="005B326D">
        <w:t xml:space="preserve">An insurance company may file </w:t>
      </w:r>
      <w:r w:rsidRPr="004531A1">
        <w:t>Initial</w:t>
      </w:r>
      <w:r w:rsidRPr="005B326D">
        <w:t xml:space="preserve"> Sufficiency Information with the SSG for the purpose of obtaining a determination that a </w:t>
      </w:r>
      <w:r w:rsidR="009445AB" w:rsidRPr="009445AB">
        <w:rPr>
          <w:color w:val="FF0000"/>
        </w:rPr>
        <w:t xml:space="preserve">CLO, </w:t>
      </w:r>
      <w:r w:rsidRPr="005B326D">
        <w:t xml:space="preserve">RMBS or CMBS CUSIP is eligible for financial modeling under the annual surveillance process discussed below. Initial Sufficiency Information is only filed once for any given </w:t>
      </w:r>
      <w:r w:rsidR="00A935B6" w:rsidRPr="00A935B6">
        <w:rPr>
          <w:color w:val="FF0000"/>
        </w:rPr>
        <w:t>CLO,</w:t>
      </w:r>
      <w:r w:rsidR="00A935B6">
        <w:t xml:space="preserve"> </w:t>
      </w:r>
      <w:r w:rsidRPr="005B326D">
        <w:t>RMBS or CMBS. Reporting insurance companies are solely responsible for providing the SSG with Initial Information.</w:t>
      </w:r>
      <w:r>
        <w:t xml:space="preserve"> </w:t>
      </w:r>
      <w:r w:rsidRPr="005B326D">
        <w:t xml:space="preserve">A determination by the SSG that a given </w:t>
      </w:r>
      <w:r w:rsidR="00A935B6" w:rsidRPr="00A935B6">
        <w:rPr>
          <w:color w:val="FF0000"/>
        </w:rPr>
        <w:t xml:space="preserve">CLO, </w:t>
      </w:r>
      <w:r w:rsidRPr="005B326D">
        <w:t>RMBS or CMBS CUSIP is eligible for financial modeling after an Initial Sufficiency Filing assessment is subject to the further and continuing obligation that the SSG obtain or the insurer provide the SSG with updated Ongoing Information close to the date of the annual surveillance.</w:t>
      </w:r>
    </w:p>
    <w:p w14:paraId="65603901" w14:textId="65078866" w:rsidR="009B47B0" w:rsidRPr="005B326D" w:rsidRDefault="009B47B0" w:rsidP="009B47B0">
      <w:pPr>
        <w:pStyle w:val="ListParagraph"/>
      </w:pPr>
      <w:r w:rsidRPr="00756EE0">
        <w:rPr>
          <w:b/>
        </w:rPr>
        <w:t>Required Documents for Initial Sufficiency Filing</w:t>
      </w:r>
      <w:r w:rsidRPr="005B326D">
        <w:t xml:space="preserve"> – An insurer that owns a </w:t>
      </w:r>
      <w:r w:rsidR="00A935B6" w:rsidRPr="00A935B6">
        <w:rPr>
          <w:color w:val="FF0000"/>
        </w:rPr>
        <w:t>CLO,</w:t>
      </w:r>
      <w:r w:rsidR="00A935B6">
        <w:t xml:space="preserve"> </w:t>
      </w:r>
      <w:r w:rsidRPr="005B326D">
        <w:t>RMBS or a CMBS for which Initial Information is not publicly available shall provide the SSG with the following documentation.</w:t>
      </w:r>
      <w:r>
        <w:t xml:space="preserve"> </w:t>
      </w:r>
    </w:p>
    <w:p w14:paraId="41B43B42" w14:textId="40DE150D" w:rsidR="00A935B6" w:rsidRPr="00A935B6" w:rsidRDefault="00A935B6" w:rsidP="00A935B6">
      <w:pPr>
        <w:pStyle w:val="ListParagraph"/>
        <w:rPr>
          <w:color w:val="FF0000"/>
        </w:rPr>
      </w:pPr>
      <w:r w:rsidRPr="00A935B6">
        <w:rPr>
          <w:b/>
          <w:color w:val="FF0000"/>
        </w:rPr>
        <w:t>CLO</w:t>
      </w:r>
      <w:r w:rsidRPr="00A935B6">
        <w:rPr>
          <w:color w:val="FF0000"/>
        </w:rPr>
        <w:t xml:space="preserve"> – Unless otherwise specified by the SSG in a Modeling Alert, as further described below, an Initial Filing for a </w:t>
      </w:r>
      <w:r>
        <w:rPr>
          <w:color w:val="FF0000"/>
        </w:rPr>
        <w:t>CLO</w:t>
      </w:r>
      <w:r w:rsidRPr="00A935B6">
        <w:rPr>
          <w:color w:val="FF0000"/>
        </w:rPr>
        <w:t xml:space="preserve"> consists of submission of Initial Information and Ongoing Information in the form of the following documentation: </w:t>
      </w:r>
    </w:p>
    <w:p w14:paraId="3A52300A" w14:textId="77777777" w:rsidR="00A935B6" w:rsidRPr="00A935B6" w:rsidRDefault="00A935B6" w:rsidP="00A935B6">
      <w:pPr>
        <w:pStyle w:val="Sublisting"/>
        <w:tabs>
          <w:tab w:val="clear" w:pos="360"/>
        </w:tabs>
        <w:rPr>
          <w:color w:val="FF0000"/>
        </w:rPr>
      </w:pPr>
      <w:r w:rsidRPr="00A935B6">
        <w:rPr>
          <w:color w:val="FF0000"/>
        </w:rPr>
        <w:t>Pooling and Servicing Agreement or similar</w:t>
      </w:r>
    </w:p>
    <w:p w14:paraId="7E09BA08" w14:textId="77777777" w:rsidR="00A935B6" w:rsidRPr="00A935B6" w:rsidRDefault="00A935B6" w:rsidP="00A935B6">
      <w:pPr>
        <w:pStyle w:val="Sublisting"/>
        <w:tabs>
          <w:tab w:val="clear" w:pos="360"/>
        </w:tabs>
        <w:rPr>
          <w:color w:val="FF0000"/>
        </w:rPr>
      </w:pPr>
      <w:r w:rsidRPr="00A935B6">
        <w:rPr>
          <w:color w:val="FF0000"/>
        </w:rPr>
        <w:t>Prospectus, Offering Memorandum or similar; Accountant’s comfort letter</w:t>
      </w:r>
    </w:p>
    <w:p w14:paraId="5632D345" w14:textId="77777777" w:rsidR="00A935B6" w:rsidRPr="00A935B6" w:rsidRDefault="00A935B6" w:rsidP="00A935B6">
      <w:pPr>
        <w:pStyle w:val="Sublisting"/>
        <w:tabs>
          <w:tab w:val="clear" w:pos="360"/>
        </w:tabs>
        <w:rPr>
          <w:color w:val="FF0000"/>
        </w:rPr>
      </w:pPr>
      <w:r w:rsidRPr="00A935B6">
        <w:rPr>
          <w:color w:val="FF0000"/>
        </w:rPr>
        <w:t>If applicable, ISDA Schedules and Confirmations or similar</w:t>
      </w:r>
    </w:p>
    <w:p w14:paraId="76DFDC66" w14:textId="77777777" w:rsidR="00A935B6" w:rsidRPr="00A935B6" w:rsidRDefault="00A935B6" w:rsidP="00A935B6">
      <w:pPr>
        <w:pStyle w:val="Sublisting"/>
        <w:tabs>
          <w:tab w:val="clear" w:pos="360"/>
        </w:tabs>
        <w:rPr>
          <w:color w:val="FF0000"/>
        </w:rPr>
      </w:pPr>
      <w:r w:rsidRPr="00A935B6">
        <w:rPr>
          <w:color w:val="FF0000"/>
        </w:rPr>
        <w:t xml:space="preserve">Legal opinions given in connection with the transaction </w:t>
      </w:r>
    </w:p>
    <w:p w14:paraId="05172933" w14:textId="77777777" w:rsidR="00A935B6" w:rsidRPr="00A935B6" w:rsidRDefault="00A935B6" w:rsidP="00A935B6">
      <w:pPr>
        <w:pStyle w:val="Sublisting"/>
        <w:tabs>
          <w:tab w:val="clear" w:pos="360"/>
        </w:tabs>
        <w:rPr>
          <w:color w:val="FF0000"/>
        </w:rPr>
      </w:pPr>
      <w:r w:rsidRPr="00A935B6">
        <w:rPr>
          <w:color w:val="FF0000"/>
        </w:rPr>
        <w:t>Any other documents referenced by the above</w:t>
      </w:r>
    </w:p>
    <w:p w14:paraId="64942B9E" w14:textId="77777777" w:rsidR="00A935B6" w:rsidRPr="00A935B6" w:rsidRDefault="00A935B6" w:rsidP="00A935B6">
      <w:pPr>
        <w:pStyle w:val="Sublisting"/>
        <w:tabs>
          <w:tab w:val="clear" w:pos="360"/>
        </w:tabs>
        <w:rPr>
          <w:color w:val="FF0000"/>
        </w:rPr>
      </w:pPr>
      <w:r w:rsidRPr="00A935B6">
        <w:rPr>
          <w:color w:val="FF0000"/>
        </w:rPr>
        <w:t>Third-Party Due diligence scope document and raw results. If less than 100% due diligence, detailed description of the loan selection process</w:t>
      </w:r>
    </w:p>
    <w:p w14:paraId="226C4E0F" w14:textId="77777777" w:rsidR="00B602A4" w:rsidRDefault="00A935B6" w:rsidP="009B47B0">
      <w:pPr>
        <w:pStyle w:val="Sublisting"/>
        <w:tabs>
          <w:tab w:val="clear" w:pos="360"/>
        </w:tabs>
        <w:rPr>
          <w:color w:val="FF0000"/>
        </w:rPr>
      </w:pPr>
      <w:r w:rsidRPr="00A935B6">
        <w:rPr>
          <w:color w:val="FF0000"/>
        </w:rPr>
        <w:t xml:space="preserve">If applicable, loan purchase agreements or similar. </w:t>
      </w:r>
    </w:p>
    <w:p w14:paraId="3FD0A0C3" w14:textId="1E78FC1B" w:rsidR="00A935B6" w:rsidRDefault="00A935B6" w:rsidP="009B47B0">
      <w:pPr>
        <w:pStyle w:val="Sublisting"/>
        <w:tabs>
          <w:tab w:val="clear" w:pos="360"/>
        </w:tabs>
        <w:rPr>
          <w:color w:val="FF0000"/>
        </w:rPr>
      </w:pPr>
      <w:r w:rsidRPr="00A935B6">
        <w:rPr>
          <w:color w:val="FF0000"/>
        </w:rPr>
        <w:lastRenderedPageBreak/>
        <w:t>Loan Tape</w:t>
      </w:r>
    </w:p>
    <w:p w14:paraId="223F68CB" w14:textId="6E3B3875" w:rsidR="00A935B6" w:rsidRDefault="00A935B6" w:rsidP="009B47B0">
      <w:pPr>
        <w:pStyle w:val="Sublisting"/>
        <w:tabs>
          <w:tab w:val="clear" w:pos="360"/>
        </w:tabs>
        <w:rPr>
          <w:color w:val="FF0000"/>
        </w:rPr>
      </w:pPr>
      <w:r>
        <w:rPr>
          <w:color w:val="FF0000"/>
        </w:rPr>
        <w:t>All eligible CRP ratings for underlying loan portfolio.</w:t>
      </w:r>
    </w:p>
    <w:p w14:paraId="00D6894C" w14:textId="7FAB721D" w:rsidR="00A935B6" w:rsidRPr="00A935B6" w:rsidRDefault="00A935B6" w:rsidP="00A935B6">
      <w:pPr>
        <w:pStyle w:val="Sublisting"/>
        <w:tabs>
          <w:tab w:val="clear" w:pos="360"/>
        </w:tabs>
        <w:rPr>
          <w:color w:val="FF0000"/>
        </w:rPr>
      </w:pPr>
      <w:r>
        <w:rPr>
          <w:color w:val="FF0000"/>
        </w:rPr>
        <w:t xml:space="preserve">For each unrated underlying loans, the </w:t>
      </w:r>
      <w:r w:rsidRPr="00A935B6">
        <w:rPr>
          <w:color w:val="FF0000"/>
        </w:rPr>
        <w:t xml:space="preserve">Prospectus, Offering Memorandum or similar; </w:t>
      </w:r>
      <w:r>
        <w:rPr>
          <w:color w:val="FF0000"/>
        </w:rPr>
        <w:t>3-years of audited financial statements for the issuing entity.</w:t>
      </w:r>
    </w:p>
    <w:p w14:paraId="3777D413" w14:textId="28FAFD35" w:rsidR="009B47B0" w:rsidRPr="005B326D" w:rsidRDefault="009B47B0" w:rsidP="009B47B0">
      <w:pPr>
        <w:pStyle w:val="ListParagraph"/>
      </w:pPr>
      <w:r w:rsidRPr="00756EE0">
        <w:rPr>
          <w:b/>
        </w:rPr>
        <w:t>RMBS</w:t>
      </w:r>
      <w:r>
        <w:t xml:space="preserve"> – </w:t>
      </w:r>
      <w:r w:rsidRPr="005B326D">
        <w:t xml:space="preserve">Unless otherwise </w:t>
      </w:r>
      <w:r w:rsidRPr="00342952">
        <w:t>specified</w:t>
      </w:r>
      <w:r w:rsidRPr="005B326D">
        <w:t xml:space="preserve"> by the SSG in a Modeling Alert, as further described below, an Initial Filing for an RMBS consists of submission of Initial Information and Ongoing Information in the form of the following documentation: </w:t>
      </w:r>
    </w:p>
    <w:p w14:paraId="0B0FA849" w14:textId="77777777" w:rsidR="009B47B0" w:rsidRPr="00342952" w:rsidRDefault="009B47B0" w:rsidP="009B47B0">
      <w:pPr>
        <w:pStyle w:val="Sublisting"/>
        <w:tabs>
          <w:tab w:val="clear" w:pos="360"/>
        </w:tabs>
      </w:pPr>
      <w:r w:rsidRPr="005B326D">
        <w:t>Po</w:t>
      </w:r>
      <w:r w:rsidRPr="00342952">
        <w:t>oling and Servicing Agreement or similar</w:t>
      </w:r>
    </w:p>
    <w:p w14:paraId="72B7A1A7" w14:textId="77777777" w:rsidR="009B47B0" w:rsidRPr="00342952" w:rsidRDefault="009B47B0" w:rsidP="009B47B0">
      <w:pPr>
        <w:pStyle w:val="Sublisting"/>
        <w:tabs>
          <w:tab w:val="clear" w:pos="360"/>
        </w:tabs>
      </w:pPr>
      <w:r w:rsidRPr="00342952">
        <w:t>Prospectus, Offering Memorandum or similar; Accountant</w:t>
      </w:r>
      <w:r>
        <w:t>’</w:t>
      </w:r>
      <w:r w:rsidRPr="00342952">
        <w:t>s comfort letter</w:t>
      </w:r>
    </w:p>
    <w:p w14:paraId="09C17929" w14:textId="77777777" w:rsidR="009B47B0" w:rsidRPr="00342952" w:rsidRDefault="009B47B0" w:rsidP="009B47B0">
      <w:pPr>
        <w:pStyle w:val="Sublisting"/>
        <w:tabs>
          <w:tab w:val="clear" w:pos="360"/>
        </w:tabs>
      </w:pPr>
      <w:r w:rsidRPr="00342952">
        <w:t>If applicable, ISDA Schedules and Confirmations or similar</w:t>
      </w:r>
    </w:p>
    <w:p w14:paraId="5E51C62D" w14:textId="77777777" w:rsidR="009B47B0" w:rsidRPr="00342952" w:rsidRDefault="009B47B0" w:rsidP="009B47B0">
      <w:pPr>
        <w:pStyle w:val="Sublisting"/>
        <w:tabs>
          <w:tab w:val="clear" w:pos="360"/>
        </w:tabs>
      </w:pPr>
      <w:r w:rsidRPr="00342952">
        <w:t xml:space="preserve">Legal opinions given in connection with the transaction </w:t>
      </w:r>
    </w:p>
    <w:p w14:paraId="022C939A" w14:textId="77777777" w:rsidR="009B47B0" w:rsidRPr="00342952" w:rsidRDefault="009B47B0" w:rsidP="009B47B0">
      <w:pPr>
        <w:pStyle w:val="Sublisting"/>
        <w:tabs>
          <w:tab w:val="clear" w:pos="360"/>
        </w:tabs>
      </w:pPr>
      <w:r w:rsidRPr="00342952">
        <w:t>Any other documents referenced by the above</w:t>
      </w:r>
    </w:p>
    <w:p w14:paraId="032739F7" w14:textId="77777777" w:rsidR="009B47B0" w:rsidRPr="00342952" w:rsidRDefault="009B47B0" w:rsidP="009B47B0">
      <w:pPr>
        <w:pStyle w:val="Sublisting"/>
        <w:tabs>
          <w:tab w:val="clear" w:pos="360"/>
        </w:tabs>
      </w:pPr>
      <w:r w:rsidRPr="00342952">
        <w:t>Third-Party Due diligence scope document and raw results. If less than 100% due diligence, detailed description of the loan selection process</w:t>
      </w:r>
    </w:p>
    <w:p w14:paraId="12E762FF" w14:textId="77777777" w:rsidR="009B47B0" w:rsidRPr="005B326D" w:rsidRDefault="009B47B0" w:rsidP="009B47B0">
      <w:pPr>
        <w:pStyle w:val="Sublisting"/>
        <w:tabs>
          <w:tab w:val="clear" w:pos="360"/>
        </w:tabs>
      </w:pPr>
      <w:r w:rsidRPr="00342952">
        <w:t>If applicable, loan purchase</w:t>
      </w:r>
      <w:r w:rsidRPr="005B326D">
        <w:t xml:space="preserve"> agreements or similar. Loan Tape</w:t>
      </w:r>
    </w:p>
    <w:p w14:paraId="51CD85D5" w14:textId="77777777" w:rsidR="009B47B0" w:rsidRPr="005B326D" w:rsidRDefault="009B47B0" w:rsidP="009B47B0">
      <w:pPr>
        <w:pStyle w:val="ListParagraph"/>
      </w:pPr>
      <w:r w:rsidRPr="00756EE0">
        <w:rPr>
          <w:b/>
        </w:rPr>
        <w:t>CMBS</w:t>
      </w:r>
      <w:r>
        <w:t xml:space="preserve"> – </w:t>
      </w:r>
      <w:r w:rsidRPr="005B326D">
        <w:t xml:space="preserve">Unless otherwise specified by the SSG in a Modeling Alert, as further described below, an Initial Filing for a CMBS consists of submission of Initial Information and Ongoing Information in the form of the following documentation: </w:t>
      </w:r>
    </w:p>
    <w:p w14:paraId="54940D3F" w14:textId="77777777" w:rsidR="009B47B0" w:rsidRPr="00342952" w:rsidRDefault="009B47B0" w:rsidP="009B47B0">
      <w:pPr>
        <w:pStyle w:val="Sublisting"/>
        <w:tabs>
          <w:tab w:val="clear" w:pos="360"/>
        </w:tabs>
      </w:pPr>
      <w:r w:rsidRPr="00342952">
        <w:t>Pooling and Servicing Agreement or similar</w:t>
      </w:r>
    </w:p>
    <w:p w14:paraId="4ECCFB7C" w14:textId="77777777" w:rsidR="009B47B0" w:rsidRPr="00342952" w:rsidRDefault="009B47B0" w:rsidP="009B47B0">
      <w:pPr>
        <w:pStyle w:val="Sublisting"/>
        <w:tabs>
          <w:tab w:val="clear" w:pos="360"/>
        </w:tabs>
      </w:pPr>
      <w:r w:rsidRPr="00342952">
        <w:t>Prospectus, Offering Memorandum or similar; Accountant</w:t>
      </w:r>
      <w:r>
        <w:t>’</w:t>
      </w:r>
      <w:r w:rsidRPr="00342952">
        <w:t>s comfort letter</w:t>
      </w:r>
    </w:p>
    <w:p w14:paraId="28D89678" w14:textId="77777777" w:rsidR="009B47B0" w:rsidRPr="00342952" w:rsidRDefault="009B47B0" w:rsidP="009B47B0">
      <w:pPr>
        <w:pStyle w:val="Sublisting"/>
        <w:tabs>
          <w:tab w:val="clear" w:pos="360"/>
        </w:tabs>
      </w:pPr>
      <w:r w:rsidRPr="00342952">
        <w:t>If applicable, ISDA Schedules and Confirmations or similar</w:t>
      </w:r>
    </w:p>
    <w:p w14:paraId="18114BF1" w14:textId="77777777" w:rsidR="009B47B0" w:rsidRPr="00342952" w:rsidRDefault="009B47B0" w:rsidP="009B47B0">
      <w:pPr>
        <w:pStyle w:val="Sublisting"/>
        <w:tabs>
          <w:tab w:val="clear" w:pos="360"/>
        </w:tabs>
      </w:pPr>
      <w:r w:rsidRPr="00342952">
        <w:t xml:space="preserve">Legal opinion given in connection with the transaction </w:t>
      </w:r>
    </w:p>
    <w:p w14:paraId="6A9B27ED" w14:textId="77777777" w:rsidR="009B47B0" w:rsidRPr="00342952" w:rsidRDefault="009B47B0" w:rsidP="009B47B0">
      <w:pPr>
        <w:pStyle w:val="Sublisting"/>
        <w:tabs>
          <w:tab w:val="clear" w:pos="360"/>
        </w:tabs>
      </w:pPr>
      <w:r w:rsidRPr="00342952">
        <w:t>Any other documents reference</w:t>
      </w:r>
      <w:r>
        <w:t>d</w:t>
      </w:r>
      <w:r w:rsidRPr="00342952">
        <w:t xml:space="preserve"> in the above</w:t>
      </w:r>
    </w:p>
    <w:p w14:paraId="5D57A4F5" w14:textId="77777777" w:rsidR="009B47B0" w:rsidRPr="00342952" w:rsidRDefault="009B47B0" w:rsidP="009B47B0">
      <w:pPr>
        <w:pStyle w:val="Sublisting"/>
        <w:tabs>
          <w:tab w:val="clear" w:pos="360"/>
        </w:tabs>
      </w:pPr>
      <w:r w:rsidRPr="00342952">
        <w:t>Asset Summaries</w:t>
      </w:r>
    </w:p>
    <w:p w14:paraId="0660407F" w14:textId="77777777" w:rsidR="009B47B0" w:rsidRPr="00342952" w:rsidRDefault="009B47B0" w:rsidP="009B47B0">
      <w:pPr>
        <w:pStyle w:val="Sublisting"/>
        <w:tabs>
          <w:tab w:val="clear" w:pos="360"/>
        </w:tabs>
      </w:pPr>
      <w:r w:rsidRPr="00342952">
        <w:t>Loan Tape</w:t>
      </w:r>
    </w:p>
    <w:p w14:paraId="3596F46C" w14:textId="77777777" w:rsidR="009B47B0" w:rsidRPr="00342952" w:rsidRDefault="009B47B0" w:rsidP="009B47B0">
      <w:pPr>
        <w:pStyle w:val="Sublisting"/>
        <w:tabs>
          <w:tab w:val="clear" w:pos="360"/>
        </w:tabs>
      </w:pPr>
      <w:r w:rsidRPr="00342952">
        <w:lastRenderedPageBreak/>
        <w:t xml:space="preserve">Loan documents, including reliable information about the terms of the transaction; including, but not limited to, financial covenants, events of default, legal remedies and other information about financial, contractual or legal aspects of the transaction in form and substance consistent with industry best practices for CMBS issuance. </w:t>
      </w:r>
    </w:p>
    <w:p w14:paraId="7B2B941E" w14:textId="77777777" w:rsidR="009B47B0" w:rsidRPr="00342952" w:rsidRDefault="009B47B0" w:rsidP="009B47B0">
      <w:pPr>
        <w:pStyle w:val="Sublisting"/>
        <w:tabs>
          <w:tab w:val="clear" w:pos="360"/>
        </w:tabs>
      </w:pPr>
      <w:r w:rsidRPr="00342952">
        <w:t xml:space="preserve">In certain cases, additional documents below will enable the SSG to verify and validate initial underwriting information of the property securing the CMBS. These documents may be required in form and substance consistent with best practices for typical CMBS issuance. </w:t>
      </w:r>
    </w:p>
    <w:p w14:paraId="51DE4EA4" w14:textId="77777777" w:rsidR="009B47B0" w:rsidRPr="00342952" w:rsidRDefault="009B47B0" w:rsidP="009B47B0">
      <w:pPr>
        <w:pStyle w:val="Sublisting"/>
        <w:tabs>
          <w:tab w:val="clear" w:pos="360"/>
        </w:tabs>
      </w:pPr>
      <w:r w:rsidRPr="00342952">
        <w:t>Historical operating statements and borrower</w:t>
      </w:r>
      <w:r>
        <w:t>’</w:t>
      </w:r>
      <w:r w:rsidRPr="00342952">
        <w:t>s budget</w:t>
      </w:r>
      <w:r>
        <w:t xml:space="preserve"> </w:t>
      </w:r>
    </w:p>
    <w:p w14:paraId="587BBA46" w14:textId="77777777" w:rsidR="009B47B0" w:rsidRPr="00342952" w:rsidRDefault="009B47B0" w:rsidP="009B47B0">
      <w:pPr>
        <w:pStyle w:val="Sublisting"/>
        <w:tabs>
          <w:tab w:val="clear" w:pos="360"/>
        </w:tabs>
      </w:pPr>
      <w:r w:rsidRPr="00342952">
        <w:t>Underwriter</w:t>
      </w:r>
      <w:r>
        <w:t>’</w:t>
      </w:r>
      <w:r w:rsidRPr="00342952">
        <w:t xml:space="preserve">s analysis of stabilized cash flow with footnotes of assumptions used </w:t>
      </w:r>
    </w:p>
    <w:p w14:paraId="1DA60153" w14:textId="77777777" w:rsidR="009B47B0" w:rsidRPr="00342952" w:rsidRDefault="009B47B0" w:rsidP="009B47B0">
      <w:pPr>
        <w:pStyle w:val="Sublisting"/>
        <w:tabs>
          <w:tab w:val="clear" w:pos="360"/>
        </w:tabs>
      </w:pPr>
      <w:r w:rsidRPr="00342952">
        <w:t xml:space="preserve">Property type specific, rent roll information </w:t>
      </w:r>
    </w:p>
    <w:p w14:paraId="048D843B" w14:textId="77777777" w:rsidR="009B47B0" w:rsidRPr="00342952" w:rsidRDefault="009B47B0" w:rsidP="009B47B0">
      <w:pPr>
        <w:pStyle w:val="Sublisting"/>
        <w:tabs>
          <w:tab w:val="clear" w:pos="360"/>
        </w:tabs>
      </w:pPr>
      <w:r w:rsidRPr="00342952">
        <w:t xml:space="preserve">Appraisals and other data from recognized industry market sources </w:t>
      </w:r>
    </w:p>
    <w:p w14:paraId="44166BF4" w14:textId="77777777" w:rsidR="009B47B0" w:rsidRPr="00342952" w:rsidRDefault="009B47B0" w:rsidP="009B47B0">
      <w:pPr>
        <w:pStyle w:val="Sublisting"/>
        <w:tabs>
          <w:tab w:val="clear" w:pos="360"/>
        </w:tabs>
      </w:pPr>
      <w:r w:rsidRPr="00342952">
        <w:t xml:space="preserve">Independent engineering report (Property Condition Assessment) </w:t>
      </w:r>
    </w:p>
    <w:p w14:paraId="2B38430A" w14:textId="77777777" w:rsidR="009B47B0" w:rsidRPr="00342952" w:rsidRDefault="009B47B0" w:rsidP="009B47B0">
      <w:pPr>
        <w:pStyle w:val="Sublisting"/>
        <w:tabs>
          <w:tab w:val="clear" w:pos="360"/>
        </w:tabs>
      </w:pPr>
      <w:r w:rsidRPr="00342952">
        <w:t xml:space="preserve">Environmental Site Assessment (ESA) – Phase I/Phase II </w:t>
      </w:r>
    </w:p>
    <w:p w14:paraId="2870907B" w14:textId="77777777" w:rsidR="009B47B0" w:rsidRPr="00342952" w:rsidRDefault="009B47B0" w:rsidP="009B47B0">
      <w:pPr>
        <w:pStyle w:val="Sublisting"/>
        <w:tabs>
          <w:tab w:val="clear" w:pos="360"/>
        </w:tabs>
      </w:pPr>
      <w:r w:rsidRPr="00342952">
        <w:t xml:space="preserve">Documentation related to seismic, flood and windstorm risks </w:t>
      </w:r>
    </w:p>
    <w:p w14:paraId="01637ADB" w14:textId="77777777" w:rsidR="009B47B0" w:rsidRPr="00342952" w:rsidRDefault="009B47B0" w:rsidP="009B47B0">
      <w:pPr>
        <w:pStyle w:val="Sublisting"/>
        <w:tabs>
          <w:tab w:val="clear" w:pos="360"/>
        </w:tabs>
      </w:pPr>
      <w:r w:rsidRPr="00342952">
        <w:t xml:space="preserve">Franchise agreements and ground leases, if applicable </w:t>
      </w:r>
    </w:p>
    <w:p w14:paraId="606CD190" w14:textId="77777777" w:rsidR="009B47B0" w:rsidRPr="00342952" w:rsidRDefault="009B47B0" w:rsidP="009B47B0">
      <w:pPr>
        <w:pStyle w:val="Sublisting"/>
        <w:tabs>
          <w:tab w:val="clear" w:pos="360"/>
        </w:tabs>
      </w:pPr>
      <w:r w:rsidRPr="00342952">
        <w:t>Management agreements</w:t>
      </w:r>
    </w:p>
    <w:p w14:paraId="49B06F62" w14:textId="77777777" w:rsidR="009B47B0" w:rsidRPr="005B326D" w:rsidRDefault="009B47B0" w:rsidP="009B47B0">
      <w:pPr>
        <w:pStyle w:val="Heading4"/>
      </w:pPr>
      <w:bookmarkStart w:id="70" w:name="_Toc534887407"/>
      <w:bookmarkStart w:id="71" w:name="_Toc90649839"/>
      <w:r w:rsidRPr="005B326D">
        <w:t>SSG Modeling Alerts</w:t>
      </w:r>
      <w:bookmarkEnd w:id="70"/>
      <w:bookmarkEnd w:id="71"/>
      <w:r w:rsidRPr="005B326D">
        <w:t xml:space="preserve"> </w:t>
      </w:r>
    </w:p>
    <w:p w14:paraId="10ADE164" w14:textId="77777777" w:rsidR="009B47B0" w:rsidRPr="005B326D" w:rsidRDefault="009B47B0" w:rsidP="009B47B0">
      <w:pPr>
        <w:pStyle w:val="ListParagraph"/>
      </w:pPr>
      <w:r w:rsidRPr="005B326D">
        <w:t>The SSG shall at all times have discretion to determine that differences in the structure, governing law, waterfall structure or any other aspect of a securitization or a class of securitization requires that insurance companies provide Initial Information and</w:t>
      </w:r>
      <w:r>
        <w:t>/</w:t>
      </w:r>
      <w:r w:rsidRPr="005B326D">
        <w:t xml:space="preserve">or Ongoing Information additional to or different from that identified in this Part. The SSG shall communicate such additional or different documentation requirements to insurers by publishing a Modeling Alert on the NAIC website and scheduling a meeting of the </w:t>
      </w:r>
      <w:r>
        <w:t xml:space="preserve">VOS/TF </w:t>
      </w:r>
      <w:r w:rsidRPr="005B326D">
        <w:t xml:space="preserve">to ensure public dissemination of the decision. </w:t>
      </w:r>
    </w:p>
    <w:p w14:paraId="79AC642F" w14:textId="77777777" w:rsidR="009B47B0" w:rsidRPr="005B326D" w:rsidRDefault="009B47B0" w:rsidP="009B47B0">
      <w:pPr>
        <w:pStyle w:val="Heading4"/>
      </w:pPr>
      <w:bookmarkStart w:id="72" w:name="_Toc508884454"/>
      <w:bookmarkStart w:id="73" w:name="_Toc508979233"/>
      <w:bookmarkStart w:id="74" w:name="_Toc534887408"/>
      <w:bookmarkStart w:id="75" w:name="_Toc90649840"/>
      <w:r w:rsidRPr="005B326D">
        <w:lastRenderedPageBreak/>
        <w:t>Safe Harbor</w:t>
      </w:r>
      <w:bookmarkEnd w:id="72"/>
      <w:bookmarkEnd w:id="73"/>
      <w:bookmarkEnd w:id="74"/>
      <w:bookmarkEnd w:id="75"/>
      <w:r w:rsidRPr="005B326D">
        <w:t xml:space="preserve"> </w:t>
      </w:r>
    </w:p>
    <w:p w14:paraId="658C5B61" w14:textId="23EB7C4C" w:rsidR="009B47B0" w:rsidRPr="005B326D" w:rsidRDefault="009B47B0" w:rsidP="009B47B0">
      <w:pPr>
        <w:pStyle w:val="ListParagraph"/>
        <w:keepNext/>
      </w:pPr>
      <w:r w:rsidRPr="00843346">
        <w:t>Safe Harbor</w:t>
      </w:r>
      <w:r>
        <w:fldChar w:fldCharType="begin"/>
      </w:r>
      <w:r>
        <w:instrText xml:space="preserve"> XE "</w:instrText>
      </w:r>
      <w:r w:rsidRPr="00070AD6">
        <w:instrText>NAIC Structured Securities Group:Safe Harbor, Ongoing Information Requirements, Re-REMICs</w:instrText>
      </w:r>
      <w:r>
        <w:instrText xml:space="preserve">" </w:instrText>
      </w:r>
      <w:r>
        <w:fldChar w:fldCharType="end"/>
      </w:r>
      <w:r w:rsidRPr="005B326D">
        <w:t xml:space="preserve"> options serve as proxies for the Initial Sufficiency filing. The options reflect publicly available information that a third party has analyzed the Initial Information. Because the structured securities market is quite dynamic, the list of Safe Harbor options may change frequently, with notice and opportunity for comment, as described in </w:t>
      </w:r>
      <w:r>
        <w:t>this s</w:t>
      </w:r>
      <w:r w:rsidRPr="005B326D">
        <w:t xml:space="preserve">ection. A </w:t>
      </w:r>
      <w:r w:rsidR="00A935B6" w:rsidRPr="00A935B6">
        <w:rPr>
          <w:color w:val="FF0000"/>
        </w:rPr>
        <w:t xml:space="preserve">CLO, </w:t>
      </w:r>
      <w:r w:rsidRPr="005B326D">
        <w:t xml:space="preserve">RMBS or CMBS meets the Initial Information requirement if: </w:t>
      </w:r>
    </w:p>
    <w:p w14:paraId="549A7F44" w14:textId="77777777" w:rsidR="009B47B0" w:rsidRPr="005B326D" w:rsidRDefault="009B47B0" w:rsidP="009B47B0">
      <w:pPr>
        <w:pStyle w:val="Sublisting"/>
        <w:tabs>
          <w:tab w:val="clear" w:pos="360"/>
        </w:tabs>
      </w:pPr>
      <w:r w:rsidRPr="005B326D">
        <w:t xml:space="preserve">At least two Section 17(g)-7 reports issued by different CRPs are publicly available; or </w:t>
      </w:r>
    </w:p>
    <w:p w14:paraId="4611242D" w14:textId="77777777" w:rsidR="009B47B0" w:rsidRPr="005B326D" w:rsidRDefault="009B47B0" w:rsidP="009B47B0">
      <w:pPr>
        <w:pStyle w:val="Sublisting"/>
        <w:tabs>
          <w:tab w:val="clear" w:pos="360"/>
        </w:tabs>
      </w:pPr>
      <w:r w:rsidRPr="005B326D">
        <w:t>A security that is publicly registered under the federal Securities Act of 1933.</w:t>
      </w:r>
    </w:p>
    <w:p w14:paraId="1AA5AF56" w14:textId="77777777" w:rsidR="009B47B0" w:rsidRPr="005B326D" w:rsidRDefault="009B47B0" w:rsidP="009B47B0">
      <w:pPr>
        <w:pStyle w:val="Heading4"/>
      </w:pPr>
      <w:bookmarkStart w:id="76" w:name="_Toc508884455"/>
      <w:bookmarkStart w:id="77" w:name="_Toc508979234"/>
      <w:bookmarkStart w:id="78" w:name="_Toc534887409"/>
      <w:bookmarkStart w:id="79" w:name="_Toc90649841"/>
      <w:r w:rsidRPr="005B326D">
        <w:t>Ongoing Information Requirements</w:t>
      </w:r>
      <w:bookmarkEnd w:id="76"/>
      <w:bookmarkEnd w:id="77"/>
      <w:bookmarkEnd w:id="78"/>
      <w:bookmarkEnd w:id="79"/>
    </w:p>
    <w:p w14:paraId="614439AD" w14:textId="771B58D4" w:rsidR="009B47B0" w:rsidRPr="005B326D" w:rsidRDefault="009B47B0" w:rsidP="009B47B0">
      <w:pPr>
        <w:pStyle w:val="ListParagraph"/>
      </w:pPr>
      <w:r w:rsidRPr="005B326D">
        <w:t xml:space="preserve">A </w:t>
      </w:r>
      <w:r w:rsidR="00A935B6" w:rsidRPr="00A935B6">
        <w:rPr>
          <w:color w:val="FF0000"/>
        </w:rPr>
        <w:t xml:space="preserve">CLO, </w:t>
      </w:r>
      <w:r w:rsidRPr="005B326D">
        <w:t xml:space="preserve">RMBS or CMBS meets the Ongoing Information </w:t>
      </w:r>
      <w:r w:rsidRPr="00843346">
        <w:t>Requirements if Ongoing Info</w:t>
      </w:r>
      <w:r w:rsidRPr="005B326D">
        <w:t xml:space="preserve">rmation is available to the SSG and the relevant third-party vendor from an Original Source. The SSG, in its sole discretion and in consultation with the relevant third-party vendor, may determine that the Ongoing Information is not sufficient or reliable to permit a given </w:t>
      </w:r>
      <w:r w:rsidR="00A935B6" w:rsidRPr="00A935B6">
        <w:rPr>
          <w:color w:val="FF0000"/>
        </w:rPr>
        <w:t xml:space="preserve">CLO, </w:t>
      </w:r>
      <w:r w:rsidRPr="005B326D">
        <w:t>RMBS or CMBS CUSIP to be financially modeled. However, in making such a determination, the SSG shall take into account reasonable market practices and standards.</w:t>
      </w:r>
      <w:r>
        <w:t xml:space="preserve"> </w:t>
      </w:r>
    </w:p>
    <w:p w14:paraId="11658DF9" w14:textId="77777777" w:rsidR="009B47B0" w:rsidRPr="005B326D" w:rsidRDefault="009B47B0" w:rsidP="009B47B0">
      <w:pPr>
        <w:pStyle w:val="Heading4"/>
      </w:pPr>
      <w:bookmarkStart w:id="80" w:name="_Toc508884456"/>
      <w:bookmarkStart w:id="81" w:name="_Toc508979235"/>
      <w:bookmarkStart w:id="82" w:name="_Toc534887410"/>
      <w:bookmarkStart w:id="83" w:name="_Toc90649842"/>
      <w:r w:rsidRPr="005B326D">
        <w:t>Special Rules for Certain Re-REMICs</w:t>
      </w:r>
      <w:bookmarkEnd w:id="80"/>
      <w:bookmarkEnd w:id="81"/>
      <w:bookmarkEnd w:id="82"/>
      <w:bookmarkEnd w:id="83"/>
    </w:p>
    <w:p w14:paraId="0004410F" w14:textId="77777777" w:rsidR="009B47B0" w:rsidRPr="009027CA" w:rsidRDefault="009B47B0" w:rsidP="009B47B0">
      <w:pPr>
        <w:pStyle w:val="ListParagraph"/>
      </w:pPr>
      <w:r w:rsidRPr="00843346">
        <w:t>Re-REMICs</w:t>
      </w:r>
      <w:r w:rsidRPr="009027CA">
        <w:t xml:space="preserve"> are generally simple restructurings of RMBS or CMBS. An Initial Sufficiency Filing for a Re-REMIC (a) which is not a Legacy Security itself but (b)</w:t>
      </w:r>
      <w:r>
        <w:t> </w:t>
      </w:r>
      <w:r w:rsidRPr="009027CA">
        <w:t>where each Underlying Security is a Legacy Security shall not require submission of information regarding the Underlying Securities. In most cases, a prospectus for the Re-REMIC will be sufficient. If the SSG determines that additional information about the Re-REMIC structure or formation is required, it will communicate this decision to the insurer and invite a dialogue to ascertain whether additional information is available that would be deemed sufficient by the SSG.</w:t>
      </w:r>
    </w:p>
    <w:p w14:paraId="3E408762" w14:textId="77777777" w:rsidR="009B47B0" w:rsidRPr="005B326D" w:rsidRDefault="009B47B0" w:rsidP="009B47B0">
      <w:pPr>
        <w:pStyle w:val="Heading2"/>
      </w:pPr>
      <w:bookmarkStart w:id="84" w:name="_Toc508884457"/>
      <w:bookmarkStart w:id="85" w:name="_Toc508979049"/>
      <w:bookmarkStart w:id="86" w:name="_Toc508979102"/>
      <w:bookmarkStart w:id="87" w:name="_Toc508979236"/>
      <w:bookmarkStart w:id="88" w:name="_Toc509585584"/>
      <w:bookmarkStart w:id="89" w:name="_Toc509828155"/>
      <w:bookmarkStart w:id="90" w:name="_Toc534812495"/>
      <w:bookmarkStart w:id="91" w:name="_Toc534887411"/>
      <w:bookmarkStart w:id="92" w:name="_Toc534896782"/>
      <w:bookmarkStart w:id="93" w:name="_Toc90649843"/>
      <w:r w:rsidRPr="00843346">
        <w:lastRenderedPageBreak/>
        <w:t>Analytical Assignments</w:t>
      </w:r>
      <w:bookmarkEnd w:id="84"/>
      <w:bookmarkEnd w:id="85"/>
      <w:bookmarkEnd w:id="86"/>
      <w:bookmarkEnd w:id="87"/>
      <w:bookmarkEnd w:id="88"/>
      <w:bookmarkEnd w:id="89"/>
      <w:bookmarkEnd w:id="90"/>
      <w:bookmarkEnd w:id="91"/>
      <w:bookmarkEnd w:id="92"/>
      <w:bookmarkEnd w:id="93"/>
      <w:r>
        <w:fldChar w:fldCharType="begin"/>
      </w:r>
      <w:r>
        <w:instrText xml:space="preserve"> XE "</w:instrText>
      </w:r>
      <w:r w:rsidRPr="00794D6C">
        <w:instrText>NAIC Structured Securities Group:Analytical Asignments, Annual Surveillance of RMBS and CMBS - Modeled and N</w:instrText>
      </w:r>
      <w:r>
        <w:instrText>o</w:instrText>
      </w:r>
      <w:r w:rsidRPr="00794D6C">
        <w:instrText>n Modeled Securities</w:instrText>
      </w:r>
      <w:r>
        <w:instrText xml:space="preserve">" </w:instrText>
      </w:r>
      <w:r>
        <w:fldChar w:fldCharType="end"/>
      </w:r>
      <w:r w:rsidRPr="00E013E7">
        <w:fldChar w:fldCharType="begin"/>
      </w:r>
      <w:r w:rsidRPr="00843346">
        <w:instrText xml:space="preserve"> XE "Analytical Assignments" </w:instrText>
      </w:r>
      <w:r w:rsidRPr="00E013E7">
        <w:fldChar w:fldCharType="end"/>
      </w:r>
    </w:p>
    <w:p w14:paraId="4C969783" w14:textId="782CE024" w:rsidR="009B47B0" w:rsidRPr="00A822A7" w:rsidRDefault="009B47B0" w:rsidP="009B47B0">
      <w:pPr>
        <w:pStyle w:val="Heading3"/>
      </w:pPr>
      <w:bookmarkStart w:id="94" w:name="_Toc534887412"/>
      <w:bookmarkStart w:id="95" w:name="_Toc90649844"/>
      <w:bookmarkStart w:id="96" w:name="_Toc508884458"/>
      <w:bookmarkStart w:id="97" w:name="_Toc508979237"/>
      <w:bookmarkStart w:id="98" w:name="_Toc509585585"/>
      <w:bookmarkStart w:id="99" w:name="_Toc509828156"/>
      <w:r w:rsidRPr="00843346">
        <w:t>Annual Surveillance</w:t>
      </w:r>
      <w:r w:rsidRPr="003E06DD">
        <w:fldChar w:fldCharType="begin"/>
      </w:r>
      <w:r w:rsidRPr="003E06DD">
        <w:instrText xml:space="preserve"> XE "Structured Securities Group:Annual Surveillance" </w:instrText>
      </w:r>
      <w:r w:rsidRPr="003E06DD">
        <w:fldChar w:fldCharType="end"/>
      </w:r>
      <w:r w:rsidRPr="00930891">
        <w:fldChar w:fldCharType="begin"/>
      </w:r>
      <w:r w:rsidRPr="003E06DD">
        <w:instrText xml:space="preserve"> </w:instrText>
      </w:r>
      <w:r w:rsidRPr="00930891">
        <w:fldChar w:fldCharType="end"/>
      </w:r>
      <w:r w:rsidRPr="00843346">
        <w:t xml:space="preserve"> of </w:t>
      </w:r>
      <w:r w:rsidR="00EB6CFB" w:rsidRPr="00EB6CFB">
        <w:rPr>
          <w:color w:val="FF0000"/>
        </w:rPr>
        <w:t xml:space="preserve">CLO, </w:t>
      </w:r>
      <w:r w:rsidRPr="00843346">
        <w:t>RMBS and CMBS – Modeled and Non-Modeled Securities</w:t>
      </w:r>
      <w:bookmarkEnd w:id="94"/>
      <w:bookmarkEnd w:id="95"/>
      <w:r w:rsidRPr="00A822A7">
        <w:t xml:space="preserve"> </w:t>
      </w:r>
    </w:p>
    <w:p w14:paraId="483F6D48" w14:textId="77777777" w:rsidR="009B47B0" w:rsidRPr="00A822A7" w:rsidRDefault="009B47B0" w:rsidP="009B47B0">
      <w:pPr>
        <w:pStyle w:val="Heading4"/>
      </w:pPr>
      <w:bookmarkStart w:id="100" w:name="_Toc90649845"/>
      <w:bookmarkEnd w:id="96"/>
      <w:bookmarkEnd w:id="97"/>
      <w:bookmarkEnd w:id="98"/>
      <w:bookmarkEnd w:id="99"/>
      <w:r>
        <w:t>Scope</w:t>
      </w:r>
      <w:bookmarkEnd w:id="100"/>
    </w:p>
    <w:p w14:paraId="44504430" w14:textId="76A2DFB7" w:rsidR="009B47B0" w:rsidRPr="005B326D" w:rsidRDefault="009B47B0" w:rsidP="009B47B0">
      <w:pPr>
        <w:pStyle w:val="ListParagraph"/>
      </w:pPr>
      <w:r>
        <w:t xml:space="preserve">This section explains the financial modeling methodology applicable to all </w:t>
      </w:r>
      <w:r w:rsidR="00EB6CFB" w:rsidRPr="00EB6CFB">
        <w:rPr>
          <w:color w:val="FF0000"/>
        </w:rPr>
        <w:t xml:space="preserve">CLO, </w:t>
      </w:r>
      <w:r>
        <w:t xml:space="preserve">RMBS and CMBS (defined above) securitizations, the book/adjusted carrying value methodology applicable to a modeled Legacy Security, the NAIC Designation Intrinsic Price Mapping applicable to a modeled non-Legacy Security, and non-modeled securities subject to </w:t>
      </w:r>
      <w:r w:rsidRPr="2E251EFB">
        <w:rPr>
          <w:i/>
          <w:iCs/>
        </w:rPr>
        <w:t>SSAP No. 43R—Loan-Backed and Structured Securities</w:t>
      </w:r>
      <w:r>
        <w:t>. Please refer to SSAP No. 43R for a description of securities subject to its provisions. The VOS/TF does not formulate policy or administrative procedures for statutory accounting guidance. Reporting insurance companies are responsible for determining whether a security is subject to SSAP No. 43R and applying the appropriate guidance.</w:t>
      </w:r>
    </w:p>
    <w:p w14:paraId="5654C7E4" w14:textId="77777777" w:rsidR="009B47B0" w:rsidRPr="005B326D" w:rsidRDefault="009B47B0" w:rsidP="009B47B0">
      <w:pPr>
        <w:pStyle w:val="Heading4"/>
      </w:pPr>
      <w:bookmarkStart w:id="101" w:name="_Toc534887413"/>
      <w:bookmarkStart w:id="102" w:name="_Toc90649846"/>
      <w:r w:rsidRPr="005B326D">
        <w:t>Important Limitation on the Definitions of RMBS and CMBS</w:t>
      </w:r>
      <w:bookmarkEnd w:id="101"/>
      <w:bookmarkEnd w:id="102"/>
      <w:r w:rsidRPr="005B326D">
        <w:t xml:space="preserve"> </w:t>
      </w:r>
    </w:p>
    <w:p w14:paraId="0D856999" w14:textId="6613BD3B" w:rsidR="009B47B0" w:rsidRDefault="009B47B0" w:rsidP="009B47B0">
      <w:pPr>
        <w:pStyle w:val="ListParagraph"/>
      </w:pPr>
      <w:r w:rsidRPr="005B326D">
        <w:t xml:space="preserve">The definitions of </w:t>
      </w:r>
      <w:r w:rsidR="00EB6CFB" w:rsidRPr="00EB6CFB">
        <w:rPr>
          <w:color w:val="FF0000"/>
        </w:rPr>
        <w:t xml:space="preserve">CLO, </w:t>
      </w:r>
      <w:r w:rsidRPr="005B326D">
        <w:t xml:space="preserve">RMBS and CMBS above are intended solely to permit the SSG to communicate with financial modeling vendors, insurance company investors who own </w:t>
      </w:r>
      <w:r w:rsidR="00EB6CFB" w:rsidRPr="00EB6CFB">
        <w:rPr>
          <w:color w:val="FF0000"/>
        </w:rPr>
        <w:t>CLO,</w:t>
      </w:r>
      <w:r w:rsidR="00EB6CFB">
        <w:t xml:space="preserve"> </w:t>
      </w:r>
      <w:r w:rsidRPr="005B326D">
        <w:t xml:space="preserve">RMBS and CMBS subject to financial modeling and/or the book/adjusted carrying value methodology and their investment advisors to facilitate the performance by the SSG of the financial modeling methodology described below. The definitions contained in this </w:t>
      </w:r>
      <w:r w:rsidRPr="00D2448E">
        <w:t>section</w:t>
      </w:r>
      <w:r w:rsidRPr="005B326D">
        <w:t xml:space="preserve"> are not intended for use and should not be used as accounting or statutory statement reporting instructions or guidance. </w:t>
      </w:r>
    </w:p>
    <w:p w14:paraId="5230B80C" w14:textId="77777777" w:rsidR="009B47B0" w:rsidRPr="005B326D" w:rsidRDefault="009B47B0" w:rsidP="009B47B0">
      <w:pPr>
        <w:ind w:left="1440"/>
      </w:pPr>
      <w:r w:rsidRPr="00732D2B">
        <w:rPr>
          <w:b/>
          <w:smallCaps/>
        </w:rPr>
        <w:t>Note</w:t>
      </w:r>
      <w:r>
        <w:t>: Please</w:t>
      </w:r>
      <w:r w:rsidRPr="005B326D">
        <w:t xml:space="preserve"> refer to </w:t>
      </w:r>
      <w:r w:rsidRPr="005B326D">
        <w:rPr>
          <w:i/>
        </w:rPr>
        <w:t>SSAP</w:t>
      </w:r>
      <w:r>
        <w:rPr>
          <w:i/>
        </w:rPr>
        <w:t> </w:t>
      </w:r>
      <w:r w:rsidRPr="005B326D">
        <w:rPr>
          <w:i/>
        </w:rPr>
        <w:t>No. 43R—Loan-Backed and Structured Securities</w:t>
      </w:r>
      <w:r w:rsidRPr="005B326D">
        <w:t xml:space="preserve"> for applicable accounting guidance and reporting instructions. </w:t>
      </w:r>
    </w:p>
    <w:p w14:paraId="3211774E" w14:textId="44F0BAAC" w:rsidR="009B47B0" w:rsidRPr="005B326D" w:rsidRDefault="009B47B0" w:rsidP="009B47B0">
      <w:pPr>
        <w:pStyle w:val="Heading3"/>
      </w:pPr>
      <w:bookmarkStart w:id="103" w:name="_Toc509585586"/>
      <w:bookmarkStart w:id="104" w:name="_Toc509828157"/>
      <w:bookmarkStart w:id="105" w:name="_Toc534812496"/>
      <w:bookmarkStart w:id="106" w:name="_Toc534887414"/>
      <w:bookmarkStart w:id="107" w:name="_Toc534896783"/>
      <w:bookmarkStart w:id="108" w:name="_Toc90649847"/>
      <w:r w:rsidRPr="00B9548F">
        <w:t xml:space="preserve">Analytical Procedures Applicable to </w:t>
      </w:r>
      <w:r w:rsidR="00EB6CFB" w:rsidRPr="00EB6CFB">
        <w:rPr>
          <w:color w:val="FF0000"/>
        </w:rPr>
        <w:t xml:space="preserve">CLO, </w:t>
      </w:r>
      <w:r w:rsidRPr="00B9548F">
        <w:t>RMBS and CMBS Securitizations</w:t>
      </w:r>
      <w:r w:rsidRPr="00B9548F">
        <w:br/>
        <w:t>Subject to Financial Modeling Methodology</w:t>
      </w:r>
      <w:bookmarkEnd w:id="103"/>
      <w:bookmarkEnd w:id="104"/>
      <w:bookmarkEnd w:id="105"/>
      <w:bookmarkEnd w:id="106"/>
      <w:bookmarkEnd w:id="107"/>
      <w:bookmarkEnd w:id="108"/>
    </w:p>
    <w:p w14:paraId="631AC818" w14:textId="77777777" w:rsidR="009B47B0" w:rsidRPr="005B326D" w:rsidRDefault="009B47B0" w:rsidP="009B47B0">
      <w:pPr>
        <w:pStyle w:val="Heading4"/>
      </w:pPr>
      <w:bookmarkStart w:id="109" w:name="_Toc534887415"/>
      <w:bookmarkStart w:id="110" w:name="_Toc90649848"/>
      <w:r w:rsidRPr="005B326D">
        <w:t>Filing Exemption Status of RMBS and CMBS</w:t>
      </w:r>
      <w:bookmarkEnd w:id="109"/>
      <w:bookmarkEnd w:id="110"/>
      <w:r w:rsidRPr="005B326D">
        <w:t xml:space="preserve"> </w:t>
      </w:r>
    </w:p>
    <w:p w14:paraId="157B3BFB" w14:textId="12C2AD41" w:rsidR="009B47B0" w:rsidRPr="005B326D" w:rsidRDefault="00EB6CFB" w:rsidP="009B47B0">
      <w:pPr>
        <w:pStyle w:val="ListParagraph"/>
      </w:pPr>
      <w:r w:rsidRPr="00EB6CFB">
        <w:rPr>
          <w:color w:val="FF0000"/>
        </w:rPr>
        <w:t xml:space="preserve">CLO, </w:t>
      </w:r>
      <w:r w:rsidR="009B47B0" w:rsidRPr="005B326D">
        <w:t xml:space="preserve">RMBS and CMBS are not eligible for filing exemption because credit ratings of CRPs are no longer used to set risk-based capital (RBC) for </w:t>
      </w:r>
      <w:r w:rsidRPr="00EB6CFB">
        <w:rPr>
          <w:color w:val="FF0000"/>
        </w:rPr>
        <w:t xml:space="preserve">CLO, </w:t>
      </w:r>
      <w:r w:rsidR="009B47B0" w:rsidRPr="005B326D">
        <w:t xml:space="preserve">RMBS or CMBS. However, </w:t>
      </w:r>
      <w:r w:rsidRPr="00EB6CFB">
        <w:rPr>
          <w:color w:val="FF0000"/>
        </w:rPr>
        <w:t xml:space="preserve">CLO, </w:t>
      </w:r>
      <w:r w:rsidR="009B47B0" w:rsidRPr="005B326D">
        <w:t xml:space="preserve">RMBS and CMBS are not submitted to the SSG. </w:t>
      </w:r>
    </w:p>
    <w:bookmarkStart w:id="111" w:name="_Toc534887416"/>
    <w:p w14:paraId="33B8B7F1" w14:textId="232218E4" w:rsidR="009B47B0" w:rsidRPr="005B326D" w:rsidRDefault="009B47B0" w:rsidP="009B47B0">
      <w:pPr>
        <w:pStyle w:val="Heading4"/>
      </w:pPr>
      <w:r>
        <w:lastRenderedPageBreak/>
        <w:fldChar w:fldCharType="begin"/>
      </w:r>
      <w:r>
        <w:instrText xml:space="preserve"> XE "</w:instrText>
      </w:r>
      <w:r w:rsidRPr="006D7D2E">
        <w:instrText>NAIC Structured Securities Group:Use of Financial Modeling for Year-End Reporting for RMBS and CMBS, RMBS and CMBS Subject to Financial Modeling</w:instrText>
      </w:r>
      <w:r>
        <w:instrText xml:space="preserve">" </w:instrText>
      </w:r>
      <w:r>
        <w:fldChar w:fldCharType="end"/>
      </w:r>
      <w:bookmarkStart w:id="112" w:name="_Toc90649849"/>
      <w:r w:rsidRPr="00843346">
        <w:t xml:space="preserve">Use of Financial Modeling for Year-End Reporting for </w:t>
      </w:r>
      <w:r w:rsidR="00FE5E27" w:rsidRPr="00FE5E27">
        <w:rPr>
          <w:color w:val="FF0000"/>
        </w:rPr>
        <w:t xml:space="preserve">CLO, </w:t>
      </w:r>
      <w:r w:rsidRPr="00843346">
        <w:t>RMBS and CMBS</w:t>
      </w:r>
      <w:bookmarkEnd w:id="111"/>
      <w:bookmarkEnd w:id="112"/>
      <w:r w:rsidRPr="005B326D">
        <w:t xml:space="preserve"> </w:t>
      </w:r>
    </w:p>
    <w:p w14:paraId="50757563" w14:textId="0CA68925" w:rsidR="009B47B0" w:rsidRDefault="009B47B0" w:rsidP="009B47B0">
      <w:pPr>
        <w:pStyle w:val="ListParagraph"/>
      </w:pPr>
      <w:r>
        <w:t>Beginning with year-end 2009 for RMBS</w:t>
      </w:r>
      <w:r w:rsidR="00EB6CFB" w:rsidRPr="00FE5E27">
        <w:rPr>
          <w:color w:val="000000" w:themeColor="text1"/>
        </w:rPr>
        <w:t>,</w:t>
      </w:r>
      <w:r w:rsidRPr="00FE5E27">
        <w:rPr>
          <w:color w:val="000000" w:themeColor="text1"/>
        </w:rPr>
        <w:t xml:space="preserve"> and </w:t>
      </w:r>
      <w:r>
        <w:t xml:space="preserve">2010 for CMBS, probability weighted net present values will be produced under NAIC staff supervision by an NAIC-selected vendor using its financial model with defined analytical inputs selected by the SSG. The vendor will provide the SSG with </w:t>
      </w:r>
      <w:proofErr w:type="spellStart"/>
      <w:r>
        <w:t>a</w:t>
      </w:r>
      <w:proofErr w:type="spellEnd"/>
      <w:r>
        <w:t xml:space="preserve"> Intrinsic Price and/or a range of net present values for each RMBS or CMBS corresponding to each NAIC Designation category. The NAIC Designation for a specific Legacy Security RMBS or CMBS is determined by the insurance company, based on book/adjusted carrying value ranges, and the NAIC Designation for a specific non-Legacy Security RMBS or CMBS is determined by the NAIC Designation Intrinsic Price Mapping by SSG.</w:t>
      </w:r>
    </w:p>
    <w:p w14:paraId="6BE810BA" w14:textId="0A1E720C" w:rsidR="00FE5E27" w:rsidRPr="00F655A4" w:rsidRDefault="00FE5E27" w:rsidP="009B47B0">
      <w:pPr>
        <w:pStyle w:val="ListParagraph"/>
        <w:rPr>
          <w:color w:val="FF0000"/>
        </w:rPr>
      </w:pPr>
      <w:r w:rsidRPr="00F655A4">
        <w:rPr>
          <w:color w:val="FF0000"/>
        </w:rPr>
        <w:t xml:space="preserve">Beginning with year-end 2023 for CLO, probability weighted net present values will be produced by SSG with defined analytical inputs selected by the SSG. </w:t>
      </w:r>
      <w:r w:rsidR="00F655A4" w:rsidRPr="00F655A4">
        <w:rPr>
          <w:color w:val="FF0000"/>
        </w:rPr>
        <w:t xml:space="preserve"> </w:t>
      </w:r>
      <w:r w:rsidRPr="00F655A4">
        <w:rPr>
          <w:color w:val="FF0000"/>
        </w:rPr>
        <w:t xml:space="preserve">SSG will model CLO investments and evaluate all tranche level losses across all debt and equity tranches under a series of calibrated and weighted collateral stress scenarios to assign NAIC Designations for a specific </w:t>
      </w:r>
      <w:r w:rsidR="00F655A4" w:rsidRPr="00F655A4">
        <w:rPr>
          <w:color w:val="FF0000"/>
        </w:rPr>
        <w:t xml:space="preserve">CLO tranche </w:t>
      </w:r>
      <w:r w:rsidRPr="00F655A4">
        <w:rPr>
          <w:color w:val="FF0000"/>
        </w:rPr>
        <w:t>is determined by the NAIC Designation Intrinsic Price Mapping by SSG.</w:t>
      </w:r>
    </w:p>
    <w:p w14:paraId="452532D4" w14:textId="77777777" w:rsidR="009B47B0" w:rsidRPr="005B326D" w:rsidRDefault="009B47B0" w:rsidP="009B47B0">
      <w:pPr>
        <w:ind w:left="1440"/>
      </w:pPr>
      <w:r w:rsidRPr="00A94A9D">
        <w:rPr>
          <w:b/>
          <w:smallCaps/>
        </w:rPr>
        <w:t>Note</w:t>
      </w:r>
      <w:r>
        <w:t xml:space="preserve">: </w:t>
      </w:r>
      <w:r w:rsidRPr="005B326D">
        <w:t xml:space="preserve">Please refer to </w:t>
      </w:r>
      <w:r w:rsidRPr="005B326D">
        <w:rPr>
          <w:i/>
        </w:rPr>
        <w:t>SSAP</w:t>
      </w:r>
      <w:r>
        <w:rPr>
          <w:i/>
        </w:rPr>
        <w:t> </w:t>
      </w:r>
      <w:r w:rsidRPr="005B326D">
        <w:rPr>
          <w:i/>
        </w:rPr>
        <w:t>No.</w:t>
      </w:r>
      <w:r>
        <w:rPr>
          <w:i/>
        </w:rPr>
        <w:t> </w:t>
      </w:r>
      <w:r w:rsidRPr="005B326D">
        <w:rPr>
          <w:i/>
        </w:rPr>
        <w:t>43R—Loan-Backed and Structured Securities</w:t>
      </w:r>
      <w:r w:rsidRPr="005B326D">
        <w:t xml:space="preserve"> for guidance on all accounting and related reporting issues. </w:t>
      </w:r>
    </w:p>
    <w:p w14:paraId="3F1BBD04" w14:textId="11CEA667" w:rsidR="009B47B0" w:rsidRPr="005B326D" w:rsidRDefault="009B47B0" w:rsidP="009B47B0">
      <w:pPr>
        <w:pStyle w:val="Heading4"/>
      </w:pPr>
      <w:bookmarkStart w:id="113" w:name="_Toc534887417"/>
      <w:bookmarkStart w:id="114" w:name="_Toc90649850"/>
      <w:r w:rsidRPr="005B326D">
        <w:t xml:space="preserve">Analytical Procedures for </w:t>
      </w:r>
      <w:r w:rsidR="00F655A4" w:rsidRPr="00F655A4">
        <w:rPr>
          <w:color w:val="FF0000"/>
        </w:rPr>
        <w:t>CLO,</w:t>
      </w:r>
      <w:r w:rsidR="00F655A4">
        <w:t xml:space="preserve"> </w:t>
      </w:r>
      <w:r w:rsidRPr="005B326D">
        <w:t>RMBS and CMBS</w:t>
      </w:r>
      <w:bookmarkEnd w:id="113"/>
      <w:bookmarkEnd w:id="114"/>
      <w:r>
        <w:fldChar w:fldCharType="begin"/>
      </w:r>
      <w:r>
        <w:instrText xml:space="preserve"> XE "</w:instrText>
      </w:r>
      <w:r w:rsidRPr="00D42FC4">
        <w:instrText>Structured Securities Group:Analytical Procedures for RMBS and CMBS</w:instrText>
      </w:r>
      <w:r>
        <w:instrText xml:space="preserve">" </w:instrText>
      </w:r>
      <w:r>
        <w:fldChar w:fldCharType="end"/>
      </w:r>
      <w:r w:rsidRPr="005B326D">
        <w:t xml:space="preserve"> </w:t>
      </w:r>
    </w:p>
    <w:p w14:paraId="262F1FAA" w14:textId="49BCC209" w:rsidR="009B47B0" w:rsidRPr="005B326D" w:rsidRDefault="009B47B0" w:rsidP="009B47B0">
      <w:pPr>
        <w:pStyle w:val="ListParagraph"/>
      </w:pPr>
      <w:r w:rsidRPr="005B326D">
        <w:t xml:space="preserve">The SSG shall develop and implement all necessary processes to coordinate the engagement by the NAIC of a vendor who will perform loan-level analysis of insurer-owned </w:t>
      </w:r>
      <w:r w:rsidR="00F655A4">
        <w:t xml:space="preserve">CLO, </w:t>
      </w:r>
      <w:r w:rsidRPr="005B326D">
        <w:t>RMBS and CMBS using the vendor</w:t>
      </w:r>
      <w:r>
        <w:t>’</w:t>
      </w:r>
      <w:r w:rsidRPr="005B326D">
        <w:t>s proprietary models.</w:t>
      </w:r>
      <w:r>
        <w:t xml:space="preserve"> </w:t>
      </w:r>
    </w:p>
    <w:p w14:paraId="78DE9518" w14:textId="597A71A4" w:rsidR="009B47B0" w:rsidRPr="005B326D" w:rsidRDefault="00F655A4" w:rsidP="009B47B0">
      <w:pPr>
        <w:pStyle w:val="Heading3"/>
      </w:pPr>
      <w:bookmarkStart w:id="115" w:name="_Toc509585587"/>
      <w:bookmarkStart w:id="116" w:name="_Toc509828158"/>
      <w:bookmarkStart w:id="117" w:name="_Toc534812497"/>
      <w:bookmarkStart w:id="118" w:name="_Toc534887418"/>
      <w:bookmarkStart w:id="119" w:name="_Toc534896784"/>
      <w:bookmarkStart w:id="120" w:name="_Toc90649851"/>
      <w:r w:rsidRPr="00F655A4">
        <w:rPr>
          <w:color w:val="FF0000"/>
        </w:rPr>
        <w:t xml:space="preserve">CLO, </w:t>
      </w:r>
      <w:r w:rsidR="009B47B0" w:rsidRPr="00843346">
        <w:t>RMBS and CMBS Subject to Financial Modeling</w:t>
      </w:r>
      <w:bookmarkEnd w:id="115"/>
      <w:bookmarkEnd w:id="116"/>
      <w:bookmarkEnd w:id="117"/>
      <w:bookmarkEnd w:id="118"/>
      <w:bookmarkEnd w:id="119"/>
      <w:bookmarkEnd w:id="120"/>
      <w:r w:rsidR="009B47B0">
        <w:fldChar w:fldCharType="begin"/>
      </w:r>
      <w:r w:rsidR="009B47B0">
        <w:instrText xml:space="preserve"> XE "</w:instrText>
      </w:r>
      <w:r w:rsidR="009B47B0" w:rsidRPr="00B04658">
        <w:instrText>NAIC Structured Securities Group:Setting Microeconomic Assumption and Stress Scenarios</w:instrText>
      </w:r>
      <w:r w:rsidR="009B47B0">
        <w:instrText xml:space="preserve">" </w:instrText>
      </w:r>
      <w:r w:rsidR="009B47B0">
        <w:fldChar w:fldCharType="end"/>
      </w:r>
      <w:r w:rsidR="009B47B0" w:rsidRPr="005B326D">
        <w:t xml:space="preserve"> </w:t>
      </w:r>
    </w:p>
    <w:p w14:paraId="0E0ABFD8" w14:textId="77777777" w:rsidR="009B47B0" w:rsidRPr="005B326D" w:rsidRDefault="009B47B0" w:rsidP="009B47B0">
      <w:pPr>
        <w:pStyle w:val="Heading4"/>
      </w:pPr>
      <w:bookmarkStart w:id="121" w:name="_Toc534887419"/>
      <w:bookmarkStart w:id="122" w:name="_Toc90649852"/>
      <w:r w:rsidRPr="00843346">
        <w:t>Setting Microeconomic Assumptions and Stress Scenarios</w:t>
      </w:r>
      <w:bookmarkEnd w:id="121"/>
      <w:bookmarkEnd w:id="122"/>
    </w:p>
    <w:p w14:paraId="4D6E7A57" w14:textId="77777777" w:rsidR="009B47B0" w:rsidRPr="005B326D" w:rsidRDefault="009B47B0" w:rsidP="009B47B0">
      <w:pPr>
        <w:pStyle w:val="ListParagraph"/>
      </w:pPr>
      <w:r w:rsidRPr="005B326D">
        <w:t>Not later than September of each year, the SSG shall begin working with the vendor to identify the assumptions, stress scenarios and probabilities (hereafter model criteria) the SSG intends to use at year-end to run the vendor</w:t>
      </w:r>
      <w:r>
        <w:t>’</w:t>
      </w:r>
      <w:r w:rsidRPr="005B326D">
        <w:t>s financial model.</w:t>
      </w:r>
    </w:p>
    <w:p w14:paraId="22583047" w14:textId="77777777" w:rsidR="009B47B0" w:rsidRPr="0080199B" w:rsidRDefault="009B47B0" w:rsidP="009B47B0">
      <w:pPr>
        <w:pStyle w:val="Heading4"/>
      </w:pPr>
      <w:bookmarkStart w:id="123" w:name="_Toc534887420"/>
      <w:bookmarkStart w:id="124" w:name="_Toc90649853"/>
      <w:r w:rsidRPr="005B326D">
        <w:t xml:space="preserve">The </w:t>
      </w:r>
      <w:r w:rsidRPr="00A86E33">
        <w:t>Financial Modeling Process</w:t>
      </w:r>
      <w:bookmarkEnd w:id="123"/>
      <w:bookmarkEnd w:id="124"/>
      <w:r>
        <w:t xml:space="preserve"> </w:t>
      </w:r>
    </w:p>
    <w:p w14:paraId="2C40D103" w14:textId="77777777" w:rsidR="009B47B0" w:rsidRPr="005B326D" w:rsidRDefault="009B47B0" w:rsidP="009B47B0">
      <w:pPr>
        <w:pStyle w:val="ListParagraph"/>
      </w:pPr>
      <w:r>
        <w:t xml:space="preserve">Information about the financial modeling process can be found at </w:t>
      </w:r>
      <w:r w:rsidRPr="002B086B">
        <w:rPr>
          <w:i/>
        </w:rPr>
        <w:t>www.naic.org/structured_se</w:t>
      </w:r>
      <w:r>
        <w:rPr>
          <w:i/>
        </w:rPr>
        <w:fldChar w:fldCharType="begin"/>
      </w:r>
      <w:r>
        <w:instrText xml:space="preserve"> XE "</w:instrText>
      </w:r>
      <w:r w:rsidRPr="00DF7780">
        <w:instrText>NAIC Structured Securities Group:Financial Modeling Process</w:instrText>
      </w:r>
      <w:r>
        <w:instrText xml:space="preserve">" </w:instrText>
      </w:r>
      <w:r>
        <w:rPr>
          <w:i/>
        </w:rPr>
        <w:fldChar w:fldCharType="end"/>
      </w:r>
      <w:r w:rsidRPr="002B086B">
        <w:rPr>
          <w:i/>
        </w:rPr>
        <w:t>curities/index_structured_securities.htm</w:t>
      </w:r>
      <w:r>
        <w:t>.</w:t>
      </w:r>
    </w:p>
    <w:p w14:paraId="4D9F22ED" w14:textId="77777777" w:rsidR="009B47B0" w:rsidRPr="005B326D" w:rsidRDefault="009B47B0" w:rsidP="009B47B0">
      <w:pPr>
        <w:pStyle w:val="Heading4"/>
      </w:pPr>
      <w:bookmarkStart w:id="125" w:name="_Toc534887421"/>
      <w:bookmarkStart w:id="126" w:name="_Toc90649854"/>
      <w:r w:rsidRPr="003E06DD">
        <w:lastRenderedPageBreak/>
        <w:t>Use of Net Present Value and Carrying Value for Financially Modeled</w:t>
      </w:r>
      <w:r>
        <w:t xml:space="preserve"> Legacy Security</w:t>
      </w:r>
      <w:r w:rsidRPr="003E06DD">
        <w:t xml:space="preserve"> RMBS and CMBS</w:t>
      </w:r>
      <w:bookmarkEnd w:id="125"/>
      <w:bookmarkEnd w:id="126"/>
      <w:r>
        <w:fldChar w:fldCharType="begin"/>
      </w:r>
      <w:r>
        <w:instrText xml:space="preserve"> XE "</w:instrText>
      </w:r>
      <w:r w:rsidRPr="00325308">
        <w:instrText>Structured Securities Group:Use of Net Present Value and Carrying Value for Financially Modeled RMBS and CMBS</w:instrText>
      </w:r>
      <w:r>
        <w:instrText xml:space="preserve">" </w:instrText>
      </w:r>
      <w:r>
        <w:fldChar w:fldCharType="end"/>
      </w:r>
      <w:r>
        <w:t xml:space="preserve"> </w:t>
      </w:r>
    </w:p>
    <w:p w14:paraId="6D0BB8D5" w14:textId="77777777" w:rsidR="009B47B0" w:rsidRPr="005B326D" w:rsidRDefault="009B47B0" w:rsidP="009B47B0">
      <w:pPr>
        <w:pStyle w:val="ListParagraph"/>
      </w:pPr>
      <w:r w:rsidRPr="005B326D">
        <w:t>For each modeled</w:t>
      </w:r>
      <w:r>
        <w:t xml:space="preserve"> Legacy Security</w:t>
      </w:r>
      <w:r w:rsidRPr="005B326D">
        <w:t xml:space="preserve"> RMBS and CMBS, the financial model determines the net present value at which the expected loss equals the midpoint between the RBC charges for each NAIC </w:t>
      </w:r>
      <w:r>
        <w:t>Designation</w:t>
      </w:r>
      <w:r w:rsidRPr="005B326D">
        <w:t>; i.e., each price point, if exceeded, changes the NAIC</w:t>
      </w:r>
      <w:r>
        <w:t> Designation</w:t>
      </w:r>
      <w:r w:rsidRPr="005B326D">
        <w:t>. Net present value is the net present value of principal losses, discounted using the security</w:t>
      </w:r>
      <w:r>
        <w:t>’</w:t>
      </w:r>
      <w:r w:rsidRPr="005B326D">
        <w:t>s coupon rate (adjusted in case of original issue discount securities to book yield at original issue and in case of floating rate securities, discounted using LIBOR curve + Origination spread). Because of the difference in RBC charge, the deliverable is five values for each RMBS and CMBS security for companies required to maintain an asset valuation reserve (AVR) and five values for companies not required to maintain an AVR. This is illustrated in the chart below.</w:t>
      </w:r>
      <w:r>
        <w:t xml:space="preserve"> </w:t>
      </w:r>
    </w:p>
    <w:p w14:paraId="75BEC24E" w14:textId="77777777" w:rsidR="009B47B0" w:rsidRPr="005B326D" w:rsidRDefault="009B47B0" w:rsidP="009B47B0">
      <w:pPr>
        <w:ind w:left="1440"/>
        <w:jc w:val="left"/>
      </w:pPr>
      <w:r w:rsidRPr="005B326D">
        <w:rPr>
          <w:noProof/>
        </w:rPr>
        <w:drawing>
          <wp:inline distT="0" distB="0" distL="0" distR="0" wp14:anchorId="2C58F215" wp14:editId="6B4BE69E">
            <wp:extent cx="2886501" cy="2560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51466"/>
                    <a:stretch/>
                  </pic:blipFill>
                  <pic:spPr bwMode="auto">
                    <a:xfrm>
                      <a:off x="0" y="0"/>
                      <a:ext cx="2886501" cy="2560320"/>
                    </a:xfrm>
                    <a:prstGeom prst="rect">
                      <a:avLst/>
                    </a:prstGeom>
                    <a:noFill/>
                    <a:ln>
                      <a:noFill/>
                    </a:ln>
                    <a:extLst>
                      <a:ext uri="{53640926-AAD7-44D8-BBD7-CCE9431645EC}">
                        <a14:shadowObscured xmlns:a14="http://schemas.microsoft.com/office/drawing/2010/main"/>
                      </a:ext>
                    </a:extLst>
                  </pic:spPr>
                </pic:pic>
              </a:graphicData>
            </a:graphic>
          </wp:inline>
        </w:drawing>
      </w:r>
    </w:p>
    <w:p w14:paraId="32311F26" w14:textId="77777777" w:rsidR="009B47B0" w:rsidRDefault="009B47B0" w:rsidP="009B47B0">
      <w:pPr>
        <w:pStyle w:val="ListParagraph"/>
        <w:ind w:left="1440"/>
      </w:pPr>
      <w:r w:rsidRPr="005B326D">
        <w:lastRenderedPageBreak/>
        <w:t xml:space="preserve">The NAIC </w:t>
      </w:r>
      <w:r>
        <w:t>Designation</w:t>
      </w:r>
      <w:r w:rsidRPr="005B326D">
        <w:t xml:space="preserve"> </w:t>
      </w:r>
      <w:r>
        <w:t xml:space="preserve">and NAIC Designation Category </w:t>
      </w:r>
      <w:r w:rsidRPr="005B326D">
        <w:t>for a given modeled</w:t>
      </w:r>
      <w:r>
        <w:t xml:space="preserve"> Legacy Security</w:t>
      </w:r>
      <w:r w:rsidRPr="005B326D">
        <w:t xml:space="preserve"> RMBS or CMBS CUSIP owned by a given insurance company depends on the insurer</w:t>
      </w:r>
      <w:r>
        <w:t>’</w:t>
      </w:r>
      <w:r w:rsidRPr="005B326D">
        <w:t>s book/adjusted carrying value of each RMBS or CMBS, whether that carrying value, in accordance with</w:t>
      </w:r>
      <w:r w:rsidRPr="005C7361">
        <w:rPr>
          <w:i/>
        </w:rPr>
        <w:t xml:space="preserve"> SSAP No. 43R—Loan-Backed and Structured Securities</w:t>
      </w:r>
      <w:r w:rsidRPr="005B326D">
        <w:t xml:space="preserve">, paragraphs 25 through 26a, is the amortized cost or fair value, and where the book/adjusted carrying </w:t>
      </w:r>
      <w:r w:rsidRPr="00EB10EB">
        <w:t>value matches the price ranges provided in the model output for each NAIC Designation and the mapped NAIC Designation Category, reflected in the table below, to be used for reporting an NAIC Designation Category</w:t>
      </w:r>
      <w:r>
        <w:t xml:space="preserve"> until new prices ranges are developed to reflect the full range of new Risk Based Capital factors adopted for each NAIC Designation Category; except that a modeled Legacy Security RMBS or CMBS tranche that has no expected loss under any of the selected modeling scenarios would be assigned an </w:t>
      </w:r>
      <w:r w:rsidRPr="00CD2C67">
        <w:rPr>
          <w:b/>
          <w:bCs/>
        </w:rPr>
        <w:t>NAIC 1 Designation</w:t>
      </w:r>
      <w:r>
        <w:t xml:space="preserve"> and </w:t>
      </w:r>
      <w:r w:rsidRPr="007537D1">
        <w:rPr>
          <w:b/>
          <w:bCs/>
        </w:rPr>
        <w:t>NAIC 1.A Designation Category</w:t>
      </w:r>
      <w:r>
        <w:t xml:space="preserve"> regardless of the insurer’s book/adjusted carrying value.</w:t>
      </w:r>
      <w:r w:rsidRPr="00EB10EB">
        <w:t xml:space="preserve"> </w:t>
      </w:r>
    </w:p>
    <w:p w14:paraId="2184D58A" w14:textId="77777777" w:rsidR="009B47B0" w:rsidRDefault="009B47B0" w:rsidP="009B47B0">
      <w:pPr>
        <w:pStyle w:val="ListParagraph"/>
        <w:numPr>
          <w:ilvl w:val="0"/>
          <w:numId w:val="0"/>
        </w:numPr>
        <w:ind w:left="1440"/>
      </w:pPr>
      <w:r w:rsidRPr="00CD2C67">
        <w:rPr>
          <w:b/>
          <w:smallCaps/>
        </w:rPr>
        <w:t>Note</w:t>
      </w:r>
      <w:r w:rsidRPr="00CD2C67">
        <w:t>: Please refer to the detailed instructions provided in SSAP No. 43R.</w:t>
      </w:r>
    </w:p>
    <w:tbl>
      <w:tblPr>
        <w:tblStyle w:val="GridTable4-Accent1"/>
        <w:tblW w:w="3978" w:type="dxa"/>
        <w:tblInd w:w="1327" w:type="dxa"/>
        <w:tblLook w:val="0420" w:firstRow="1" w:lastRow="0" w:firstColumn="0" w:lastColumn="0" w:noHBand="0" w:noVBand="1"/>
      </w:tblPr>
      <w:tblGrid>
        <w:gridCol w:w="1998"/>
        <w:gridCol w:w="1980"/>
      </w:tblGrid>
      <w:tr w:rsidR="009B47B0" w:rsidRPr="00BF3E88" w14:paraId="7CA1FF7A" w14:textId="77777777" w:rsidTr="005975B2">
        <w:trPr>
          <w:cnfStyle w:val="100000000000" w:firstRow="1" w:lastRow="0" w:firstColumn="0" w:lastColumn="0" w:oddVBand="0" w:evenVBand="0" w:oddHBand="0" w:evenHBand="0" w:firstRowFirstColumn="0" w:firstRowLastColumn="0" w:lastRowFirstColumn="0" w:lastRowLastColumn="0"/>
        </w:trPr>
        <w:tc>
          <w:tcPr>
            <w:tcW w:w="1998" w:type="dxa"/>
          </w:tcPr>
          <w:p w14:paraId="0000D5B8" w14:textId="77777777" w:rsidR="009B47B0" w:rsidRPr="001F05E7" w:rsidRDefault="009B47B0" w:rsidP="005975B2">
            <w:pPr>
              <w:spacing w:before="0" w:after="0"/>
              <w:jc w:val="center"/>
              <w:rPr>
                <w:sz w:val="18"/>
                <w:szCs w:val="18"/>
                <w:u w:val="single"/>
              </w:rPr>
            </w:pPr>
            <w:r w:rsidRPr="001F05E7">
              <w:rPr>
                <w:sz w:val="18"/>
                <w:szCs w:val="18"/>
                <w:u w:val="single"/>
              </w:rPr>
              <w:t>NAIC Designation Determined by Modeled Price Ranges</w:t>
            </w:r>
          </w:p>
        </w:tc>
        <w:tc>
          <w:tcPr>
            <w:tcW w:w="1980" w:type="dxa"/>
          </w:tcPr>
          <w:p w14:paraId="3B13AB5E" w14:textId="77777777" w:rsidR="009B47B0" w:rsidRPr="001F05E7" w:rsidRDefault="009B47B0" w:rsidP="005975B2">
            <w:pPr>
              <w:spacing w:before="0" w:after="0"/>
              <w:jc w:val="center"/>
              <w:rPr>
                <w:sz w:val="18"/>
                <w:szCs w:val="18"/>
                <w:u w:val="single"/>
              </w:rPr>
            </w:pPr>
            <w:r w:rsidRPr="001F05E7">
              <w:rPr>
                <w:sz w:val="18"/>
                <w:szCs w:val="18"/>
                <w:u w:val="single"/>
              </w:rPr>
              <w:br/>
              <w:t>Mapped NAIC Designation Category</w:t>
            </w:r>
          </w:p>
        </w:tc>
      </w:tr>
      <w:tr w:rsidR="009B47B0" w:rsidRPr="00BF3E88" w14:paraId="2F7E5066" w14:textId="77777777" w:rsidTr="005975B2">
        <w:trPr>
          <w:cnfStyle w:val="000000100000" w:firstRow="0" w:lastRow="0" w:firstColumn="0" w:lastColumn="0" w:oddVBand="0" w:evenVBand="0" w:oddHBand="1" w:evenHBand="0" w:firstRowFirstColumn="0" w:firstRowLastColumn="0" w:lastRowFirstColumn="0" w:lastRowLastColumn="0"/>
          <w:cantSplit/>
          <w:trHeight w:val="288"/>
        </w:trPr>
        <w:tc>
          <w:tcPr>
            <w:tcW w:w="1998" w:type="dxa"/>
          </w:tcPr>
          <w:p w14:paraId="6DD2DA23" w14:textId="77777777" w:rsidR="009B47B0" w:rsidRPr="001F05E7" w:rsidRDefault="009B47B0" w:rsidP="005975B2">
            <w:pPr>
              <w:spacing w:before="0" w:after="0"/>
              <w:jc w:val="center"/>
              <w:rPr>
                <w:color w:val="000000" w:themeColor="text1"/>
                <w:sz w:val="18"/>
                <w:szCs w:val="18"/>
              </w:rPr>
            </w:pPr>
            <w:r w:rsidRPr="001F05E7">
              <w:rPr>
                <w:color w:val="000000" w:themeColor="text1"/>
                <w:sz w:val="18"/>
                <w:szCs w:val="18"/>
              </w:rPr>
              <w:t>1</w:t>
            </w:r>
          </w:p>
        </w:tc>
        <w:tc>
          <w:tcPr>
            <w:tcW w:w="1980" w:type="dxa"/>
          </w:tcPr>
          <w:p w14:paraId="4D07636E" w14:textId="77777777" w:rsidR="009B47B0" w:rsidRPr="001F05E7" w:rsidRDefault="009B47B0" w:rsidP="005975B2">
            <w:pPr>
              <w:spacing w:before="0" w:after="0"/>
              <w:jc w:val="center"/>
              <w:rPr>
                <w:color w:val="000000" w:themeColor="text1"/>
                <w:sz w:val="18"/>
                <w:szCs w:val="18"/>
              </w:rPr>
            </w:pPr>
            <w:r w:rsidRPr="001F05E7">
              <w:rPr>
                <w:color w:val="000000" w:themeColor="text1"/>
                <w:sz w:val="18"/>
                <w:szCs w:val="18"/>
              </w:rPr>
              <w:t>1.D</w:t>
            </w:r>
          </w:p>
        </w:tc>
      </w:tr>
      <w:tr w:rsidR="009B47B0" w:rsidRPr="00BF3E88" w14:paraId="76EAED55" w14:textId="77777777" w:rsidTr="005975B2">
        <w:trPr>
          <w:cantSplit/>
          <w:trHeight w:val="288"/>
        </w:trPr>
        <w:tc>
          <w:tcPr>
            <w:tcW w:w="1998" w:type="dxa"/>
          </w:tcPr>
          <w:p w14:paraId="1BDF1FF0" w14:textId="77777777" w:rsidR="009B47B0" w:rsidRPr="001F05E7" w:rsidRDefault="009B47B0" w:rsidP="005975B2">
            <w:pPr>
              <w:spacing w:before="0" w:after="0"/>
              <w:jc w:val="center"/>
              <w:rPr>
                <w:color w:val="000000" w:themeColor="text1"/>
                <w:sz w:val="18"/>
                <w:szCs w:val="18"/>
              </w:rPr>
            </w:pPr>
            <w:r w:rsidRPr="001F05E7">
              <w:rPr>
                <w:color w:val="000000" w:themeColor="text1"/>
                <w:sz w:val="18"/>
                <w:szCs w:val="18"/>
              </w:rPr>
              <w:t>2</w:t>
            </w:r>
          </w:p>
        </w:tc>
        <w:tc>
          <w:tcPr>
            <w:tcW w:w="1980" w:type="dxa"/>
          </w:tcPr>
          <w:p w14:paraId="59D90D95" w14:textId="77777777" w:rsidR="009B47B0" w:rsidRPr="001F05E7" w:rsidRDefault="009B47B0" w:rsidP="005975B2">
            <w:pPr>
              <w:spacing w:before="0" w:after="0"/>
              <w:jc w:val="center"/>
              <w:rPr>
                <w:color w:val="000000" w:themeColor="text1"/>
                <w:sz w:val="18"/>
                <w:szCs w:val="18"/>
              </w:rPr>
            </w:pPr>
            <w:r w:rsidRPr="001F05E7">
              <w:rPr>
                <w:color w:val="000000" w:themeColor="text1"/>
                <w:sz w:val="18"/>
                <w:szCs w:val="18"/>
              </w:rPr>
              <w:t>2.B</w:t>
            </w:r>
          </w:p>
        </w:tc>
      </w:tr>
      <w:tr w:rsidR="009B47B0" w:rsidRPr="00BF3E88" w14:paraId="43F6FF8D" w14:textId="77777777" w:rsidTr="005975B2">
        <w:trPr>
          <w:cnfStyle w:val="000000100000" w:firstRow="0" w:lastRow="0" w:firstColumn="0" w:lastColumn="0" w:oddVBand="0" w:evenVBand="0" w:oddHBand="1" w:evenHBand="0" w:firstRowFirstColumn="0" w:firstRowLastColumn="0" w:lastRowFirstColumn="0" w:lastRowLastColumn="0"/>
          <w:cantSplit/>
          <w:trHeight w:val="288"/>
        </w:trPr>
        <w:tc>
          <w:tcPr>
            <w:tcW w:w="1998" w:type="dxa"/>
          </w:tcPr>
          <w:p w14:paraId="2D9FDEC6" w14:textId="77777777" w:rsidR="009B47B0" w:rsidRPr="001F05E7" w:rsidRDefault="009B47B0" w:rsidP="005975B2">
            <w:pPr>
              <w:spacing w:before="0" w:after="0"/>
              <w:jc w:val="center"/>
              <w:rPr>
                <w:color w:val="000000" w:themeColor="text1"/>
                <w:sz w:val="18"/>
                <w:szCs w:val="18"/>
              </w:rPr>
            </w:pPr>
            <w:r w:rsidRPr="001F05E7">
              <w:rPr>
                <w:color w:val="000000" w:themeColor="text1"/>
                <w:sz w:val="18"/>
                <w:szCs w:val="18"/>
              </w:rPr>
              <w:t>3</w:t>
            </w:r>
          </w:p>
        </w:tc>
        <w:tc>
          <w:tcPr>
            <w:tcW w:w="1980" w:type="dxa"/>
          </w:tcPr>
          <w:p w14:paraId="6932265F" w14:textId="77777777" w:rsidR="009B47B0" w:rsidRPr="001F05E7" w:rsidRDefault="009B47B0" w:rsidP="005975B2">
            <w:pPr>
              <w:spacing w:before="0" w:after="0"/>
              <w:jc w:val="center"/>
              <w:rPr>
                <w:color w:val="000000" w:themeColor="text1"/>
                <w:sz w:val="18"/>
                <w:szCs w:val="18"/>
              </w:rPr>
            </w:pPr>
            <w:r w:rsidRPr="001F05E7">
              <w:rPr>
                <w:color w:val="000000" w:themeColor="text1"/>
                <w:sz w:val="18"/>
                <w:szCs w:val="18"/>
              </w:rPr>
              <w:t>3.B</w:t>
            </w:r>
          </w:p>
        </w:tc>
      </w:tr>
      <w:tr w:rsidR="009B47B0" w:rsidRPr="00BF3E88" w14:paraId="27C9BAF7" w14:textId="77777777" w:rsidTr="005975B2">
        <w:trPr>
          <w:cantSplit/>
          <w:trHeight w:val="288"/>
        </w:trPr>
        <w:tc>
          <w:tcPr>
            <w:tcW w:w="1998" w:type="dxa"/>
          </w:tcPr>
          <w:p w14:paraId="75B6936B" w14:textId="77777777" w:rsidR="009B47B0" w:rsidRPr="001F05E7" w:rsidRDefault="009B47B0" w:rsidP="005975B2">
            <w:pPr>
              <w:spacing w:before="0" w:after="0"/>
              <w:jc w:val="center"/>
              <w:rPr>
                <w:color w:val="000000" w:themeColor="text1"/>
                <w:sz w:val="18"/>
                <w:szCs w:val="18"/>
              </w:rPr>
            </w:pPr>
            <w:r w:rsidRPr="001F05E7">
              <w:rPr>
                <w:color w:val="000000" w:themeColor="text1"/>
                <w:sz w:val="18"/>
                <w:szCs w:val="18"/>
              </w:rPr>
              <w:t>4</w:t>
            </w:r>
          </w:p>
        </w:tc>
        <w:tc>
          <w:tcPr>
            <w:tcW w:w="1980" w:type="dxa"/>
          </w:tcPr>
          <w:p w14:paraId="78426FD8" w14:textId="77777777" w:rsidR="009B47B0" w:rsidRPr="001F05E7" w:rsidRDefault="009B47B0" w:rsidP="005975B2">
            <w:pPr>
              <w:spacing w:before="0" w:after="0"/>
              <w:jc w:val="center"/>
              <w:rPr>
                <w:color w:val="000000" w:themeColor="text1"/>
                <w:sz w:val="18"/>
                <w:szCs w:val="18"/>
              </w:rPr>
            </w:pPr>
            <w:r w:rsidRPr="001F05E7">
              <w:rPr>
                <w:color w:val="000000" w:themeColor="text1"/>
                <w:sz w:val="18"/>
                <w:szCs w:val="18"/>
              </w:rPr>
              <w:t>4.B</w:t>
            </w:r>
          </w:p>
        </w:tc>
      </w:tr>
      <w:tr w:rsidR="009B47B0" w:rsidRPr="00BF3E88" w14:paraId="37ED56FF" w14:textId="77777777" w:rsidTr="005975B2">
        <w:trPr>
          <w:cnfStyle w:val="000000100000" w:firstRow="0" w:lastRow="0" w:firstColumn="0" w:lastColumn="0" w:oddVBand="0" w:evenVBand="0" w:oddHBand="1" w:evenHBand="0" w:firstRowFirstColumn="0" w:firstRowLastColumn="0" w:lastRowFirstColumn="0" w:lastRowLastColumn="0"/>
          <w:cantSplit/>
          <w:trHeight w:val="288"/>
        </w:trPr>
        <w:tc>
          <w:tcPr>
            <w:tcW w:w="1998" w:type="dxa"/>
          </w:tcPr>
          <w:p w14:paraId="01165533" w14:textId="77777777" w:rsidR="009B47B0" w:rsidRPr="001F05E7" w:rsidRDefault="009B47B0" w:rsidP="005975B2">
            <w:pPr>
              <w:spacing w:before="0" w:after="0"/>
              <w:jc w:val="center"/>
              <w:rPr>
                <w:color w:val="000000" w:themeColor="text1"/>
                <w:sz w:val="18"/>
                <w:szCs w:val="18"/>
              </w:rPr>
            </w:pPr>
            <w:r w:rsidRPr="001F05E7">
              <w:rPr>
                <w:color w:val="000000" w:themeColor="text1"/>
                <w:sz w:val="18"/>
                <w:szCs w:val="18"/>
              </w:rPr>
              <w:t>5</w:t>
            </w:r>
          </w:p>
        </w:tc>
        <w:tc>
          <w:tcPr>
            <w:tcW w:w="1980" w:type="dxa"/>
          </w:tcPr>
          <w:p w14:paraId="50CF333C" w14:textId="77777777" w:rsidR="009B47B0" w:rsidRPr="001F05E7" w:rsidRDefault="009B47B0" w:rsidP="005975B2">
            <w:pPr>
              <w:spacing w:before="0" w:after="0"/>
              <w:jc w:val="center"/>
              <w:rPr>
                <w:color w:val="000000" w:themeColor="text1"/>
                <w:sz w:val="18"/>
                <w:szCs w:val="18"/>
              </w:rPr>
            </w:pPr>
            <w:r w:rsidRPr="001F05E7">
              <w:rPr>
                <w:color w:val="000000" w:themeColor="text1"/>
                <w:sz w:val="18"/>
                <w:szCs w:val="18"/>
              </w:rPr>
              <w:t>5.B</w:t>
            </w:r>
          </w:p>
        </w:tc>
      </w:tr>
      <w:tr w:rsidR="009B47B0" w:rsidRPr="00BF3E88" w14:paraId="1BC5C160" w14:textId="77777777" w:rsidTr="005975B2">
        <w:trPr>
          <w:cantSplit/>
          <w:trHeight w:val="288"/>
        </w:trPr>
        <w:tc>
          <w:tcPr>
            <w:tcW w:w="1998" w:type="dxa"/>
          </w:tcPr>
          <w:p w14:paraId="272F3D8B" w14:textId="77777777" w:rsidR="009B47B0" w:rsidRPr="001F05E7" w:rsidRDefault="009B47B0" w:rsidP="005975B2">
            <w:pPr>
              <w:spacing w:before="0" w:after="0"/>
              <w:jc w:val="center"/>
              <w:rPr>
                <w:color w:val="000000" w:themeColor="text1"/>
                <w:sz w:val="18"/>
                <w:szCs w:val="18"/>
              </w:rPr>
            </w:pPr>
            <w:r w:rsidRPr="001F05E7">
              <w:rPr>
                <w:color w:val="000000" w:themeColor="text1"/>
                <w:sz w:val="18"/>
                <w:szCs w:val="18"/>
              </w:rPr>
              <w:t>6</w:t>
            </w:r>
          </w:p>
        </w:tc>
        <w:tc>
          <w:tcPr>
            <w:tcW w:w="1980" w:type="dxa"/>
          </w:tcPr>
          <w:p w14:paraId="5A58CD38" w14:textId="77777777" w:rsidR="009B47B0" w:rsidRPr="001F05E7" w:rsidRDefault="009B47B0" w:rsidP="005975B2">
            <w:pPr>
              <w:spacing w:before="0" w:after="0"/>
              <w:jc w:val="center"/>
              <w:rPr>
                <w:color w:val="000000" w:themeColor="text1"/>
                <w:sz w:val="18"/>
                <w:szCs w:val="18"/>
              </w:rPr>
            </w:pPr>
            <w:r w:rsidRPr="001F05E7">
              <w:rPr>
                <w:color w:val="000000" w:themeColor="text1"/>
                <w:sz w:val="18"/>
                <w:szCs w:val="18"/>
              </w:rPr>
              <w:t>6</w:t>
            </w:r>
          </w:p>
        </w:tc>
      </w:tr>
    </w:tbl>
    <w:p w14:paraId="0C984629" w14:textId="77777777" w:rsidR="009B47B0" w:rsidRDefault="009B47B0" w:rsidP="009B47B0">
      <w:pPr>
        <w:ind w:left="1440"/>
      </w:pPr>
    </w:p>
    <w:p w14:paraId="48C854E8" w14:textId="42C7C25F" w:rsidR="009B47B0" w:rsidRDefault="009B47B0" w:rsidP="009B47B0">
      <w:pPr>
        <w:pStyle w:val="Heading4"/>
      </w:pPr>
      <w:bookmarkStart w:id="127" w:name="_Toc90649855"/>
      <w:r>
        <w:t xml:space="preserve">Use of Intrinsic Price for Financially Modeled </w:t>
      </w:r>
      <w:r w:rsidR="00F655A4" w:rsidRPr="00F655A4">
        <w:rPr>
          <w:color w:val="FF0000"/>
        </w:rPr>
        <w:t xml:space="preserve">CLO and </w:t>
      </w:r>
      <w:r>
        <w:t>non-Legacy Security RMBS and CMBS</w:t>
      </w:r>
      <w:bookmarkEnd w:id="127"/>
    </w:p>
    <w:p w14:paraId="486E2318" w14:textId="08225B8B" w:rsidR="009B47B0" w:rsidRPr="005C7361" w:rsidRDefault="009B47B0" w:rsidP="009B47B0">
      <w:pPr>
        <w:pStyle w:val="ListParagraph"/>
      </w:pPr>
      <w:r>
        <w:t xml:space="preserve">The NAIC Designation and NAIC Designation Category for a given modeled </w:t>
      </w:r>
      <w:r w:rsidR="00F655A4" w:rsidRPr="00F655A4">
        <w:rPr>
          <w:color w:val="FF0000"/>
        </w:rPr>
        <w:t xml:space="preserve">CLO and </w:t>
      </w:r>
      <w:r>
        <w:t xml:space="preserve">non-Legacy Security RMBS or CMBS CUSIP owned by a given insurance is assigned by SSG and </w:t>
      </w:r>
      <w:r w:rsidRPr="005039B6">
        <w:rPr>
          <w:b/>
          <w:bCs/>
          <w:u w:val="single"/>
        </w:rPr>
        <w:t>does not</w:t>
      </w:r>
      <w:r>
        <w:rPr>
          <w:b/>
          <w:bCs/>
        </w:rPr>
        <w:t xml:space="preserve"> </w:t>
      </w:r>
      <w:r w:rsidRPr="005039B6">
        <w:t>depend</w:t>
      </w:r>
      <w:r>
        <w:t xml:space="preserve"> on the insurer’s book/adjusted carrying value of each </w:t>
      </w:r>
      <w:r w:rsidR="00F655A4" w:rsidRPr="00F655A4">
        <w:rPr>
          <w:color w:val="FF0000"/>
        </w:rPr>
        <w:t xml:space="preserve">CLO, </w:t>
      </w:r>
      <w:r>
        <w:t>RMBS or CMBS. The NAIC Designation and Designation Category assigned will be determined by applying the Intrinsic Price to the NAIC Designation Intrinsic Price Mapping, as defined in this Part.</w:t>
      </w:r>
    </w:p>
    <w:p w14:paraId="44452F41" w14:textId="77777777" w:rsidR="009B47B0" w:rsidRPr="005B326D" w:rsidRDefault="009B47B0" w:rsidP="009B47B0">
      <w:pPr>
        <w:pStyle w:val="Heading4"/>
      </w:pPr>
      <w:bookmarkStart w:id="128" w:name="_Toc534887422"/>
      <w:bookmarkStart w:id="129" w:name="_Toc90649856"/>
      <w:bookmarkStart w:id="130" w:name="_Hlk57730485"/>
      <w:r w:rsidRPr="00843346">
        <w:lastRenderedPageBreak/>
        <w:t>Securities Not Modeled by the SSG and Not Rated by an NAIC CRP or Designated by the SVO</w:t>
      </w:r>
      <w:bookmarkEnd w:id="128"/>
      <w:bookmarkEnd w:id="129"/>
      <w:r>
        <w:fldChar w:fldCharType="begin"/>
      </w:r>
      <w:r>
        <w:instrText xml:space="preserve"> XE "</w:instrText>
      </w:r>
      <w:r w:rsidRPr="001945F7">
        <w:instrText>NAIC Structured Securities Group:Securities Not Modeled by the SSG and Not Rated by an NAIC CRP or Designated by the SVO</w:instrText>
      </w:r>
      <w:r>
        <w:instrText xml:space="preserve">" </w:instrText>
      </w:r>
      <w:r>
        <w:fldChar w:fldCharType="end"/>
      </w:r>
    </w:p>
    <w:bookmarkEnd w:id="130"/>
    <w:p w14:paraId="2D329ACB" w14:textId="77777777" w:rsidR="009B47B0" w:rsidRPr="003809A1" w:rsidRDefault="009B47B0" w:rsidP="009B47B0">
      <w:pPr>
        <w:pStyle w:val="ListParagraph"/>
      </w:pPr>
      <w:r w:rsidRPr="003809A1">
        <w:t xml:space="preserve">Securities subject to </w:t>
      </w:r>
      <w:r w:rsidRPr="003809A1">
        <w:rPr>
          <w:i/>
        </w:rPr>
        <w:t>SSAP No. 43R—Loan-Backed and Structured Securities</w:t>
      </w:r>
      <w:r w:rsidRPr="003809A1">
        <w:t xml:space="preserve"> that cannot be modeled by the SSG and are not rated by an NAIC CRP or designated by the SVO are either: (a) assigned the NAIC administrative symbol </w:t>
      </w:r>
      <w:r w:rsidRPr="00294E15">
        <w:rPr>
          <w:b/>
        </w:rPr>
        <w:t>ND</w:t>
      </w:r>
      <w:r w:rsidRPr="003809A1">
        <w:t xml:space="preserve"> (not designated), requiring subsequent filing with the SVO; or (b) assigned the NAIC Designation for Special Reporting Instruction [i.e., an </w:t>
      </w:r>
      <w:r w:rsidRPr="003809A1">
        <w:rPr>
          <w:b/>
        </w:rPr>
        <w:t>NAIC 5GI</w:t>
      </w:r>
      <w:r>
        <w:rPr>
          <w:b/>
        </w:rPr>
        <w:t xml:space="preserve">, </w:t>
      </w:r>
      <w:r w:rsidRPr="00114E9A">
        <w:rPr>
          <w:bCs/>
        </w:rPr>
        <w:t>NAIC Designation Category</w:t>
      </w:r>
      <w:r w:rsidRPr="00D6572D">
        <w:rPr>
          <w:b/>
        </w:rPr>
        <w:t xml:space="preserve"> NAIC 5.B GI</w:t>
      </w:r>
      <w:r w:rsidRPr="003809A1">
        <w:t xml:space="preserve"> or </w:t>
      </w:r>
      <w:r w:rsidRPr="003809A1">
        <w:rPr>
          <w:b/>
        </w:rPr>
        <w:t xml:space="preserve">NAIC 6* </w:t>
      </w:r>
      <w:r w:rsidRPr="003809A1">
        <w:t>(six-star)].</w:t>
      </w:r>
    </w:p>
    <w:p w14:paraId="096930D8" w14:textId="77777777" w:rsidR="009B47B0" w:rsidRPr="005B326D" w:rsidRDefault="009B47B0" w:rsidP="009B47B0">
      <w:pPr>
        <w:pStyle w:val="Heading2"/>
      </w:pPr>
      <w:bookmarkStart w:id="131" w:name="_Toc509585591"/>
      <w:bookmarkStart w:id="132" w:name="_Toc509828161"/>
      <w:bookmarkStart w:id="133" w:name="_Toc534812498"/>
      <w:bookmarkStart w:id="134" w:name="_Toc534887423"/>
      <w:bookmarkStart w:id="135" w:name="_Toc534896785"/>
      <w:bookmarkStart w:id="136" w:name="_Toc90649857"/>
      <w:r w:rsidRPr="00843346">
        <w:lastRenderedPageBreak/>
        <w:t>Mortgage Referenced Securit</w:t>
      </w:r>
      <w:bookmarkEnd w:id="131"/>
      <w:bookmarkEnd w:id="132"/>
      <w:r w:rsidRPr="00843346">
        <w:t>ies</w:t>
      </w:r>
      <w:bookmarkEnd w:id="133"/>
      <w:bookmarkEnd w:id="134"/>
      <w:bookmarkEnd w:id="135"/>
      <w:bookmarkEnd w:id="136"/>
      <w:r>
        <w:fldChar w:fldCharType="begin"/>
      </w:r>
      <w:r>
        <w:instrText xml:space="preserve"> XE "</w:instrText>
      </w:r>
      <w:r w:rsidRPr="00C7497F">
        <w:instrText>Mortgage Referenced Securities:Definition, Not Filing Exempt, Quarterly Reporting for Mortgage Reference Securities</w:instrText>
      </w:r>
      <w:r>
        <w:instrText xml:space="preserve">" </w:instrText>
      </w:r>
      <w:r>
        <w:fldChar w:fldCharType="end"/>
      </w:r>
      <w:r w:rsidRPr="005B326D">
        <w:t xml:space="preserve"> </w:t>
      </w:r>
    </w:p>
    <w:p w14:paraId="238392CE" w14:textId="77777777" w:rsidR="009B47B0" w:rsidRPr="005B326D" w:rsidRDefault="009B47B0" w:rsidP="009B47B0">
      <w:pPr>
        <w:pStyle w:val="Heading4"/>
        <w:rPr>
          <w:rFonts w:eastAsiaTheme="minorEastAsia"/>
        </w:rPr>
      </w:pPr>
      <w:bookmarkStart w:id="137" w:name="_Toc534887424"/>
      <w:bookmarkStart w:id="138" w:name="_Toc90649858"/>
      <w:r w:rsidRPr="00843346">
        <w:rPr>
          <w:rFonts w:eastAsiaTheme="minorEastAsia"/>
        </w:rPr>
        <w:t>Definition</w:t>
      </w:r>
      <w:bookmarkEnd w:id="137"/>
      <w:bookmarkEnd w:id="138"/>
      <w:r w:rsidRPr="005B326D">
        <w:rPr>
          <w:rFonts w:eastAsiaTheme="minorEastAsia"/>
        </w:rPr>
        <w:t xml:space="preserve"> </w:t>
      </w:r>
    </w:p>
    <w:p w14:paraId="09A3B57E" w14:textId="77777777" w:rsidR="009B47B0" w:rsidRPr="005B326D" w:rsidRDefault="009B47B0" w:rsidP="009B47B0">
      <w:pPr>
        <w:pStyle w:val="ListParagraph"/>
      </w:pPr>
      <w:r>
        <w:t xml:space="preserve">A </w:t>
      </w:r>
      <w:r w:rsidRPr="005B326D">
        <w:t xml:space="preserve">Mortgage Referenced Security </w:t>
      </w:r>
      <w:r>
        <w:t xml:space="preserve">has the </w:t>
      </w:r>
      <w:r w:rsidRPr="005B326D">
        <w:t>following characteristics: A Mortgage Referenced Security</w:t>
      </w:r>
      <w:r>
        <w:t>’</w:t>
      </w:r>
      <w:r w:rsidRPr="005B326D">
        <w:t xml:space="preserve">s coupon and/or principal payments are linked, in whole or in part, to prices of, or payment streams from, real estate, index or indices related to real estate, or assets deriving their value from instruments related to real estate, including, but not limited to, mortgage loans. </w:t>
      </w:r>
    </w:p>
    <w:p w14:paraId="68764F47" w14:textId="77777777" w:rsidR="009B47B0" w:rsidRPr="005B326D" w:rsidRDefault="009B47B0" w:rsidP="009B47B0">
      <w:pPr>
        <w:pStyle w:val="Heading4"/>
        <w:rPr>
          <w:rFonts w:eastAsiaTheme="minorEastAsia"/>
        </w:rPr>
      </w:pPr>
      <w:bookmarkStart w:id="139" w:name="_Toc534887425"/>
      <w:bookmarkStart w:id="140" w:name="_Toc90649859"/>
      <w:r w:rsidRPr="00843346">
        <w:rPr>
          <w:rFonts w:eastAsiaTheme="minorEastAsia"/>
        </w:rPr>
        <w:t>Not Filing Exempt</w:t>
      </w:r>
      <w:bookmarkEnd w:id="139"/>
      <w:bookmarkEnd w:id="140"/>
    </w:p>
    <w:p w14:paraId="1DCC52F4" w14:textId="77777777" w:rsidR="009B47B0" w:rsidRPr="005B326D" w:rsidRDefault="009B47B0" w:rsidP="009B47B0">
      <w:pPr>
        <w:pStyle w:val="ListParagraph"/>
      </w:pPr>
      <w:r w:rsidRPr="005B326D">
        <w:t>A Mortgage Referenced Security is not eligible for filing exemption but is subject to the filing requirement.</w:t>
      </w:r>
      <w:r>
        <w:t xml:space="preserve"> </w:t>
      </w:r>
    </w:p>
    <w:p w14:paraId="42970D4B" w14:textId="77777777" w:rsidR="009B47B0" w:rsidRPr="005B326D" w:rsidRDefault="009B47B0" w:rsidP="009B47B0">
      <w:pPr>
        <w:pStyle w:val="Heading4"/>
        <w:rPr>
          <w:rFonts w:eastAsiaTheme="minorEastAsia"/>
        </w:rPr>
      </w:pPr>
      <w:bookmarkStart w:id="141" w:name="_Toc534887426"/>
      <w:bookmarkStart w:id="142" w:name="_Toc90649860"/>
      <w:r w:rsidRPr="005B326D">
        <w:rPr>
          <w:rFonts w:eastAsiaTheme="minorEastAsia"/>
        </w:rPr>
        <w:t>NAIC Risk Assessment</w:t>
      </w:r>
      <w:bookmarkEnd w:id="141"/>
      <w:bookmarkEnd w:id="142"/>
      <w:r w:rsidRPr="005B326D">
        <w:rPr>
          <w:rFonts w:eastAsiaTheme="minorEastAsia"/>
        </w:rPr>
        <w:t xml:space="preserve"> </w:t>
      </w:r>
    </w:p>
    <w:p w14:paraId="37E5C7FE" w14:textId="77777777" w:rsidR="009B47B0" w:rsidRDefault="009B47B0" w:rsidP="009B47B0">
      <w:pPr>
        <w:pStyle w:val="ListParagraph"/>
      </w:pPr>
      <w:r w:rsidRPr="005B326D">
        <w:t xml:space="preserve">In determining the NAIC </w:t>
      </w:r>
      <w:r>
        <w:t>Designation</w:t>
      </w:r>
      <w:r w:rsidRPr="005B326D">
        <w:t xml:space="preserve"> of a Mortgage Referenced Security, the SSG may use the financial modeling methodology discussed in </w:t>
      </w:r>
      <w:r>
        <w:t>this Part</w:t>
      </w:r>
      <w:r w:rsidRPr="005B326D">
        <w:t xml:space="preserve">, adjusted </w:t>
      </w:r>
      <w:r>
        <w:t xml:space="preserve">(if and as necessary) </w:t>
      </w:r>
      <w:r w:rsidRPr="005B326D">
        <w:t>to the specific reporting and accounting requirements applicable to Mortgage Referenced Securities.</w:t>
      </w:r>
    </w:p>
    <w:p w14:paraId="05363BA3" w14:textId="77777777" w:rsidR="009B47B0" w:rsidRDefault="009B47B0" w:rsidP="009B47B0">
      <w:pPr>
        <w:pStyle w:val="Heading4"/>
      </w:pPr>
      <w:bookmarkStart w:id="143" w:name="_Toc90649861"/>
      <w:r w:rsidRPr="00843346">
        <w:t>Quarterly Reporting for Mortgage Reference Securities</w:t>
      </w:r>
      <w:bookmarkEnd w:id="143"/>
    </w:p>
    <w:p w14:paraId="0C9A7FF6" w14:textId="77777777" w:rsidR="009B47B0" w:rsidRPr="00FB4357" w:rsidRDefault="009B47B0" w:rsidP="009B47B0">
      <w:pPr>
        <w:pStyle w:val="ListParagraph"/>
      </w:pPr>
      <w:r>
        <w:t>To determine the NAIC Designation to be used for quarterly financial statement reporting for a Mortgage Reference Security purchased subsequent to the annual surveillance described in this Part, the insurer uses the prior year-end modeling data for that CUSIP (which can be obtained from the NAIC) until the annual surveillance data is published for the current year. For a Mortgage Reference Security that is not in the prior year-end modeling data for that CUSIP, the insurer may follow the instructions in Part Two of this manual for the assignment of the SVO Administrative Symbol “Z” provided the insurer owned security meets the criteria for a security that is in transition in reporting or filing status.</w:t>
      </w:r>
    </w:p>
    <w:p w14:paraId="1E2BA622" w14:textId="77777777" w:rsidR="009B47B0" w:rsidRDefault="009B47B0" w:rsidP="009B47B0">
      <w:r w:rsidRPr="009B2E71">
        <w:rPr>
          <w:b/>
          <w:bCs/>
          <w:smallCaps/>
        </w:rPr>
        <w:t>Note</w:t>
      </w:r>
      <w:r>
        <w:t>: Please refer to SSAP No. 26R and SSAP No. 43R for the definition of and guidance on Structured Notes and Mortgage Referenced Securities. Please also refer to Part Three of this Manual for guidance about the filing exempt status of Structured Notes.</w:t>
      </w:r>
    </w:p>
    <w:p w14:paraId="0B912ED0" w14:textId="77777777" w:rsidR="009B47B0" w:rsidRDefault="009B47B0" w:rsidP="009B47B0">
      <w:pPr>
        <w:pStyle w:val="Heading2"/>
      </w:pPr>
      <w:bookmarkStart w:id="144" w:name="_Toc90649862"/>
      <w:r w:rsidRPr="0009282F">
        <w:lastRenderedPageBreak/>
        <w:t>Ground Lease Financing Transactions</w:t>
      </w:r>
      <w:bookmarkEnd w:id="144"/>
    </w:p>
    <w:p w14:paraId="5BBD877A" w14:textId="77777777" w:rsidR="009B47B0" w:rsidRDefault="009B47B0" w:rsidP="009B47B0">
      <w:pPr>
        <w:pStyle w:val="Heading4"/>
      </w:pPr>
      <w:bookmarkStart w:id="145" w:name="_Toc90649863"/>
      <w:r>
        <w:t>Definition</w:t>
      </w:r>
      <w:bookmarkEnd w:id="145"/>
    </w:p>
    <w:p w14:paraId="110329B7" w14:textId="77777777" w:rsidR="009B47B0" w:rsidRDefault="009B47B0" w:rsidP="009B47B0">
      <w:pPr>
        <w:pStyle w:val="ListParagraph"/>
      </w:pPr>
      <w:r>
        <w:t>Ground Lease Financing (GLF) transactions are defined and explained in “Ground Lease Financing Transactions” in Part Three of this Manual.</w:t>
      </w:r>
    </w:p>
    <w:p w14:paraId="41641584" w14:textId="77777777" w:rsidR="009B47B0" w:rsidRDefault="009B47B0" w:rsidP="009B47B0">
      <w:pPr>
        <w:pStyle w:val="Heading4"/>
      </w:pPr>
      <w:bookmarkStart w:id="146" w:name="_Toc90649864"/>
      <w:r w:rsidRPr="00BB2C76">
        <w:t>SSG Role and Process</w:t>
      </w:r>
      <w:bookmarkEnd w:id="146"/>
      <w:r>
        <w:fldChar w:fldCharType="begin"/>
      </w:r>
      <w:r>
        <w:instrText xml:space="preserve"> XE "</w:instrText>
      </w:r>
      <w:r w:rsidRPr="008E379F">
        <w:instrText>Ground Lease Financing:SSG Role and Process</w:instrText>
      </w:r>
      <w:r>
        <w:instrText xml:space="preserve">" </w:instrText>
      </w:r>
      <w:r>
        <w:fldChar w:fldCharType="end"/>
      </w:r>
    </w:p>
    <w:p w14:paraId="379A4018" w14:textId="77777777" w:rsidR="009B47B0" w:rsidRPr="0009282F" w:rsidRDefault="009B47B0" w:rsidP="009B47B0">
      <w:pPr>
        <w:pStyle w:val="ListParagraph"/>
      </w:pPr>
      <w:r>
        <w:t xml:space="preserve">On occasion, the SVO may refer a GLF transaction to the SVO for financial modeling of the GLF space leases or business operation, as applicable, in accordance with the process set forth in “Ground Lease Financing Transactions” in Part Three of this Manual. Following an SVO referral the SSG and SVO will maintain open communication related to requests for additional data, analytical questions and analytical conclusions. Any GLF transaction NAIC Designation will be assigned by the SVO.  </w:t>
      </w:r>
    </w:p>
    <w:p w14:paraId="3399BC13" w14:textId="77777777" w:rsidR="009B47B0" w:rsidRPr="005B326D" w:rsidRDefault="009B47B0" w:rsidP="009B47B0">
      <w:pPr>
        <w:pStyle w:val="Heading2"/>
      </w:pPr>
      <w:bookmarkStart w:id="147" w:name="_Toc509585592"/>
      <w:bookmarkStart w:id="148" w:name="_Toc509828162"/>
      <w:bookmarkStart w:id="149" w:name="_Toc534812499"/>
      <w:bookmarkStart w:id="150" w:name="_Toc534887427"/>
      <w:bookmarkStart w:id="151" w:name="_Toc534896786"/>
      <w:bookmarkStart w:id="152" w:name="_Toc90649865"/>
      <w:r w:rsidRPr="005B326D">
        <w:lastRenderedPageBreak/>
        <w:t>The RTAS – Emerging Investment Vehicle</w:t>
      </w:r>
      <w:bookmarkEnd w:id="147"/>
      <w:bookmarkEnd w:id="148"/>
      <w:bookmarkEnd w:id="149"/>
      <w:bookmarkEnd w:id="150"/>
      <w:bookmarkEnd w:id="151"/>
      <w:bookmarkEnd w:id="152"/>
      <w:r w:rsidRPr="005B326D">
        <w:t xml:space="preserve"> </w:t>
      </w:r>
    </w:p>
    <w:p w14:paraId="2BD0F933" w14:textId="77777777" w:rsidR="009B47B0" w:rsidRPr="005B326D" w:rsidRDefault="009B47B0" w:rsidP="009B47B0">
      <w:pPr>
        <w:pStyle w:val="Heading4"/>
        <w:rPr>
          <w:rFonts w:eastAsiaTheme="minorEastAsia"/>
        </w:rPr>
      </w:pPr>
      <w:bookmarkStart w:id="153" w:name="_Toc534887428"/>
      <w:bookmarkStart w:id="154" w:name="_Toc90649866"/>
      <w:r w:rsidRPr="005B326D">
        <w:rPr>
          <w:rFonts w:eastAsiaTheme="minorEastAsia"/>
        </w:rPr>
        <w:t>Purpose</w:t>
      </w:r>
      <w:bookmarkEnd w:id="153"/>
      <w:bookmarkEnd w:id="154"/>
      <w:r w:rsidRPr="005B326D">
        <w:rPr>
          <w:rFonts w:eastAsiaTheme="minorEastAsia"/>
        </w:rPr>
        <w:t xml:space="preserve"> </w:t>
      </w:r>
    </w:p>
    <w:p w14:paraId="0AF4DA45" w14:textId="118D1CF0" w:rsidR="009B47B0" w:rsidRDefault="009B47B0" w:rsidP="009B47B0">
      <w:pPr>
        <w:pStyle w:val="ListParagraph"/>
      </w:pPr>
      <w:r w:rsidRPr="005B326D">
        <w:t>Price grids</w:t>
      </w:r>
      <w:r>
        <w:t xml:space="preserve"> and/or NAIC Designation and Designation Categories</w:t>
      </w:r>
      <w:r w:rsidRPr="005B326D">
        <w:t xml:space="preserve"> are generated for the exclusive use of insurance companies and the NAIC regulatory community. Insurance companies use official Prices Grids</w:t>
      </w:r>
      <w:r>
        <w:t xml:space="preserve"> and/or NAIC Designations and Designation Categories</w:t>
      </w:r>
      <w:r w:rsidRPr="005B326D">
        <w:t xml:space="preserve"> by following the instructions in </w:t>
      </w:r>
      <w:r w:rsidRPr="005B326D">
        <w:rPr>
          <w:i/>
        </w:rPr>
        <w:t>SSAP No. 43R—Loan-Backed and Structured Securities</w:t>
      </w:r>
      <w:r w:rsidRPr="005B326D">
        <w:t xml:space="preserve"> to derive a final NAIC Designation for the </w:t>
      </w:r>
      <w:r w:rsidR="00F655A4" w:rsidRPr="00F655A4">
        <w:rPr>
          <w:color w:val="FF0000"/>
        </w:rPr>
        <w:t xml:space="preserve">CLO, </w:t>
      </w:r>
      <w:r w:rsidRPr="005B326D">
        <w:t xml:space="preserve">RMBS or CMBS, which they use to derive the RBC applicable for the </w:t>
      </w:r>
      <w:r w:rsidR="00F655A4" w:rsidRPr="00F655A4">
        <w:rPr>
          <w:color w:val="FF0000"/>
        </w:rPr>
        <w:t xml:space="preserve">CLO, </w:t>
      </w:r>
      <w:r w:rsidRPr="005B326D">
        <w:t xml:space="preserve">RMBS or CMBS. </w:t>
      </w:r>
    </w:p>
    <w:p w14:paraId="6E663A24" w14:textId="77777777" w:rsidR="009B47B0" w:rsidRPr="005B326D" w:rsidRDefault="009B47B0" w:rsidP="009B47B0">
      <w:pPr>
        <w:ind w:left="1440"/>
      </w:pPr>
      <w:r w:rsidRPr="00352315">
        <w:rPr>
          <w:b/>
          <w:smallCaps/>
        </w:rPr>
        <w:t>Note</w:t>
      </w:r>
      <w:r>
        <w:t xml:space="preserve">: </w:t>
      </w:r>
      <w:r w:rsidRPr="005B326D">
        <w:t xml:space="preserve">Please refer to </w:t>
      </w:r>
      <w:r w:rsidRPr="007C4637">
        <w:t>SSAP No. 43R</w:t>
      </w:r>
      <w:r w:rsidRPr="007C4637">
        <w:rPr>
          <w:i/>
        </w:rPr>
        <w:t xml:space="preserve"> </w:t>
      </w:r>
      <w:r w:rsidRPr="005B326D">
        <w:t xml:space="preserve">for a full explanation of the applicable procedure. </w:t>
      </w:r>
    </w:p>
    <w:p w14:paraId="62D1764E" w14:textId="77777777" w:rsidR="009B47B0" w:rsidRPr="005B326D" w:rsidRDefault="009B47B0" w:rsidP="009B47B0">
      <w:pPr>
        <w:pStyle w:val="Heading4"/>
        <w:rPr>
          <w:rFonts w:eastAsiaTheme="minorEastAsia"/>
        </w:rPr>
      </w:pPr>
      <w:bookmarkStart w:id="155" w:name="_Toc534887429"/>
      <w:bookmarkStart w:id="156" w:name="_Toc90649867"/>
      <w:r w:rsidRPr="00BB2C76">
        <w:rPr>
          <w:rFonts w:eastAsiaTheme="minorEastAsia"/>
        </w:rPr>
        <w:t>Extension of Authority</w:t>
      </w:r>
      <w:bookmarkEnd w:id="155"/>
      <w:bookmarkEnd w:id="156"/>
      <w:r>
        <w:rPr>
          <w:rFonts w:eastAsiaTheme="minorEastAsia"/>
        </w:rPr>
        <w:fldChar w:fldCharType="begin"/>
      </w:r>
      <w:r>
        <w:instrText xml:space="preserve"> XE "</w:instrText>
      </w:r>
      <w:r w:rsidRPr="00BA19AA">
        <w:rPr>
          <w:rFonts w:eastAsiaTheme="minorEastAsia"/>
        </w:rPr>
        <w:instrText>RTAS Emerging Investment Vehicle</w:instrText>
      </w:r>
      <w:r w:rsidRPr="00BA19AA">
        <w:instrText>:Extension of Authority to SSG</w:instrText>
      </w:r>
      <w:r>
        <w:instrText xml:space="preserve">" </w:instrText>
      </w:r>
      <w:r>
        <w:rPr>
          <w:rFonts w:eastAsiaTheme="minorEastAsia"/>
        </w:rPr>
        <w:fldChar w:fldCharType="end"/>
      </w:r>
      <w:r w:rsidRPr="005B326D">
        <w:rPr>
          <w:rFonts w:eastAsiaTheme="minorEastAsia"/>
        </w:rPr>
        <w:t xml:space="preserve"> </w:t>
      </w:r>
    </w:p>
    <w:p w14:paraId="18B478A9" w14:textId="6A5ECD80" w:rsidR="009B47B0" w:rsidRPr="005B326D" w:rsidRDefault="009B47B0" w:rsidP="009B47B0">
      <w:pPr>
        <w:pStyle w:val="ListParagraph"/>
      </w:pPr>
      <w:r w:rsidRPr="003C3772">
        <w:t>The Regulatory Treatment Assessment Service</w:t>
      </w:r>
      <w:r>
        <w:t xml:space="preserve"> – Emerging Investment Vehicle </w:t>
      </w:r>
      <w:r w:rsidRPr="005B326D">
        <w:t xml:space="preserve">procedure is extended to the SSG, and the SSG is authorized to determine probable regulatory treatment for </w:t>
      </w:r>
      <w:r w:rsidR="00F655A4" w:rsidRPr="00F655A4">
        <w:rPr>
          <w:color w:val="FF0000"/>
        </w:rPr>
        <w:t xml:space="preserve">CLO, </w:t>
      </w:r>
      <w:r w:rsidRPr="005B326D">
        <w:t>RMBS and CMBS pursuant to this Part</w:t>
      </w:r>
      <w:r>
        <w:t xml:space="preserve"> </w:t>
      </w:r>
      <w:r w:rsidRPr="005B326D">
        <w:t xml:space="preserve">or for other securities, where, in the opinion of the SSG, financial modeling methodology would yield the necessary analytical insight to determine probable regulatory treatment or otherwise enable the SSG to make recommendations to the VOS/TF as to regulatory treatment for a security. </w:t>
      </w:r>
    </w:p>
    <w:p w14:paraId="5E85BB91" w14:textId="77777777" w:rsidR="009B47B0" w:rsidRPr="005B326D" w:rsidRDefault="009B47B0" w:rsidP="009B47B0">
      <w:pPr>
        <w:pStyle w:val="Heading4"/>
        <w:rPr>
          <w:rFonts w:eastAsiaTheme="minorEastAsia"/>
        </w:rPr>
      </w:pPr>
      <w:bookmarkStart w:id="157" w:name="_Toc534887430"/>
      <w:bookmarkStart w:id="158" w:name="_Toc90649868"/>
      <w:r w:rsidRPr="005B326D">
        <w:rPr>
          <w:rFonts w:eastAsiaTheme="minorEastAsia"/>
        </w:rPr>
        <w:t>Interpretation</w:t>
      </w:r>
      <w:bookmarkEnd w:id="157"/>
      <w:bookmarkEnd w:id="158"/>
      <w:r w:rsidRPr="005B326D">
        <w:rPr>
          <w:rFonts w:eastAsiaTheme="minorEastAsia"/>
        </w:rPr>
        <w:t xml:space="preserve"> </w:t>
      </w:r>
    </w:p>
    <w:p w14:paraId="4B799127" w14:textId="77777777" w:rsidR="009B47B0" w:rsidRPr="005B326D" w:rsidRDefault="009B47B0" w:rsidP="009B47B0">
      <w:pPr>
        <w:pStyle w:val="ListParagraph"/>
      </w:pPr>
      <w:r w:rsidRPr="005B326D">
        <w:t>To facilitate this purpose, wherever in</w:t>
      </w:r>
      <w:r>
        <w:t xml:space="preserve"> the Regulatory Treatment Assessment Service – Emerging Investment Vehicle </w:t>
      </w:r>
      <w:r w:rsidRPr="005B326D">
        <w:t xml:space="preserve">procedure reference is made to the SVO, it shall be read to also refer to and apply to the SSG, adjusting for differences in the operational or methodological context. </w:t>
      </w:r>
      <w:r>
        <w:t xml:space="preserve">The Regulatory Treatment Assessment Service – Emerging Investment Vehicle </w:t>
      </w:r>
      <w:r w:rsidRPr="005B326D">
        <w:t>procedure shall also be read as authority for collaboration between SVO and SSG staff functions so as to encompass RTAS assignments that require the use of SVO financial, corporate, municipal, legal, and structural analysis and related methodologies, as well as of financial modeling methodologies.</w:t>
      </w:r>
      <w:r>
        <w:t xml:space="preserve"> </w:t>
      </w:r>
    </w:p>
    <w:p w14:paraId="11C25917" w14:textId="77777777" w:rsidR="009B47B0" w:rsidRPr="005B326D" w:rsidRDefault="009B47B0" w:rsidP="009B47B0">
      <w:pPr>
        <w:pStyle w:val="Heading4"/>
        <w:rPr>
          <w:rFonts w:eastAsiaTheme="minorEastAsia"/>
        </w:rPr>
      </w:pPr>
      <w:bookmarkStart w:id="159" w:name="_Toc534887431"/>
      <w:bookmarkStart w:id="160" w:name="_Toc90649869"/>
      <w:r w:rsidRPr="005B326D">
        <w:rPr>
          <w:rFonts w:eastAsiaTheme="minorEastAsia"/>
        </w:rPr>
        <w:lastRenderedPageBreak/>
        <w:t>Translation of Preliminary into Official Price Grids</w:t>
      </w:r>
      <w:bookmarkEnd w:id="159"/>
      <w:r>
        <w:rPr>
          <w:rFonts w:eastAsiaTheme="minorEastAsia"/>
        </w:rPr>
        <w:t xml:space="preserve"> and/or NAIC Designations and Designation Categories</w:t>
      </w:r>
      <w:bookmarkEnd w:id="160"/>
    </w:p>
    <w:p w14:paraId="5CB9DC7D" w14:textId="7834D3B8" w:rsidR="00C2111F" w:rsidRPr="00B4262C" w:rsidRDefault="009B47B0" w:rsidP="00A40BB0">
      <w:pPr>
        <w:pStyle w:val="ListParagraph"/>
        <w:rPr>
          <w:color w:val="FF0000"/>
        </w:rPr>
      </w:pPr>
      <w:r>
        <w:t xml:space="preserve">Price Grids and/or Designations and Designation Categories (“PGD”) generated by the SSG pursuant to an RTAS are preliminary within the meaning of that term as used in the Regulatory Treatment Assessment Service – Emerging Investment Vehicle procedure and accordingly cannot be used for official NAIC regulatory purposes. Preliminary NAIC Designations are translated into official NAIC Designations by the SVO when an insurance company purchases and files the security and the SVO conducts an official assessment. However, this Manual does not require the filing of </w:t>
      </w:r>
      <w:r w:rsidR="00A40BB0" w:rsidRPr="00A40BB0">
        <w:rPr>
          <w:color w:val="FF0000"/>
        </w:rPr>
        <w:t xml:space="preserve">CLO, </w:t>
      </w:r>
      <w:r>
        <w:t>RMBS and CMBS subject to financial modeling methodology with the SSG. It is, therefore, necessary to specify a procedure for the translation of preliminary Price Grids and/or Designations and Designation Categories (“Preliminary PGD”) into official PGD that can be used for NAIC regulatory purposes. Preliminary PGDs generated by the SSG become an official PGD within the meaning of this section when an insurance company has purchased the security for which the PGD was generated and reported that security for quarterly reporting purposes using the SSG generated PGD. A PGD for a security reported by an insurance company for quarterly reporting is effective until the SSG conducts the next annual surveillance pursuant to this Part at which the time the PGD generated by the SSG at year-end shall be the official PGDs for that security.</w:t>
      </w:r>
    </w:p>
    <w:p w14:paraId="06E66E9F" w14:textId="6B04CB88" w:rsidR="00B4262C" w:rsidRDefault="00456BDF" w:rsidP="00B4262C">
      <w:pPr>
        <w:rPr>
          <w:sz w:val="20"/>
          <w:szCs w:val="20"/>
        </w:rPr>
      </w:pPr>
      <w:r w:rsidRPr="009525A9">
        <w:rPr>
          <w:sz w:val="20"/>
          <w:szCs w:val="20"/>
        </w:rPr>
        <w:t xml:space="preserve"> </w:t>
      </w:r>
    </w:p>
    <w:p w14:paraId="313C34CF" w14:textId="77777777" w:rsidR="0069398B" w:rsidRDefault="0069398B" w:rsidP="00B4262C">
      <w:pPr>
        <w:rPr>
          <w:sz w:val="20"/>
          <w:szCs w:val="20"/>
        </w:rPr>
      </w:pPr>
    </w:p>
    <w:p w14:paraId="63B2C8F3" w14:textId="65322584" w:rsidR="0069398B" w:rsidRPr="009525A9" w:rsidRDefault="0069398B" w:rsidP="00B4262C">
      <w:pPr>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https://naiconline.sharepoint.com/teams/SVOVOSTaskForce/Shared Documents/Meetings/2022/2022-10-20 - Interim Meeting/02-CLOs Part Four/2022-004.12 - PP Amend to Add CLO to Part Four.docx</w:t>
      </w:r>
      <w:r>
        <w:rPr>
          <w:sz w:val="20"/>
          <w:szCs w:val="20"/>
        </w:rPr>
        <w:fldChar w:fldCharType="end"/>
      </w:r>
    </w:p>
    <w:sectPr w:rsidR="0069398B" w:rsidRPr="009525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FE76" w14:textId="77777777" w:rsidR="007C7D5A" w:rsidRDefault="007C7D5A">
      <w:pPr>
        <w:spacing w:before="0" w:after="0" w:line="240" w:lineRule="auto"/>
      </w:pPr>
      <w:r>
        <w:separator/>
      </w:r>
    </w:p>
  </w:endnote>
  <w:endnote w:type="continuationSeparator" w:id="0">
    <w:p w14:paraId="446E5793" w14:textId="77777777" w:rsidR="007C7D5A" w:rsidRDefault="007C7D5A">
      <w:pPr>
        <w:spacing w:before="0" w:after="0" w:line="240" w:lineRule="auto"/>
      </w:pPr>
      <w:r>
        <w:continuationSeparator/>
      </w:r>
    </w:p>
  </w:endnote>
  <w:endnote w:type="continuationNotice" w:id="1">
    <w:p w14:paraId="3F699829" w14:textId="77777777" w:rsidR="007C7D5A" w:rsidRDefault="007C7D5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7CD2" w14:textId="77777777" w:rsidR="00780BE5" w:rsidRDefault="00780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99C4" w14:textId="77777777" w:rsidR="00780BE5" w:rsidRDefault="00780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26A9" w14:textId="77777777" w:rsidR="00780BE5" w:rsidRDefault="00780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9D88" w14:textId="77777777" w:rsidR="007C7D5A" w:rsidRDefault="007C7D5A">
      <w:pPr>
        <w:spacing w:before="0" w:after="0" w:line="240" w:lineRule="auto"/>
      </w:pPr>
      <w:r>
        <w:separator/>
      </w:r>
    </w:p>
  </w:footnote>
  <w:footnote w:type="continuationSeparator" w:id="0">
    <w:p w14:paraId="32A66FD6" w14:textId="77777777" w:rsidR="007C7D5A" w:rsidRDefault="007C7D5A">
      <w:pPr>
        <w:spacing w:before="0" w:after="0" w:line="240" w:lineRule="auto"/>
      </w:pPr>
      <w:r>
        <w:continuationSeparator/>
      </w:r>
    </w:p>
  </w:footnote>
  <w:footnote w:type="continuationNotice" w:id="1">
    <w:p w14:paraId="17871361" w14:textId="77777777" w:rsidR="007C7D5A" w:rsidRDefault="007C7D5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9829" w14:textId="77777777" w:rsidR="00780BE5" w:rsidRDefault="00780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4F16" w14:textId="0F9F44D2" w:rsidR="00315546" w:rsidRPr="008826C0" w:rsidRDefault="008826C0" w:rsidP="00315546">
    <w:pPr>
      <w:pStyle w:val="Header"/>
      <w:jc w:val="right"/>
      <w:rPr>
        <w:rFonts w:asciiTheme="minorHAnsi" w:hAnsiTheme="minorHAnsi" w:cstheme="minorHAnsi"/>
        <w:sz w:val="20"/>
        <w:szCs w:val="20"/>
      </w:rPr>
    </w:pPr>
    <w:r w:rsidRPr="008826C0">
      <w:rPr>
        <w:rFonts w:asciiTheme="minorHAnsi" w:hAnsiTheme="minorHAnsi" w:cstheme="minorHAnsi"/>
        <w:sz w:val="20"/>
        <w:szCs w:val="20"/>
      </w:rPr>
      <w:br/>
    </w:r>
    <w:r w:rsidR="00315546" w:rsidRPr="008826C0">
      <w:rPr>
        <w:rFonts w:asciiTheme="minorHAnsi" w:hAnsiTheme="minorHAnsi" w:cstheme="minorHAnsi"/>
        <w:sz w:val="20"/>
        <w:szCs w:val="20"/>
      </w:rPr>
      <w:t>Valuation of Securities (E) Task Force</w:t>
    </w:r>
    <w:r w:rsidRPr="008826C0">
      <w:rPr>
        <w:rFonts w:asciiTheme="minorHAnsi" w:hAnsiTheme="minorHAnsi" w:cstheme="minorHAnsi"/>
        <w:sz w:val="20"/>
        <w:szCs w:val="20"/>
      </w:rPr>
      <w:br/>
    </w:r>
  </w:p>
  <w:p w14:paraId="4DA2A33D" w14:textId="3B9E2A94" w:rsidR="005975B2" w:rsidRPr="00577F54" w:rsidRDefault="008826C0" w:rsidP="005975B2">
    <w:pPr>
      <w:pStyle w:val="Header"/>
    </w:pPr>
    <w:r>
      <w:rPr>
        <w:noProof/>
      </w:rPr>
      <w:drawing>
        <wp:anchor distT="0" distB="164465" distL="0" distR="0" simplePos="0" relativeHeight="251658240" behindDoc="1" locked="1" layoutInCell="1" allowOverlap="0" wp14:anchorId="3DD44423" wp14:editId="73D57130">
          <wp:simplePos x="0" y="0"/>
          <wp:positionH relativeFrom="page">
            <wp:posOffset>25400</wp:posOffset>
          </wp:positionH>
          <wp:positionV relativeFrom="page">
            <wp:posOffset>1307465</wp:posOffset>
          </wp:positionV>
          <wp:extent cx="7772400" cy="977265"/>
          <wp:effectExtent l="0" t="0" r="0" b="0"/>
          <wp:wrapTopAndBottom/>
          <wp:docPr id="10" name="Picture 1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 letter&#10;&#10;Description automatically generated"/>
                  <pic:cNvPicPr/>
                </pic:nvPicPr>
                <pic:blipFill rotWithShape="1">
                  <a:blip r:embed="rId1">
                    <a:extLst>
                      <a:ext uri="{28A0092B-C50C-407E-A947-70E740481C1C}">
                        <a14:useLocalDpi xmlns:a14="http://schemas.microsoft.com/office/drawing/2010/main" val="0"/>
                      </a:ext>
                    </a:extLst>
                  </a:blip>
                  <a:srcRect t="16575" b="8605"/>
                  <a:stretch/>
                </pic:blipFill>
                <pic:spPr bwMode="auto">
                  <a:xfrm>
                    <a:off x="0" y="0"/>
                    <a:ext cx="7772400" cy="977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0EA2" w14:textId="77777777" w:rsidR="00780BE5" w:rsidRDefault="00780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5E19"/>
    <w:multiLevelType w:val="hybridMultilevel"/>
    <w:tmpl w:val="0AFEF6C4"/>
    <w:lvl w:ilvl="0" w:tplc="81AC1344">
      <w:start w:val="1"/>
      <w:numFmt w:val="bullet"/>
      <w:pStyle w:val="Sublisting"/>
      <w:lvlText w:val=""/>
      <w:lvlJc w:val="left"/>
      <w:pPr>
        <w:ind w:left="1800" w:hanging="360"/>
      </w:pPr>
      <w:rPr>
        <w:rFonts w:ascii="Wingdings" w:hAnsi="Wingdings" w:hint="default"/>
      </w:rPr>
    </w:lvl>
    <w:lvl w:ilvl="1" w:tplc="9064E23A">
      <w:numFmt w:val="bullet"/>
      <w:lvlText w:val=""/>
      <w:lvlJc w:val="left"/>
      <w:pPr>
        <w:ind w:left="2520" w:hanging="360"/>
      </w:pPr>
      <w:rPr>
        <w:rFonts w:ascii="Garamond" w:eastAsiaTheme="majorEastAsia" w:hAnsi="Garamond" w:cstheme="maj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CD6010F"/>
    <w:multiLevelType w:val="hybridMultilevel"/>
    <w:tmpl w:val="C99A95D4"/>
    <w:lvl w:ilvl="0" w:tplc="04090005">
      <w:start w:val="1"/>
      <w:numFmt w:val="bullet"/>
      <w:lvlText w:val=""/>
      <w:lvlJc w:val="left"/>
      <w:pPr>
        <w:ind w:left="1800" w:hanging="360"/>
      </w:pPr>
      <w:rPr>
        <w:rFonts w:ascii="Wingdings" w:hAnsi="Wingdings" w:hint="default"/>
      </w:rPr>
    </w:lvl>
    <w:lvl w:ilvl="1" w:tplc="92BEE6E2">
      <w:start w:val="1"/>
      <w:numFmt w:val="bullet"/>
      <w:pStyle w:val="Sublisting2"/>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B8C4AFA"/>
    <w:multiLevelType w:val="hybridMultilevel"/>
    <w:tmpl w:val="DC705A6A"/>
    <w:lvl w:ilvl="0" w:tplc="9F9828AE">
      <w:start w:val="1"/>
      <w:numFmt w:val="decimal"/>
      <w:pStyle w:val="ListParagraph"/>
      <w:lvlText w:val="%1."/>
      <w:lvlJc w:val="left"/>
      <w:pPr>
        <w:ind w:left="1080" w:hanging="360"/>
      </w:pPr>
      <w:rPr>
        <w:rFonts w:hint="default"/>
      </w:rPr>
    </w:lvl>
    <w:lvl w:ilvl="1" w:tplc="B3B6E81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5692723">
    <w:abstractNumId w:val="1"/>
  </w:num>
  <w:num w:numId="2" w16cid:durableId="744185743">
    <w:abstractNumId w:val="0"/>
  </w:num>
  <w:num w:numId="3" w16cid:durableId="1213464866">
    <w:abstractNumId w:val="2"/>
  </w:num>
  <w:num w:numId="4" w16cid:durableId="1503160708">
    <w:abstractNumId w:val="2"/>
    <w:lvlOverride w:ilvl="0">
      <w:startOverride w:val="1"/>
    </w:lvlOverride>
  </w:num>
  <w:num w:numId="5" w16cid:durableId="874267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B0"/>
    <w:rsid w:val="000009BC"/>
    <w:rsid w:val="000062B1"/>
    <w:rsid w:val="00046C93"/>
    <w:rsid w:val="00050961"/>
    <w:rsid w:val="000618A5"/>
    <w:rsid w:val="000D49B1"/>
    <w:rsid w:val="000E3AD8"/>
    <w:rsid w:val="001137A1"/>
    <w:rsid w:val="00156756"/>
    <w:rsid w:val="00186C84"/>
    <w:rsid w:val="00187480"/>
    <w:rsid w:val="001967C2"/>
    <w:rsid w:val="001B620C"/>
    <w:rsid w:val="001C7BDE"/>
    <w:rsid w:val="0023008D"/>
    <w:rsid w:val="00277D2C"/>
    <w:rsid w:val="00294741"/>
    <w:rsid w:val="002A7F6E"/>
    <w:rsid w:val="00315546"/>
    <w:rsid w:val="00353826"/>
    <w:rsid w:val="00365B3E"/>
    <w:rsid w:val="003754B1"/>
    <w:rsid w:val="00392F6F"/>
    <w:rsid w:val="003C7A4E"/>
    <w:rsid w:val="003D0980"/>
    <w:rsid w:val="0040608D"/>
    <w:rsid w:val="004560CC"/>
    <w:rsid w:val="00456BDF"/>
    <w:rsid w:val="0049431F"/>
    <w:rsid w:val="004B35F7"/>
    <w:rsid w:val="005042AC"/>
    <w:rsid w:val="00525482"/>
    <w:rsid w:val="005406EC"/>
    <w:rsid w:val="005975B2"/>
    <w:rsid w:val="005A0E94"/>
    <w:rsid w:val="005B0BB0"/>
    <w:rsid w:val="005B2B30"/>
    <w:rsid w:val="005F69BA"/>
    <w:rsid w:val="0069398B"/>
    <w:rsid w:val="006947EB"/>
    <w:rsid w:val="006B58C8"/>
    <w:rsid w:val="006C19D4"/>
    <w:rsid w:val="006C78B8"/>
    <w:rsid w:val="006D386E"/>
    <w:rsid w:val="006E1CB8"/>
    <w:rsid w:val="00755EF2"/>
    <w:rsid w:val="0076799A"/>
    <w:rsid w:val="00780BE5"/>
    <w:rsid w:val="00792D25"/>
    <w:rsid w:val="007A6C67"/>
    <w:rsid w:val="007A6EAF"/>
    <w:rsid w:val="007C7D5A"/>
    <w:rsid w:val="007E5AFB"/>
    <w:rsid w:val="0080267B"/>
    <w:rsid w:val="008058E1"/>
    <w:rsid w:val="008826C0"/>
    <w:rsid w:val="008A3E91"/>
    <w:rsid w:val="008A4D40"/>
    <w:rsid w:val="008C4841"/>
    <w:rsid w:val="008F4267"/>
    <w:rsid w:val="00931C63"/>
    <w:rsid w:val="009445AB"/>
    <w:rsid w:val="009525A9"/>
    <w:rsid w:val="009525F4"/>
    <w:rsid w:val="009576AA"/>
    <w:rsid w:val="009B47B0"/>
    <w:rsid w:val="009D4161"/>
    <w:rsid w:val="009D50EF"/>
    <w:rsid w:val="00A1131B"/>
    <w:rsid w:val="00A13826"/>
    <w:rsid w:val="00A21B03"/>
    <w:rsid w:val="00A40BB0"/>
    <w:rsid w:val="00A67689"/>
    <w:rsid w:val="00A708BF"/>
    <w:rsid w:val="00A935B6"/>
    <w:rsid w:val="00AB35D7"/>
    <w:rsid w:val="00AD180B"/>
    <w:rsid w:val="00AE41C1"/>
    <w:rsid w:val="00AF52F2"/>
    <w:rsid w:val="00B22654"/>
    <w:rsid w:val="00B4262C"/>
    <w:rsid w:val="00B602A4"/>
    <w:rsid w:val="00B73916"/>
    <w:rsid w:val="00B73CAD"/>
    <w:rsid w:val="00B824D3"/>
    <w:rsid w:val="00BC5509"/>
    <w:rsid w:val="00C2111F"/>
    <w:rsid w:val="00C534FB"/>
    <w:rsid w:val="00C604FE"/>
    <w:rsid w:val="00CA0D07"/>
    <w:rsid w:val="00CE3971"/>
    <w:rsid w:val="00CE6E91"/>
    <w:rsid w:val="00D01462"/>
    <w:rsid w:val="00D106BE"/>
    <w:rsid w:val="00D20AB1"/>
    <w:rsid w:val="00D23301"/>
    <w:rsid w:val="00D75126"/>
    <w:rsid w:val="00DB6F11"/>
    <w:rsid w:val="00DC1F3C"/>
    <w:rsid w:val="00DF4E97"/>
    <w:rsid w:val="00E009B3"/>
    <w:rsid w:val="00E33F7B"/>
    <w:rsid w:val="00E6789F"/>
    <w:rsid w:val="00E86EFB"/>
    <w:rsid w:val="00EB6CFB"/>
    <w:rsid w:val="00EB6F52"/>
    <w:rsid w:val="00EC5909"/>
    <w:rsid w:val="00EF3FE7"/>
    <w:rsid w:val="00F41075"/>
    <w:rsid w:val="00F655A4"/>
    <w:rsid w:val="00F7049B"/>
    <w:rsid w:val="00F7383A"/>
    <w:rsid w:val="00F84D00"/>
    <w:rsid w:val="00FD554D"/>
    <w:rsid w:val="00FE5E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C8322"/>
  <w15:chartTrackingRefBased/>
  <w15:docId w15:val="{90494123-AFE0-4BE3-AE1A-48FF334A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7B0"/>
    <w:pPr>
      <w:spacing w:before="120" w:after="120" w:line="276" w:lineRule="auto"/>
      <w:jc w:val="both"/>
    </w:pPr>
    <w:rPr>
      <w:rFonts w:ascii="Garamond" w:hAnsi="Garamond" w:cs="Times New Roman"/>
      <w:sz w:val="24"/>
      <w:szCs w:val="24"/>
    </w:rPr>
  </w:style>
  <w:style w:type="paragraph" w:styleId="Heading1">
    <w:name w:val="heading 1"/>
    <w:basedOn w:val="Normal"/>
    <w:next w:val="Normal"/>
    <w:link w:val="Heading1Char"/>
    <w:qFormat/>
    <w:rsid w:val="009B47B0"/>
    <w:pPr>
      <w:keepNext/>
      <w:tabs>
        <w:tab w:val="left" w:pos="960"/>
      </w:tabs>
      <w:spacing w:after="360" w:line="240" w:lineRule="auto"/>
      <w:ind w:left="720"/>
      <w:jc w:val="center"/>
      <w:outlineLvl w:val="0"/>
    </w:pPr>
    <w:rPr>
      <w:rFonts w:eastAsia="Calibri"/>
      <w:b/>
      <w:bCs/>
      <w:smallCaps/>
      <w:color w:val="000000"/>
      <w:sz w:val="28"/>
      <w:szCs w:val="28"/>
    </w:rPr>
  </w:style>
  <w:style w:type="paragraph" w:styleId="Heading2">
    <w:name w:val="heading 2"/>
    <w:basedOn w:val="Normal"/>
    <w:next w:val="Normal"/>
    <w:link w:val="Heading2Char"/>
    <w:autoRedefine/>
    <w:qFormat/>
    <w:rsid w:val="009B47B0"/>
    <w:pPr>
      <w:keepNext/>
      <w:pageBreakBefore/>
      <w:pBdr>
        <w:bottom w:val="thinThickSmallGap" w:sz="24" w:space="1" w:color="auto"/>
      </w:pBdr>
      <w:spacing w:before="360" w:after="240" w:line="240" w:lineRule="auto"/>
      <w:jc w:val="left"/>
      <w:outlineLvl w:val="1"/>
    </w:pPr>
    <w:rPr>
      <w:rFonts w:eastAsia="Calibri"/>
      <w:b/>
      <w:bCs/>
      <w:smallCaps/>
      <w:color w:val="000000" w:themeColor="text1"/>
      <w:kern w:val="32"/>
    </w:rPr>
  </w:style>
  <w:style w:type="paragraph" w:styleId="Heading3">
    <w:name w:val="heading 3"/>
    <w:basedOn w:val="Normal"/>
    <w:next w:val="Normal"/>
    <w:link w:val="Heading3Char"/>
    <w:qFormat/>
    <w:rsid w:val="009B47B0"/>
    <w:pPr>
      <w:keepNext/>
      <w:pBdr>
        <w:top w:val="single" w:sz="4" w:space="1" w:color="auto"/>
        <w:left w:val="single" w:sz="4" w:space="4" w:color="auto"/>
        <w:bottom w:val="single" w:sz="4" w:space="1" w:color="auto"/>
        <w:right w:val="single" w:sz="4" w:space="4" w:color="auto"/>
      </w:pBdr>
      <w:spacing w:before="240"/>
      <w:jc w:val="center"/>
      <w:outlineLvl w:val="2"/>
    </w:pPr>
    <w:rPr>
      <w:b/>
      <w:smallCaps/>
    </w:rPr>
  </w:style>
  <w:style w:type="paragraph" w:styleId="Heading4">
    <w:name w:val="heading 4"/>
    <w:basedOn w:val="Normal"/>
    <w:next w:val="Normal"/>
    <w:link w:val="Heading4Char"/>
    <w:uiPriority w:val="9"/>
    <w:unhideWhenUsed/>
    <w:qFormat/>
    <w:rsid w:val="009B47B0"/>
    <w:pPr>
      <w:keepNext/>
      <w:keepLines/>
      <w:spacing w:before="24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7B0"/>
    <w:rPr>
      <w:rFonts w:ascii="Garamond" w:eastAsia="Calibri" w:hAnsi="Garamond" w:cs="Times New Roman"/>
      <w:b/>
      <w:bCs/>
      <w:smallCaps/>
      <w:color w:val="000000"/>
      <w:sz w:val="28"/>
      <w:szCs w:val="28"/>
      <w:lang w:val="en-US"/>
    </w:rPr>
  </w:style>
  <w:style w:type="character" w:customStyle="1" w:styleId="Heading2Char">
    <w:name w:val="Heading 2 Char"/>
    <w:basedOn w:val="DefaultParagraphFont"/>
    <w:link w:val="Heading2"/>
    <w:rsid w:val="009B47B0"/>
    <w:rPr>
      <w:rFonts w:ascii="Garamond" w:eastAsia="Calibri" w:hAnsi="Garamond" w:cs="Times New Roman"/>
      <w:b/>
      <w:bCs/>
      <w:smallCaps/>
      <w:color w:val="000000" w:themeColor="text1"/>
      <w:kern w:val="32"/>
      <w:sz w:val="24"/>
      <w:szCs w:val="24"/>
      <w:lang w:val="en-US"/>
    </w:rPr>
  </w:style>
  <w:style w:type="character" w:customStyle="1" w:styleId="Heading3Char">
    <w:name w:val="Heading 3 Char"/>
    <w:basedOn w:val="DefaultParagraphFont"/>
    <w:link w:val="Heading3"/>
    <w:rsid w:val="009B47B0"/>
    <w:rPr>
      <w:rFonts w:ascii="Garamond" w:hAnsi="Garamond" w:cs="Times New Roman"/>
      <w:b/>
      <w:smallCaps/>
      <w:sz w:val="24"/>
      <w:szCs w:val="24"/>
      <w:lang w:val="en-US"/>
    </w:rPr>
  </w:style>
  <w:style w:type="character" w:customStyle="1" w:styleId="Heading4Char">
    <w:name w:val="Heading 4 Char"/>
    <w:basedOn w:val="DefaultParagraphFont"/>
    <w:link w:val="Heading4"/>
    <w:uiPriority w:val="9"/>
    <w:rsid w:val="009B47B0"/>
    <w:rPr>
      <w:rFonts w:ascii="Garamond" w:eastAsiaTheme="majorEastAsia" w:hAnsi="Garamond" w:cstheme="majorBidi"/>
      <w:b/>
      <w:bCs/>
      <w:iCs/>
      <w:sz w:val="24"/>
      <w:szCs w:val="24"/>
      <w:lang w:val="en-US"/>
    </w:rPr>
  </w:style>
  <w:style w:type="paragraph" w:styleId="ListParagraph">
    <w:name w:val="List Paragraph"/>
    <w:basedOn w:val="Normal"/>
    <w:link w:val="ListParagraphChar"/>
    <w:uiPriority w:val="34"/>
    <w:qFormat/>
    <w:rsid w:val="009B47B0"/>
    <w:pPr>
      <w:keepLines/>
      <w:numPr>
        <w:numId w:val="3"/>
      </w:numPr>
      <w:autoSpaceDE w:val="0"/>
      <w:autoSpaceDN w:val="0"/>
      <w:adjustRightInd w:val="0"/>
    </w:pPr>
  </w:style>
  <w:style w:type="paragraph" w:styleId="Header">
    <w:name w:val="header"/>
    <w:basedOn w:val="Normal"/>
    <w:link w:val="HeaderChar"/>
    <w:uiPriority w:val="99"/>
    <w:unhideWhenUsed/>
    <w:rsid w:val="009B4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7B0"/>
    <w:rPr>
      <w:rFonts w:ascii="Garamond" w:hAnsi="Garamond" w:cs="Times New Roman"/>
      <w:sz w:val="24"/>
      <w:szCs w:val="24"/>
      <w:lang w:val="en-US"/>
    </w:rPr>
  </w:style>
  <w:style w:type="character" w:customStyle="1" w:styleId="ListParagraphChar">
    <w:name w:val="List Paragraph Char"/>
    <w:basedOn w:val="DefaultParagraphFont"/>
    <w:link w:val="ListParagraph"/>
    <w:uiPriority w:val="34"/>
    <w:rsid w:val="009B47B0"/>
    <w:rPr>
      <w:rFonts w:ascii="Garamond" w:hAnsi="Garamond" w:cs="Times New Roman"/>
      <w:sz w:val="24"/>
      <w:szCs w:val="24"/>
      <w:lang w:val="en-US"/>
    </w:rPr>
  </w:style>
  <w:style w:type="paragraph" w:customStyle="1" w:styleId="Sublisting">
    <w:name w:val="Sublisting"/>
    <w:basedOn w:val="ListParagraph"/>
    <w:qFormat/>
    <w:rsid w:val="009B47B0"/>
    <w:pPr>
      <w:numPr>
        <w:numId w:val="2"/>
      </w:numPr>
      <w:tabs>
        <w:tab w:val="num" w:pos="360"/>
      </w:tabs>
      <w:spacing w:after="0"/>
    </w:pPr>
  </w:style>
  <w:style w:type="paragraph" w:customStyle="1" w:styleId="Sublisting2">
    <w:name w:val="Sublisting 2"/>
    <w:basedOn w:val="ListParagraph"/>
    <w:autoRedefine/>
    <w:qFormat/>
    <w:rsid w:val="009B47B0"/>
    <w:pPr>
      <w:numPr>
        <w:ilvl w:val="1"/>
        <w:numId w:val="1"/>
      </w:numPr>
      <w:tabs>
        <w:tab w:val="num" w:pos="360"/>
      </w:tabs>
      <w:spacing w:after="0"/>
    </w:pPr>
  </w:style>
  <w:style w:type="table" w:styleId="GridTable4-Accent1">
    <w:name w:val="Grid Table 4 Accent 1"/>
    <w:basedOn w:val="TableNormal"/>
    <w:uiPriority w:val="49"/>
    <w:rsid w:val="009B47B0"/>
    <w:pPr>
      <w:spacing w:after="0" w:line="240" w:lineRule="auto"/>
    </w:pPr>
    <w:rPr>
      <w:rFonts w:ascii="Times New Roman" w:hAnsi="Times New Roman" w:cs="Times New Roma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er">
    <w:name w:val="footer"/>
    <w:basedOn w:val="Normal"/>
    <w:link w:val="FooterChar"/>
    <w:uiPriority w:val="99"/>
    <w:unhideWhenUsed/>
    <w:rsid w:val="0031554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15546"/>
    <w:rPr>
      <w:rFonts w:ascii="Garamond" w:hAnsi="Garamond" w:cs="Times New Roman"/>
      <w:sz w:val="24"/>
      <w:szCs w:val="24"/>
    </w:rPr>
  </w:style>
  <w:style w:type="paragraph" w:styleId="Revision">
    <w:name w:val="Revision"/>
    <w:hidden/>
    <w:uiPriority w:val="99"/>
    <w:semiHidden/>
    <w:rsid w:val="00B824D3"/>
    <w:pPr>
      <w:spacing w:after="0" w:line="240" w:lineRule="auto"/>
    </w:pPr>
    <w:rPr>
      <w:rFonts w:ascii="Garamond" w:hAnsi="Garamond" w:cs="Times New Roman"/>
      <w:sz w:val="24"/>
      <w:szCs w:val="24"/>
    </w:rPr>
  </w:style>
  <w:style w:type="character" w:styleId="CommentReference">
    <w:name w:val="annotation reference"/>
    <w:basedOn w:val="DefaultParagraphFont"/>
    <w:uiPriority w:val="99"/>
    <w:semiHidden/>
    <w:unhideWhenUsed/>
    <w:rsid w:val="00B824D3"/>
    <w:rPr>
      <w:sz w:val="16"/>
      <w:szCs w:val="16"/>
    </w:rPr>
  </w:style>
  <w:style w:type="paragraph" w:styleId="CommentText">
    <w:name w:val="annotation text"/>
    <w:basedOn w:val="Normal"/>
    <w:link w:val="CommentTextChar"/>
    <w:uiPriority w:val="99"/>
    <w:unhideWhenUsed/>
    <w:rsid w:val="00B824D3"/>
    <w:pPr>
      <w:spacing w:line="240" w:lineRule="auto"/>
    </w:pPr>
    <w:rPr>
      <w:sz w:val="20"/>
      <w:szCs w:val="20"/>
    </w:rPr>
  </w:style>
  <w:style w:type="character" w:customStyle="1" w:styleId="CommentTextChar">
    <w:name w:val="Comment Text Char"/>
    <w:basedOn w:val="DefaultParagraphFont"/>
    <w:link w:val="CommentText"/>
    <w:uiPriority w:val="99"/>
    <w:rsid w:val="00B824D3"/>
    <w:rPr>
      <w:rFonts w:ascii="Garamond"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B824D3"/>
    <w:rPr>
      <w:b/>
      <w:bCs/>
    </w:rPr>
  </w:style>
  <w:style w:type="character" w:customStyle="1" w:styleId="CommentSubjectChar">
    <w:name w:val="Comment Subject Char"/>
    <w:basedOn w:val="CommentTextChar"/>
    <w:link w:val="CommentSubject"/>
    <w:uiPriority w:val="99"/>
    <w:semiHidden/>
    <w:rsid w:val="00B824D3"/>
    <w:rPr>
      <w:rFonts w:ascii="Garamond"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erriault\AppData\Local\Temp\1\Templafy\WordVsto\qj4gytd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D258B85D741946BC0EBD289EA07974" ma:contentTypeVersion="10" ma:contentTypeDescription="Create a new document." ma:contentTypeScope="" ma:versionID="d8093722c358e46fdd3a0d3378744d85">
  <xsd:schema xmlns:xsd="http://www.w3.org/2001/XMLSchema" xmlns:xs="http://www.w3.org/2001/XMLSchema" xmlns:p="http://schemas.microsoft.com/office/2006/metadata/properties" xmlns:ns2="ecb55538-6dac-43ba-9ba8-f511d066a6d8" xmlns:ns3="ae0627e0-74cc-48e6-bab4-2960ffa22704" targetNamespace="http://schemas.microsoft.com/office/2006/metadata/properties" ma:root="true" ma:fieldsID="98d28c7015bff1f1627106c46f6db45d" ns2:_="" ns3:_="">
    <xsd:import namespace="ecb55538-6dac-43ba-9ba8-f511d066a6d8"/>
    <xsd:import namespace="ae0627e0-74cc-48e6-bab4-2960ffa22704"/>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55538-6dac-43ba-9ba8-f511d066a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0627e0-74cc-48e6-bab4-2960ffa227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TemplateConfiguration><![CDATA[{"elementsMetadata":[],"transformationConfigurations":[],"isBaseTemplate":false,"templateName":"blankdocument","templateDescription":"","enableDocumentContentUpdater":false,"version":"2.0"}]]></TemplafyTemplateConfigur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TemplafyFormConfiguration><![CDATA[{"formFields":[],"formDataEntries":[]}]]></TemplafyFormConfiguration>
</file>

<file path=customXml/itemProps1.xml><?xml version="1.0" encoding="utf-8"?>
<ds:datastoreItem xmlns:ds="http://schemas.openxmlformats.org/officeDocument/2006/customXml" ds:itemID="{3D108190-99FA-4DE3-B2DE-0A7C4573DB79}">
  <ds:schemaRefs>
    <ds:schemaRef ds:uri="http://schemas.microsoft.com/sharepoint/v3/contenttype/forms"/>
  </ds:schemaRefs>
</ds:datastoreItem>
</file>

<file path=customXml/itemProps2.xml><?xml version="1.0" encoding="utf-8"?>
<ds:datastoreItem xmlns:ds="http://schemas.openxmlformats.org/officeDocument/2006/customXml" ds:itemID="{095C01A6-1F81-40FA-9C8B-144650652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55538-6dac-43ba-9ba8-f511d066a6d8"/>
    <ds:schemaRef ds:uri="ae0627e0-74cc-48e6-bab4-2960ffa22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A02DE6-DAC8-4FAB-A1DD-C346E9ED7E86}">
  <ds:schemaRefs/>
</ds:datastoreItem>
</file>

<file path=customXml/itemProps4.xml><?xml version="1.0" encoding="utf-8"?>
<ds:datastoreItem xmlns:ds="http://schemas.openxmlformats.org/officeDocument/2006/customXml" ds:itemID="{638E381B-DA90-42A9-A058-5AE8ECAC1CE5}">
  <ds:schemaRefs>
    <ds:schemaRef ds:uri="http://schemas.openxmlformats.org/officeDocument/2006/bibliography"/>
  </ds:schemaRefs>
</ds:datastoreItem>
</file>

<file path=customXml/itemProps5.xml><?xml version="1.0" encoding="utf-8"?>
<ds:datastoreItem xmlns:ds="http://schemas.openxmlformats.org/officeDocument/2006/customXml" ds:itemID="{6B66E21C-6A2A-4473-9530-165AA18EF73D}">
  <ds:schemaRefs/>
</ds:datastoreItem>
</file>

<file path=docProps/app.xml><?xml version="1.0" encoding="utf-8"?>
<Properties xmlns="http://schemas.openxmlformats.org/officeDocument/2006/extended-properties" xmlns:vt="http://schemas.openxmlformats.org/officeDocument/2006/docPropsVTypes">
  <Template>qj4gytdg.dotx</Template>
  <TotalTime>205</TotalTime>
  <Pages>24</Pages>
  <Words>6074</Words>
  <Characters>34625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Therriault, Charles A.</dc:creator>
  <cp:keywords/>
  <dc:description/>
  <cp:lastModifiedBy>Genao-Rosado, Denise</cp:lastModifiedBy>
  <cp:revision>68</cp:revision>
  <cp:lastPrinted>2022-07-25T17:42:00Z</cp:lastPrinted>
  <dcterms:created xsi:type="dcterms:W3CDTF">2022-06-28T16:51:00Z</dcterms:created>
  <dcterms:modified xsi:type="dcterms:W3CDTF">2022-10-20T20:26:00Z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637540942130283561</vt:lpwstr>
  </property>
  <property fmtid="{D5CDD505-2E9C-101B-9397-08002B2CF9AE}" pid="4" name="TemplafyUserProfileId">
    <vt:lpwstr>637715526061231281</vt:lpwstr>
  </property>
  <property fmtid="{D5CDD505-2E9C-101B-9397-08002B2CF9AE}" pid="5" name="TemplafyFromBlank">
    <vt:bool>true</vt:bool>
  </property>
</Properties>
</file>